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29042" w14:textId="04E23E5C" w:rsidR="00E725F8" w:rsidRPr="00B364CB" w:rsidRDefault="0036785D" w:rsidP="00931B7F">
      <w:pPr>
        <w:pStyle w:val="Bodytext30"/>
        <w:shd w:val="clear" w:color="auto" w:fill="FFFF00"/>
        <w:spacing w:after="2372" w:line="276" w:lineRule="auto"/>
      </w:pPr>
      <w:r>
        <w:t>Adopted</w:t>
      </w:r>
      <w:r w:rsidR="00290790" w:rsidRPr="00B364CB">
        <w:t xml:space="preserve"> by the Governing Board on ...</w:t>
      </w:r>
    </w:p>
    <w:p w14:paraId="1684C26E" w14:textId="3EB8D394" w:rsidR="000E5107" w:rsidRPr="00B364CB" w:rsidRDefault="000E5107" w:rsidP="000E5107">
      <w:pPr>
        <w:pStyle w:val="Bodytext40"/>
        <w:shd w:val="clear" w:color="auto" w:fill="auto"/>
        <w:spacing w:before="0" w:line="276" w:lineRule="auto"/>
        <w:jc w:val="center"/>
      </w:pPr>
      <w:r w:rsidRPr="00B364CB">
        <w:t>CLEAN HYDROGEN JOINT UNDERTAKING</w:t>
      </w:r>
    </w:p>
    <w:p w14:paraId="76CE45AA" w14:textId="5BE05D44" w:rsidR="00A16449" w:rsidRPr="00B364CB" w:rsidRDefault="00206062" w:rsidP="000E5107">
      <w:pPr>
        <w:pStyle w:val="Bodytext60"/>
        <w:shd w:val="clear" w:color="auto" w:fill="auto"/>
        <w:spacing w:before="0" w:after="1063" w:line="276" w:lineRule="auto"/>
      </w:pPr>
      <w:r>
        <w:t xml:space="preserve"> </w:t>
      </w:r>
    </w:p>
    <w:p w14:paraId="046D06D8" w14:textId="77777777" w:rsidR="0090580E" w:rsidRDefault="002A7772" w:rsidP="000E5107">
      <w:pPr>
        <w:pStyle w:val="Bodytext60"/>
        <w:shd w:val="clear" w:color="auto" w:fill="auto"/>
        <w:spacing w:before="0" w:after="1063" w:line="276" w:lineRule="auto"/>
      </w:pPr>
      <w:r>
        <w:t xml:space="preserve">Strategic Research and Innovation Agenda </w:t>
      </w:r>
      <w:r w:rsidR="000E5107" w:rsidRPr="00B364CB">
        <w:t xml:space="preserve">2021 </w:t>
      </w:r>
      <w:r w:rsidR="0090580E">
        <w:t>–</w:t>
      </w:r>
      <w:r w:rsidR="000E5107" w:rsidRPr="00B364CB">
        <w:t xml:space="preserve"> 2027</w:t>
      </w:r>
    </w:p>
    <w:p w14:paraId="3EBDBC8B" w14:textId="65B9004E" w:rsidR="00E725F8" w:rsidRPr="00B364CB" w:rsidRDefault="0090580E" w:rsidP="0090580E">
      <w:pPr>
        <w:pStyle w:val="Bodytext60"/>
        <w:shd w:val="clear" w:color="auto" w:fill="auto"/>
        <w:spacing w:before="0" w:after="1063" w:line="276" w:lineRule="auto"/>
        <w:rPr>
          <w:sz w:val="2"/>
          <w:szCs w:val="2"/>
        </w:rPr>
      </w:pPr>
      <w:r>
        <w:rPr>
          <w:noProof/>
          <w:lang w:eastAsia="en-GB" w:bidi="ar-SA"/>
        </w:rPr>
        <w:drawing>
          <wp:inline distT="0" distB="0" distL="0" distR="0" wp14:anchorId="672EE405" wp14:editId="0CEE918D">
            <wp:extent cx="5276850" cy="2914650"/>
            <wp:effectExtent l="0" t="0" r="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9"/>
                    <a:stretch>
                      <a:fillRect/>
                    </a:stretch>
                  </pic:blipFill>
                  <pic:spPr>
                    <a:xfrm>
                      <a:off x="0" y="0"/>
                      <a:ext cx="5276850" cy="2914650"/>
                    </a:xfrm>
                    <a:prstGeom prst="rect">
                      <a:avLst/>
                    </a:prstGeom>
                  </pic:spPr>
                </pic:pic>
              </a:graphicData>
            </a:graphic>
          </wp:inline>
        </w:drawing>
      </w:r>
    </w:p>
    <w:p w14:paraId="4C77C9D8" w14:textId="63132B68" w:rsidR="00507D9A" w:rsidRPr="00F102E0" w:rsidRDefault="00507D9A">
      <w:r w:rsidRPr="00B364CB">
        <w:br w:type="page"/>
      </w:r>
    </w:p>
    <w:p w14:paraId="1BBEB11E" w14:textId="461D0166" w:rsidR="007D0B3E" w:rsidRPr="00B364CB" w:rsidRDefault="007D0B3E" w:rsidP="000A238B">
      <w:pPr>
        <w:pStyle w:val="MAWP-Bodytext"/>
        <w:rPr>
          <w:rStyle w:val="MAWPHeading"/>
          <w:lang w:val="en-GB"/>
        </w:rPr>
      </w:pPr>
      <w:r w:rsidRPr="00B364CB">
        <w:rPr>
          <w:rStyle w:val="MAWPHeading"/>
          <w:lang w:val="en-GB"/>
        </w:rPr>
        <w:lastRenderedPageBreak/>
        <w:t>Document history</w:t>
      </w:r>
    </w:p>
    <w:p w14:paraId="1B45B936" w14:textId="77777777" w:rsidR="007D0B3E" w:rsidRPr="00B364CB" w:rsidRDefault="007D0B3E" w:rsidP="007D0B3E">
      <w:pPr>
        <w:pStyle w:val="Bodytext21"/>
        <w:shd w:val="clear" w:color="auto" w:fill="auto"/>
        <w:spacing w:before="0" w:line="276" w:lineRule="auto"/>
        <w:ind w:firstLine="0"/>
        <w:rPr>
          <w:sz w:val="22"/>
          <w:szCs w:val="22"/>
        </w:rPr>
      </w:pPr>
    </w:p>
    <w:tbl>
      <w:tblPr>
        <w:tblW w:w="85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424"/>
        <w:gridCol w:w="5875"/>
      </w:tblGrid>
      <w:tr w:rsidR="007D0B3E" w:rsidRPr="00B364CB" w14:paraId="1584139C" w14:textId="77777777" w:rsidTr="007D0B3E">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CDF0EB4" w14:textId="77777777" w:rsidR="007D0B3E" w:rsidRPr="00B364CB" w:rsidRDefault="007D0B3E" w:rsidP="007D0B3E">
            <w:pPr>
              <w:jc w:val="center"/>
              <w:rPr>
                <w:rFonts w:cs="Arial"/>
                <w:b/>
                <w:szCs w:val="22"/>
              </w:rPr>
            </w:pPr>
            <w:r w:rsidRPr="00B364CB">
              <w:rPr>
                <w:rFonts w:cs="Arial"/>
                <w:b/>
                <w:szCs w:val="22"/>
              </w:rPr>
              <w:t>Version</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tcPr>
          <w:p w14:paraId="7443F12B" w14:textId="77777777" w:rsidR="007D0B3E" w:rsidRPr="00B364CB" w:rsidRDefault="007D0B3E" w:rsidP="007D0B3E">
            <w:pPr>
              <w:jc w:val="center"/>
              <w:rPr>
                <w:rFonts w:cs="Arial"/>
                <w:b/>
                <w:szCs w:val="22"/>
              </w:rPr>
            </w:pPr>
            <w:r w:rsidRPr="00B364CB">
              <w:rPr>
                <w:rFonts w:cs="Arial"/>
                <w:b/>
                <w:szCs w:val="22"/>
              </w:rPr>
              <w:t>Date</w:t>
            </w:r>
          </w:p>
        </w:tc>
        <w:tc>
          <w:tcPr>
            <w:tcW w:w="5875" w:type="dxa"/>
            <w:tcBorders>
              <w:top w:val="single" w:sz="6" w:space="0" w:color="auto"/>
              <w:left w:val="single" w:sz="6" w:space="0" w:color="auto"/>
              <w:bottom w:val="single" w:sz="6" w:space="0" w:color="auto"/>
              <w:right w:val="single" w:sz="6" w:space="0" w:color="auto"/>
            </w:tcBorders>
            <w:shd w:val="clear" w:color="auto" w:fill="auto"/>
            <w:vAlign w:val="center"/>
          </w:tcPr>
          <w:p w14:paraId="6D880065" w14:textId="77777777" w:rsidR="007D0B3E" w:rsidRPr="00B364CB" w:rsidRDefault="007D0B3E" w:rsidP="007D0B3E">
            <w:pPr>
              <w:jc w:val="center"/>
              <w:rPr>
                <w:rFonts w:cs="Arial"/>
                <w:b/>
                <w:szCs w:val="22"/>
              </w:rPr>
            </w:pPr>
            <w:r w:rsidRPr="00B364CB">
              <w:rPr>
                <w:rFonts w:cs="Arial"/>
                <w:b/>
                <w:szCs w:val="22"/>
              </w:rPr>
              <w:t>Comments</w:t>
            </w:r>
          </w:p>
        </w:tc>
      </w:tr>
      <w:tr w:rsidR="007D0B3E" w:rsidRPr="00B364CB" w14:paraId="5D7F9F95" w14:textId="77777777" w:rsidTr="007D0B3E">
        <w:tc>
          <w:tcPr>
            <w:tcW w:w="1276" w:type="dxa"/>
            <w:tcBorders>
              <w:top w:val="single" w:sz="6" w:space="0" w:color="auto"/>
            </w:tcBorders>
            <w:vAlign w:val="center"/>
          </w:tcPr>
          <w:p w14:paraId="06F11753" w14:textId="37B53774" w:rsidR="007D0B3E" w:rsidRPr="00B364CB" w:rsidRDefault="000F7B8C" w:rsidP="007D0B3E">
            <w:pPr>
              <w:jc w:val="center"/>
              <w:rPr>
                <w:rFonts w:cs="Arial"/>
                <w:szCs w:val="22"/>
              </w:rPr>
            </w:pPr>
            <w:r w:rsidRPr="00B364CB">
              <w:rPr>
                <w:rFonts w:cs="Arial"/>
                <w:szCs w:val="22"/>
              </w:rPr>
              <w:t>0</w:t>
            </w:r>
          </w:p>
        </w:tc>
        <w:tc>
          <w:tcPr>
            <w:tcW w:w="1424" w:type="dxa"/>
            <w:tcBorders>
              <w:top w:val="single" w:sz="6" w:space="0" w:color="auto"/>
            </w:tcBorders>
            <w:vAlign w:val="center"/>
          </w:tcPr>
          <w:p w14:paraId="6A1881D9" w14:textId="750D3D35" w:rsidR="007D0B3E" w:rsidRPr="00B364CB" w:rsidRDefault="000F7B8C" w:rsidP="007D0B3E">
            <w:pPr>
              <w:jc w:val="center"/>
              <w:rPr>
                <w:rFonts w:cs="Arial"/>
                <w:szCs w:val="22"/>
              </w:rPr>
            </w:pPr>
            <w:r w:rsidRPr="00B364CB">
              <w:rPr>
                <w:rFonts w:cs="Arial"/>
                <w:szCs w:val="22"/>
              </w:rPr>
              <w:t>21/09/2020</w:t>
            </w:r>
          </w:p>
        </w:tc>
        <w:tc>
          <w:tcPr>
            <w:tcW w:w="5875" w:type="dxa"/>
            <w:tcBorders>
              <w:top w:val="single" w:sz="6" w:space="0" w:color="auto"/>
            </w:tcBorders>
            <w:vAlign w:val="center"/>
          </w:tcPr>
          <w:p w14:paraId="493A5299" w14:textId="56A9DA99" w:rsidR="007D0B3E" w:rsidRPr="00B364CB" w:rsidRDefault="000F7B8C" w:rsidP="00463CD0">
            <w:pPr>
              <w:rPr>
                <w:rFonts w:cs="Arial"/>
                <w:szCs w:val="22"/>
              </w:rPr>
            </w:pPr>
            <w:r w:rsidRPr="00B364CB">
              <w:rPr>
                <w:rFonts w:cs="Arial"/>
                <w:szCs w:val="22"/>
              </w:rPr>
              <w:t xml:space="preserve">Template </w:t>
            </w:r>
            <w:r w:rsidR="00463CD0" w:rsidRPr="00B364CB">
              <w:rPr>
                <w:rFonts w:cs="Arial"/>
                <w:szCs w:val="22"/>
              </w:rPr>
              <w:t xml:space="preserve">- </w:t>
            </w:r>
            <w:r w:rsidRPr="00B364CB">
              <w:rPr>
                <w:rFonts w:cs="Arial"/>
                <w:szCs w:val="22"/>
              </w:rPr>
              <w:t>1st draft</w:t>
            </w:r>
          </w:p>
        </w:tc>
      </w:tr>
      <w:tr w:rsidR="007D0B3E" w:rsidRPr="00B364CB" w14:paraId="03BAD882" w14:textId="77777777" w:rsidTr="007D0B3E">
        <w:tc>
          <w:tcPr>
            <w:tcW w:w="1276" w:type="dxa"/>
            <w:vAlign w:val="center"/>
          </w:tcPr>
          <w:p w14:paraId="522B2B2D" w14:textId="274FD63A" w:rsidR="007D0B3E" w:rsidRPr="00B364CB" w:rsidRDefault="009E0E6F" w:rsidP="007D0B3E">
            <w:pPr>
              <w:jc w:val="center"/>
              <w:rPr>
                <w:rFonts w:cs="Arial"/>
                <w:szCs w:val="22"/>
              </w:rPr>
            </w:pPr>
            <w:r>
              <w:rPr>
                <w:rFonts w:cs="Arial"/>
                <w:szCs w:val="22"/>
              </w:rPr>
              <w:t>1</w:t>
            </w:r>
          </w:p>
        </w:tc>
        <w:tc>
          <w:tcPr>
            <w:tcW w:w="1424" w:type="dxa"/>
            <w:vAlign w:val="center"/>
          </w:tcPr>
          <w:p w14:paraId="5D2442E0" w14:textId="3E48FC13" w:rsidR="007D0B3E" w:rsidRPr="00B364CB" w:rsidRDefault="00463CD0" w:rsidP="007D0B3E">
            <w:pPr>
              <w:jc w:val="center"/>
              <w:rPr>
                <w:rFonts w:cs="Arial"/>
                <w:szCs w:val="22"/>
              </w:rPr>
            </w:pPr>
            <w:r w:rsidRPr="00B364CB">
              <w:rPr>
                <w:rFonts w:cs="Arial"/>
                <w:szCs w:val="22"/>
              </w:rPr>
              <w:t>30</w:t>
            </w:r>
            <w:r w:rsidR="0086179F" w:rsidRPr="00B364CB">
              <w:rPr>
                <w:rFonts w:cs="Arial"/>
                <w:szCs w:val="22"/>
              </w:rPr>
              <w:t>/10/2020</w:t>
            </w:r>
          </w:p>
        </w:tc>
        <w:tc>
          <w:tcPr>
            <w:tcW w:w="5875" w:type="dxa"/>
            <w:vAlign w:val="center"/>
          </w:tcPr>
          <w:p w14:paraId="532669EF" w14:textId="1097BA9E" w:rsidR="007D0B3E" w:rsidRPr="00B364CB" w:rsidRDefault="0086179F" w:rsidP="00463CD0">
            <w:pPr>
              <w:rPr>
                <w:rFonts w:cs="Arial"/>
                <w:szCs w:val="22"/>
              </w:rPr>
            </w:pPr>
            <w:r w:rsidRPr="00B364CB">
              <w:rPr>
                <w:rFonts w:cs="Arial"/>
                <w:szCs w:val="22"/>
              </w:rPr>
              <w:t xml:space="preserve">1st working draft </w:t>
            </w:r>
            <w:r w:rsidR="00463CD0" w:rsidRPr="00B364CB">
              <w:rPr>
                <w:rFonts w:cs="Arial"/>
                <w:szCs w:val="22"/>
              </w:rPr>
              <w:t>for comments</w:t>
            </w:r>
          </w:p>
        </w:tc>
      </w:tr>
      <w:tr w:rsidR="007D0B3E" w:rsidRPr="00B364CB" w14:paraId="1DC88408" w14:textId="77777777" w:rsidTr="007D0B3E">
        <w:tc>
          <w:tcPr>
            <w:tcW w:w="1276" w:type="dxa"/>
            <w:vAlign w:val="center"/>
          </w:tcPr>
          <w:p w14:paraId="3210AF2C" w14:textId="3CDA4264" w:rsidR="006D1F2C" w:rsidRPr="00B364CB" w:rsidRDefault="009E0E6F" w:rsidP="006D1F2C">
            <w:pPr>
              <w:jc w:val="center"/>
              <w:rPr>
                <w:rFonts w:cs="Arial"/>
                <w:szCs w:val="22"/>
              </w:rPr>
            </w:pPr>
            <w:r>
              <w:rPr>
                <w:rFonts w:cs="Arial"/>
                <w:szCs w:val="22"/>
              </w:rPr>
              <w:t>2</w:t>
            </w:r>
          </w:p>
        </w:tc>
        <w:tc>
          <w:tcPr>
            <w:tcW w:w="1424" w:type="dxa"/>
            <w:vAlign w:val="center"/>
          </w:tcPr>
          <w:p w14:paraId="451CEA73" w14:textId="1E20399B" w:rsidR="007D0B3E" w:rsidRPr="00120F40" w:rsidRDefault="009D550C" w:rsidP="007D0B3E">
            <w:pPr>
              <w:jc w:val="center"/>
              <w:rPr>
                <w:rFonts w:cs="Arial"/>
                <w:szCs w:val="22"/>
              </w:rPr>
            </w:pPr>
            <w:r w:rsidRPr="00120F40">
              <w:rPr>
                <w:rFonts w:cs="Arial"/>
                <w:szCs w:val="22"/>
              </w:rPr>
              <w:t>19/02</w:t>
            </w:r>
            <w:r w:rsidR="006D1F2C" w:rsidRPr="00120F40">
              <w:rPr>
                <w:rFonts w:cs="Arial"/>
                <w:szCs w:val="22"/>
              </w:rPr>
              <w:t>/2021</w:t>
            </w:r>
          </w:p>
        </w:tc>
        <w:tc>
          <w:tcPr>
            <w:tcW w:w="5875" w:type="dxa"/>
            <w:vAlign w:val="center"/>
          </w:tcPr>
          <w:p w14:paraId="015B11DA" w14:textId="2889B1C5" w:rsidR="006D1F2C" w:rsidRPr="00B364CB" w:rsidRDefault="006D1F2C" w:rsidP="006D1F2C">
            <w:pPr>
              <w:rPr>
                <w:rFonts w:cs="Arial"/>
                <w:szCs w:val="22"/>
              </w:rPr>
            </w:pPr>
            <w:r w:rsidRPr="00B364CB">
              <w:rPr>
                <w:rFonts w:cs="Arial"/>
                <w:szCs w:val="22"/>
              </w:rPr>
              <w:t xml:space="preserve">2nd working draft </w:t>
            </w:r>
            <w:r w:rsidR="009D550C" w:rsidRPr="00B364CB">
              <w:rPr>
                <w:rFonts w:cs="Arial"/>
                <w:szCs w:val="22"/>
              </w:rPr>
              <w:t>for comments</w:t>
            </w:r>
          </w:p>
        </w:tc>
      </w:tr>
      <w:tr w:rsidR="00B5636C" w:rsidRPr="00B364CB" w14:paraId="07E338AA" w14:textId="77777777" w:rsidTr="007D0B3E">
        <w:tc>
          <w:tcPr>
            <w:tcW w:w="1276" w:type="dxa"/>
            <w:vAlign w:val="center"/>
          </w:tcPr>
          <w:p w14:paraId="307DE45A" w14:textId="1C31DB12" w:rsidR="00B5636C" w:rsidRPr="00B364CB" w:rsidRDefault="009E0E6F" w:rsidP="00B5636C">
            <w:pPr>
              <w:jc w:val="center"/>
              <w:rPr>
                <w:rFonts w:cs="Arial"/>
                <w:szCs w:val="22"/>
              </w:rPr>
            </w:pPr>
            <w:r>
              <w:rPr>
                <w:rFonts w:cs="Arial"/>
                <w:szCs w:val="22"/>
              </w:rPr>
              <w:t>3</w:t>
            </w:r>
          </w:p>
        </w:tc>
        <w:tc>
          <w:tcPr>
            <w:tcW w:w="1424" w:type="dxa"/>
            <w:vAlign w:val="center"/>
          </w:tcPr>
          <w:p w14:paraId="68AE0D93" w14:textId="5ECF5EB1" w:rsidR="00B5636C" w:rsidRPr="00120F40" w:rsidRDefault="00CF0DF4" w:rsidP="008F4ACA">
            <w:pPr>
              <w:jc w:val="center"/>
              <w:rPr>
                <w:rFonts w:cs="Arial"/>
                <w:szCs w:val="22"/>
              </w:rPr>
            </w:pPr>
            <w:r>
              <w:rPr>
                <w:rFonts w:cs="Arial"/>
                <w:szCs w:val="22"/>
              </w:rPr>
              <w:t>2</w:t>
            </w:r>
            <w:r w:rsidR="008F4ACA">
              <w:rPr>
                <w:rFonts w:cs="Arial"/>
                <w:szCs w:val="22"/>
              </w:rPr>
              <w:t>9</w:t>
            </w:r>
            <w:r>
              <w:rPr>
                <w:rFonts w:cs="Arial"/>
                <w:szCs w:val="22"/>
              </w:rPr>
              <w:t>/07</w:t>
            </w:r>
            <w:r w:rsidR="00405F45" w:rsidRPr="00120F40">
              <w:rPr>
                <w:rFonts w:cs="Arial"/>
                <w:szCs w:val="22"/>
              </w:rPr>
              <w:t>/2021</w:t>
            </w:r>
          </w:p>
        </w:tc>
        <w:tc>
          <w:tcPr>
            <w:tcW w:w="5875" w:type="dxa"/>
            <w:vAlign w:val="center"/>
          </w:tcPr>
          <w:p w14:paraId="784B9D6C" w14:textId="08176B9C" w:rsidR="00B5636C" w:rsidRPr="00B364CB" w:rsidRDefault="00B5636C" w:rsidP="00B5636C">
            <w:pPr>
              <w:rPr>
                <w:rFonts w:cs="Arial"/>
                <w:szCs w:val="22"/>
              </w:rPr>
            </w:pPr>
            <w:r w:rsidRPr="00B364CB">
              <w:rPr>
                <w:rFonts w:cs="Arial"/>
                <w:szCs w:val="22"/>
              </w:rPr>
              <w:t>3rd working draft for comments</w:t>
            </w:r>
          </w:p>
        </w:tc>
      </w:tr>
      <w:tr w:rsidR="00D31695" w:rsidRPr="00B364CB" w14:paraId="5D0598A5" w14:textId="77777777" w:rsidTr="00CC38A0">
        <w:tc>
          <w:tcPr>
            <w:tcW w:w="1276" w:type="dxa"/>
            <w:vAlign w:val="center"/>
          </w:tcPr>
          <w:p w14:paraId="3301921F" w14:textId="3FAE1084" w:rsidR="00D31695" w:rsidRPr="00B364CB" w:rsidRDefault="009E0E6F" w:rsidP="00D31695">
            <w:pPr>
              <w:jc w:val="center"/>
              <w:rPr>
                <w:rFonts w:cs="Arial"/>
                <w:szCs w:val="22"/>
              </w:rPr>
            </w:pPr>
            <w:r>
              <w:rPr>
                <w:rFonts w:cs="Arial"/>
                <w:szCs w:val="22"/>
              </w:rPr>
              <w:t>4</w:t>
            </w:r>
          </w:p>
        </w:tc>
        <w:tc>
          <w:tcPr>
            <w:tcW w:w="1424" w:type="dxa"/>
            <w:shd w:val="clear" w:color="auto" w:fill="auto"/>
            <w:vAlign w:val="center"/>
          </w:tcPr>
          <w:p w14:paraId="5E4F8A39" w14:textId="58ECDAB4" w:rsidR="00D31695" w:rsidRPr="002A7772" w:rsidRDefault="00CC38A0" w:rsidP="00D31695">
            <w:pPr>
              <w:jc w:val="center"/>
              <w:rPr>
                <w:rFonts w:cs="Arial"/>
                <w:szCs w:val="22"/>
                <w:highlight w:val="yellow"/>
              </w:rPr>
            </w:pPr>
            <w:r w:rsidRPr="00CC38A0">
              <w:rPr>
                <w:rFonts w:cs="Arial"/>
                <w:szCs w:val="22"/>
              </w:rPr>
              <w:t>2</w:t>
            </w:r>
            <w:r w:rsidR="00313455">
              <w:rPr>
                <w:rFonts w:cs="Arial"/>
                <w:szCs w:val="22"/>
              </w:rPr>
              <w:t>5</w:t>
            </w:r>
            <w:r w:rsidR="00D31695" w:rsidRPr="00CC38A0">
              <w:rPr>
                <w:rFonts w:cs="Arial"/>
                <w:szCs w:val="22"/>
              </w:rPr>
              <w:t>/1/202</w:t>
            </w:r>
            <w:r>
              <w:rPr>
                <w:rFonts w:cs="Arial"/>
                <w:szCs w:val="22"/>
              </w:rPr>
              <w:t>2</w:t>
            </w:r>
          </w:p>
        </w:tc>
        <w:tc>
          <w:tcPr>
            <w:tcW w:w="5875" w:type="dxa"/>
            <w:vAlign w:val="center"/>
          </w:tcPr>
          <w:p w14:paraId="2C769A2E" w14:textId="1D795663" w:rsidR="00D31695" w:rsidRPr="00B364CB" w:rsidRDefault="00D31695" w:rsidP="00D31695">
            <w:pPr>
              <w:rPr>
                <w:rFonts w:cs="Arial"/>
                <w:szCs w:val="22"/>
              </w:rPr>
            </w:pPr>
            <w:r>
              <w:rPr>
                <w:rFonts w:cs="Arial"/>
                <w:szCs w:val="22"/>
              </w:rPr>
              <w:t>4th</w:t>
            </w:r>
            <w:r w:rsidRPr="00B364CB">
              <w:rPr>
                <w:rFonts w:cs="Arial"/>
                <w:szCs w:val="22"/>
              </w:rPr>
              <w:t xml:space="preserve"> working draft for comments</w:t>
            </w:r>
            <w:r w:rsidR="00313455">
              <w:rPr>
                <w:rFonts w:cs="Arial"/>
                <w:szCs w:val="22"/>
              </w:rPr>
              <w:t xml:space="preserve"> to SRG</w:t>
            </w:r>
          </w:p>
        </w:tc>
      </w:tr>
    </w:tbl>
    <w:p w14:paraId="3ABDEC26" w14:textId="77777777" w:rsidR="007D0B3E" w:rsidRPr="00B364CB" w:rsidRDefault="007D0B3E" w:rsidP="007D0B3E">
      <w:pPr>
        <w:rPr>
          <w:rFonts w:cs="Arial"/>
          <w:szCs w:val="22"/>
        </w:rPr>
      </w:pPr>
    </w:p>
    <w:p w14:paraId="71751A3B" w14:textId="7C2AA466" w:rsidR="007D0B3E" w:rsidRPr="00B364CB" w:rsidRDefault="007D0B3E">
      <w:bookmarkStart w:id="0" w:name="_GoBack"/>
      <w:bookmarkEnd w:id="0"/>
    </w:p>
    <w:p w14:paraId="0AF1D279" w14:textId="2939DAAD" w:rsidR="007D0B3E" w:rsidRPr="00B364CB" w:rsidRDefault="007D0B3E"/>
    <w:p w14:paraId="2B86F697" w14:textId="2E05FD93" w:rsidR="007D0B3E" w:rsidRPr="00B364CB" w:rsidRDefault="007D0B3E">
      <w:r w:rsidRPr="00B364CB">
        <w:br w:type="page"/>
      </w:r>
    </w:p>
    <w:p w14:paraId="7F4FA568" w14:textId="069A2029" w:rsidR="00922984" w:rsidRPr="00B364CB" w:rsidRDefault="00DD3CD9" w:rsidP="000A238B">
      <w:pPr>
        <w:pStyle w:val="MAWP-Bodytext"/>
        <w:rPr>
          <w:rStyle w:val="MAWPHeading"/>
          <w:lang w:val="en-GB"/>
        </w:rPr>
      </w:pPr>
      <w:r w:rsidRPr="00B364CB">
        <w:rPr>
          <w:rStyle w:val="MAWPHeading"/>
          <w:lang w:val="en-GB"/>
        </w:rPr>
        <w:lastRenderedPageBreak/>
        <w:t>Table of contents</w:t>
      </w:r>
    </w:p>
    <w:p w14:paraId="2E44C37B" w14:textId="3A41DDBB" w:rsidR="00785940" w:rsidRDefault="00290790">
      <w:pPr>
        <w:pStyle w:val="TOC1"/>
        <w:rPr>
          <w:rFonts w:asciiTheme="minorHAnsi" w:eastAsiaTheme="minorEastAsia" w:hAnsiTheme="minorHAnsi" w:cstheme="minorBidi"/>
          <w:noProof/>
          <w:color w:val="auto"/>
          <w:sz w:val="22"/>
          <w:szCs w:val="22"/>
          <w:lang w:eastAsia="en-GB" w:bidi="ar-SA"/>
        </w:rPr>
      </w:pPr>
      <w:r w:rsidRPr="00B364CB">
        <w:fldChar w:fldCharType="begin"/>
      </w:r>
      <w:r w:rsidRPr="00B364CB">
        <w:instrText xml:space="preserve"> TOC \o "1-5" \h \z </w:instrText>
      </w:r>
      <w:r w:rsidRPr="00B364CB">
        <w:fldChar w:fldCharType="separate"/>
      </w:r>
      <w:hyperlink w:anchor="_Toc93907304" w:history="1">
        <w:r w:rsidR="00785940" w:rsidRPr="00FC19BA">
          <w:rPr>
            <w:rStyle w:val="Hyperlink"/>
            <w:noProof/>
            <w:shd w:val="clear" w:color="auto" w:fill="FFFFFF"/>
            <w:lang w:eastAsia="fr-FR" w:bidi="fr-FR"/>
          </w:rPr>
          <w:t>Executive summary</w:t>
        </w:r>
        <w:r w:rsidR="00785940">
          <w:rPr>
            <w:noProof/>
            <w:webHidden/>
          </w:rPr>
          <w:tab/>
        </w:r>
        <w:r w:rsidR="00785940">
          <w:rPr>
            <w:noProof/>
            <w:webHidden/>
          </w:rPr>
          <w:fldChar w:fldCharType="begin"/>
        </w:r>
        <w:r w:rsidR="00785940">
          <w:rPr>
            <w:noProof/>
            <w:webHidden/>
          </w:rPr>
          <w:instrText xml:space="preserve"> PAGEREF _Toc93907304 \h </w:instrText>
        </w:r>
        <w:r w:rsidR="00785940">
          <w:rPr>
            <w:noProof/>
            <w:webHidden/>
          </w:rPr>
        </w:r>
        <w:r w:rsidR="00785940">
          <w:rPr>
            <w:noProof/>
            <w:webHidden/>
          </w:rPr>
          <w:fldChar w:fldCharType="separate"/>
        </w:r>
        <w:r w:rsidR="00785940">
          <w:rPr>
            <w:noProof/>
            <w:webHidden/>
          </w:rPr>
          <w:t>12</w:t>
        </w:r>
        <w:r w:rsidR="00785940">
          <w:rPr>
            <w:noProof/>
            <w:webHidden/>
          </w:rPr>
          <w:fldChar w:fldCharType="end"/>
        </w:r>
      </w:hyperlink>
    </w:p>
    <w:p w14:paraId="1F0C17E2" w14:textId="04390887"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05" w:history="1">
        <w:r w:rsidR="00785940" w:rsidRPr="00FC19BA">
          <w:rPr>
            <w:rStyle w:val="Hyperlink"/>
            <w:noProof/>
            <w:lang w:val="en-US"/>
          </w:rPr>
          <w:t>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shd w:val="clear" w:color="auto" w:fill="FFFFFF"/>
            <w:lang w:eastAsia="fr-FR" w:bidi="fr-FR"/>
          </w:rPr>
          <w:t>Introduction</w:t>
        </w:r>
        <w:r w:rsidR="00785940">
          <w:rPr>
            <w:noProof/>
            <w:webHidden/>
          </w:rPr>
          <w:tab/>
        </w:r>
        <w:r w:rsidR="00785940">
          <w:rPr>
            <w:noProof/>
            <w:webHidden/>
          </w:rPr>
          <w:fldChar w:fldCharType="begin"/>
        </w:r>
        <w:r w:rsidR="00785940">
          <w:rPr>
            <w:noProof/>
            <w:webHidden/>
          </w:rPr>
          <w:instrText xml:space="preserve"> PAGEREF _Toc93907305 \h </w:instrText>
        </w:r>
        <w:r w:rsidR="00785940">
          <w:rPr>
            <w:noProof/>
            <w:webHidden/>
          </w:rPr>
        </w:r>
        <w:r w:rsidR="00785940">
          <w:rPr>
            <w:noProof/>
            <w:webHidden/>
          </w:rPr>
          <w:fldChar w:fldCharType="separate"/>
        </w:r>
        <w:r w:rsidR="00785940">
          <w:rPr>
            <w:noProof/>
            <w:webHidden/>
          </w:rPr>
          <w:t>18</w:t>
        </w:r>
        <w:r w:rsidR="00785940">
          <w:rPr>
            <w:noProof/>
            <w:webHidden/>
          </w:rPr>
          <w:fldChar w:fldCharType="end"/>
        </w:r>
      </w:hyperlink>
    </w:p>
    <w:p w14:paraId="2DFCF68B" w14:textId="0965B436"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06" w:history="1">
        <w:r w:rsidR="00785940" w:rsidRPr="00FC19BA">
          <w:rPr>
            <w:rStyle w:val="Hyperlink"/>
            <w:noProof/>
            <w14:scene3d>
              <w14:camera w14:prst="orthographicFront"/>
              <w14:lightRig w14:rig="threePt" w14:dir="t">
                <w14:rot w14:lat="0" w14:lon="0" w14:rev="0"/>
              </w14:lightRig>
            </w14:scene3d>
          </w:rPr>
          <w:t>1.1.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The European Green Deal and the climate neutrality ambition of Europe</w:t>
        </w:r>
        <w:r w:rsidR="00785940">
          <w:rPr>
            <w:noProof/>
            <w:webHidden/>
          </w:rPr>
          <w:tab/>
        </w:r>
        <w:r w:rsidR="00785940">
          <w:rPr>
            <w:noProof/>
            <w:webHidden/>
          </w:rPr>
          <w:fldChar w:fldCharType="begin"/>
        </w:r>
        <w:r w:rsidR="00785940">
          <w:rPr>
            <w:noProof/>
            <w:webHidden/>
          </w:rPr>
          <w:instrText xml:space="preserve"> PAGEREF _Toc93907306 \h </w:instrText>
        </w:r>
        <w:r w:rsidR="00785940">
          <w:rPr>
            <w:noProof/>
            <w:webHidden/>
          </w:rPr>
        </w:r>
        <w:r w:rsidR="00785940">
          <w:rPr>
            <w:noProof/>
            <w:webHidden/>
          </w:rPr>
          <w:fldChar w:fldCharType="separate"/>
        </w:r>
        <w:r w:rsidR="00785940">
          <w:rPr>
            <w:noProof/>
            <w:webHidden/>
          </w:rPr>
          <w:t>18</w:t>
        </w:r>
        <w:r w:rsidR="00785940">
          <w:rPr>
            <w:noProof/>
            <w:webHidden/>
          </w:rPr>
          <w:fldChar w:fldCharType="end"/>
        </w:r>
      </w:hyperlink>
    </w:p>
    <w:p w14:paraId="5C8B0A3C" w14:textId="1B308A32"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07" w:history="1">
        <w:r w:rsidR="00785940" w:rsidRPr="00FC19BA">
          <w:rPr>
            <w:rStyle w:val="Hyperlink"/>
            <w:noProof/>
            <w14:scene3d>
              <w14:camera w14:prst="orthographicFront"/>
              <w14:lightRig w14:rig="threePt" w14:dir="t">
                <w14:rot w14:lat="0" w14:lon="0" w14:rev="0"/>
              </w14:lightRig>
            </w14:scene3d>
          </w:rPr>
          <w:t>1.1.1.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The role of hydrogen technologies</w:t>
        </w:r>
        <w:r w:rsidR="00785940">
          <w:rPr>
            <w:noProof/>
            <w:webHidden/>
          </w:rPr>
          <w:tab/>
        </w:r>
        <w:r w:rsidR="00785940">
          <w:rPr>
            <w:noProof/>
            <w:webHidden/>
          </w:rPr>
          <w:fldChar w:fldCharType="begin"/>
        </w:r>
        <w:r w:rsidR="00785940">
          <w:rPr>
            <w:noProof/>
            <w:webHidden/>
          </w:rPr>
          <w:instrText xml:space="preserve"> PAGEREF _Toc93907307 \h </w:instrText>
        </w:r>
        <w:r w:rsidR="00785940">
          <w:rPr>
            <w:noProof/>
            <w:webHidden/>
          </w:rPr>
        </w:r>
        <w:r w:rsidR="00785940">
          <w:rPr>
            <w:noProof/>
            <w:webHidden/>
          </w:rPr>
          <w:fldChar w:fldCharType="separate"/>
        </w:r>
        <w:r w:rsidR="00785940">
          <w:rPr>
            <w:noProof/>
            <w:webHidden/>
          </w:rPr>
          <w:t>19</w:t>
        </w:r>
        <w:r w:rsidR="00785940">
          <w:rPr>
            <w:noProof/>
            <w:webHidden/>
          </w:rPr>
          <w:fldChar w:fldCharType="end"/>
        </w:r>
      </w:hyperlink>
    </w:p>
    <w:p w14:paraId="5D149489" w14:textId="5ED6A12F"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08" w:history="1">
        <w:r w:rsidR="00785940" w:rsidRPr="00FC19BA">
          <w:rPr>
            <w:rStyle w:val="Hyperlink"/>
            <w:noProof/>
            <w14:scene3d>
              <w14:camera w14:prst="orthographicFront"/>
              <w14:lightRig w14:rig="threePt" w14:dir="t">
                <w14:rot w14:lat="0" w14:lon="0" w14:rev="0"/>
              </w14:lightRig>
            </w14:scene3d>
          </w:rPr>
          <w:t>1.1.2.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The EU hydrogen strategy for a climate-neutral Europe</w:t>
        </w:r>
        <w:r w:rsidR="00785940">
          <w:rPr>
            <w:noProof/>
            <w:webHidden/>
          </w:rPr>
          <w:tab/>
        </w:r>
        <w:r w:rsidR="00785940">
          <w:rPr>
            <w:noProof/>
            <w:webHidden/>
          </w:rPr>
          <w:fldChar w:fldCharType="begin"/>
        </w:r>
        <w:r w:rsidR="00785940">
          <w:rPr>
            <w:noProof/>
            <w:webHidden/>
          </w:rPr>
          <w:instrText xml:space="preserve"> PAGEREF _Toc93907308 \h </w:instrText>
        </w:r>
        <w:r w:rsidR="00785940">
          <w:rPr>
            <w:noProof/>
            <w:webHidden/>
          </w:rPr>
        </w:r>
        <w:r w:rsidR="00785940">
          <w:rPr>
            <w:noProof/>
            <w:webHidden/>
          </w:rPr>
          <w:fldChar w:fldCharType="separate"/>
        </w:r>
        <w:r w:rsidR="00785940">
          <w:rPr>
            <w:noProof/>
            <w:webHidden/>
          </w:rPr>
          <w:t>21</w:t>
        </w:r>
        <w:r w:rsidR="00785940">
          <w:rPr>
            <w:noProof/>
            <w:webHidden/>
          </w:rPr>
          <w:fldChar w:fldCharType="end"/>
        </w:r>
      </w:hyperlink>
    </w:p>
    <w:p w14:paraId="79932575" w14:textId="7EAD4955"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09" w:history="1">
        <w:r w:rsidR="00785940" w:rsidRPr="00FC19BA">
          <w:rPr>
            <w:rStyle w:val="Hyperlink"/>
            <w:noProof/>
            <w14:scene3d>
              <w14:camera w14:prst="orthographicFront"/>
              <w14:lightRig w14:rig="threePt" w14:dir="t">
                <w14:rot w14:lat="0" w14:lon="0" w14:rev="0"/>
              </w14:lightRig>
            </w14:scene3d>
          </w:rPr>
          <w:t>1.2.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The R&amp;I support of hydrogen activities of the European Union</w:t>
        </w:r>
        <w:r w:rsidR="00785940">
          <w:rPr>
            <w:noProof/>
            <w:webHidden/>
          </w:rPr>
          <w:tab/>
        </w:r>
        <w:r w:rsidR="00785940">
          <w:rPr>
            <w:noProof/>
            <w:webHidden/>
          </w:rPr>
          <w:fldChar w:fldCharType="begin"/>
        </w:r>
        <w:r w:rsidR="00785940">
          <w:rPr>
            <w:noProof/>
            <w:webHidden/>
          </w:rPr>
          <w:instrText xml:space="preserve"> PAGEREF _Toc93907309 \h </w:instrText>
        </w:r>
        <w:r w:rsidR="00785940">
          <w:rPr>
            <w:noProof/>
            <w:webHidden/>
          </w:rPr>
        </w:r>
        <w:r w:rsidR="00785940">
          <w:rPr>
            <w:noProof/>
            <w:webHidden/>
          </w:rPr>
          <w:fldChar w:fldCharType="separate"/>
        </w:r>
        <w:r w:rsidR="00785940">
          <w:rPr>
            <w:noProof/>
            <w:webHidden/>
          </w:rPr>
          <w:t>24</w:t>
        </w:r>
        <w:r w:rsidR="00785940">
          <w:rPr>
            <w:noProof/>
            <w:webHidden/>
          </w:rPr>
          <w:fldChar w:fldCharType="end"/>
        </w:r>
      </w:hyperlink>
    </w:p>
    <w:p w14:paraId="1D10E39B" w14:textId="5D7FED1C"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10" w:history="1">
        <w:r w:rsidR="00785940" w:rsidRPr="00FC19BA">
          <w:rPr>
            <w:rStyle w:val="Hyperlink"/>
            <w:noProof/>
            <w:lang w:val="en-US"/>
          </w:rPr>
          <w:t>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shd w:val="clear" w:color="auto" w:fill="FFFFFF"/>
            <w:lang w:eastAsia="fr-FR" w:bidi="fr-FR"/>
          </w:rPr>
          <w:t>Clean Hydrogen Joint Undertaking</w:t>
        </w:r>
        <w:r w:rsidR="00785940">
          <w:rPr>
            <w:noProof/>
            <w:webHidden/>
          </w:rPr>
          <w:tab/>
        </w:r>
        <w:r w:rsidR="00785940">
          <w:rPr>
            <w:noProof/>
            <w:webHidden/>
          </w:rPr>
          <w:fldChar w:fldCharType="begin"/>
        </w:r>
        <w:r w:rsidR="00785940">
          <w:rPr>
            <w:noProof/>
            <w:webHidden/>
          </w:rPr>
          <w:instrText xml:space="preserve"> PAGEREF _Toc93907310 \h </w:instrText>
        </w:r>
        <w:r w:rsidR="00785940">
          <w:rPr>
            <w:noProof/>
            <w:webHidden/>
          </w:rPr>
        </w:r>
        <w:r w:rsidR="00785940">
          <w:rPr>
            <w:noProof/>
            <w:webHidden/>
          </w:rPr>
          <w:fldChar w:fldCharType="separate"/>
        </w:r>
        <w:r w:rsidR="00785940">
          <w:rPr>
            <w:noProof/>
            <w:webHidden/>
          </w:rPr>
          <w:t>26</w:t>
        </w:r>
        <w:r w:rsidR="00785940">
          <w:rPr>
            <w:noProof/>
            <w:webHidden/>
          </w:rPr>
          <w:fldChar w:fldCharType="end"/>
        </w:r>
      </w:hyperlink>
    </w:p>
    <w:p w14:paraId="2BF86C94" w14:textId="3578B3AA"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11" w:history="1">
        <w:r w:rsidR="00785940" w:rsidRPr="00FC19BA">
          <w:rPr>
            <w:rStyle w:val="Hyperlink"/>
            <w:noProof/>
            <w14:scene3d>
              <w14:camera w14:prst="orthographicFront"/>
              <w14:lightRig w14:rig="threePt" w14:dir="t">
                <w14:rot w14:lat="0" w14:lon="0" w14:rev="0"/>
              </w14:lightRig>
            </w14:scene3d>
          </w:rPr>
          <w:t>2.1.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Mission and vision of the Clean Hydrogen Joint Undertaking</w:t>
        </w:r>
        <w:r w:rsidR="00785940">
          <w:rPr>
            <w:noProof/>
            <w:webHidden/>
          </w:rPr>
          <w:tab/>
        </w:r>
        <w:r w:rsidR="00785940">
          <w:rPr>
            <w:noProof/>
            <w:webHidden/>
          </w:rPr>
          <w:fldChar w:fldCharType="begin"/>
        </w:r>
        <w:r w:rsidR="00785940">
          <w:rPr>
            <w:noProof/>
            <w:webHidden/>
          </w:rPr>
          <w:instrText xml:space="preserve"> PAGEREF _Toc93907311 \h </w:instrText>
        </w:r>
        <w:r w:rsidR="00785940">
          <w:rPr>
            <w:noProof/>
            <w:webHidden/>
          </w:rPr>
        </w:r>
        <w:r w:rsidR="00785940">
          <w:rPr>
            <w:noProof/>
            <w:webHidden/>
          </w:rPr>
          <w:fldChar w:fldCharType="separate"/>
        </w:r>
        <w:r w:rsidR="00785940">
          <w:rPr>
            <w:noProof/>
            <w:webHidden/>
          </w:rPr>
          <w:t>26</w:t>
        </w:r>
        <w:r w:rsidR="00785940">
          <w:rPr>
            <w:noProof/>
            <w:webHidden/>
          </w:rPr>
          <w:fldChar w:fldCharType="end"/>
        </w:r>
      </w:hyperlink>
    </w:p>
    <w:p w14:paraId="746A373D" w14:textId="1C789700"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12" w:history="1">
        <w:r w:rsidR="00785940" w:rsidRPr="00FC19BA">
          <w:rPr>
            <w:rStyle w:val="Hyperlink"/>
            <w:noProof/>
            <w14:scene3d>
              <w14:camera w14:prst="orthographicFront"/>
              <w14:lightRig w14:rig="threePt" w14:dir="t">
                <w14:rot w14:lat="0" w14:lon="0" w14:rev="0"/>
              </w14:lightRig>
            </w14:scene3d>
          </w:rPr>
          <w:t>2.2.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Objectives of the Clean Hydrogen JU for 2021-2027</w:t>
        </w:r>
        <w:r w:rsidR="00785940">
          <w:rPr>
            <w:noProof/>
            <w:webHidden/>
          </w:rPr>
          <w:tab/>
        </w:r>
        <w:r w:rsidR="00785940">
          <w:rPr>
            <w:noProof/>
            <w:webHidden/>
          </w:rPr>
          <w:fldChar w:fldCharType="begin"/>
        </w:r>
        <w:r w:rsidR="00785940">
          <w:rPr>
            <w:noProof/>
            <w:webHidden/>
          </w:rPr>
          <w:instrText xml:space="preserve"> PAGEREF _Toc93907312 \h </w:instrText>
        </w:r>
        <w:r w:rsidR="00785940">
          <w:rPr>
            <w:noProof/>
            <w:webHidden/>
          </w:rPr>
        </w:r>
        <w:r w:rsidR="00785940">
          <w:rPr>
            <w:noProof/>
            <w:webHidden/>
          </w:rPr>
          <w:fldChar w:fldCharType="separate"/>
        </w:r>
        <w:r w:rsidR="00785940">
          <w:rPr>
            <w:noProof/>
            <w:webHidden/>
          </w:rPr>
          <w:t>26</w:t>
        </w:r>
        <w:r w:rsidR="00785940">
          <w:rPr>
            <w:noProof/>
            <w:webHidden/>
          </w:rPr>
          <w:fldChar w:fldCharType="end"/>
        </w:r>
      </w:hyperlink>
    </w:p>
    <w:p w14:paraId="29D61852" w14:textId="0CA72D71"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13" w:history="1">
        <w:r w:rsidR="00785940" w:rsidRPr="00FC19BA">
          <w:rPr>
            <w:rStyle w:val="Hyperlink"/>
            <w:noProof/>
            <w:lang w:val="en-US"/>
          </w:rPr>
          <w:t>3.</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shd w:val="clear" w:color="auto" w:fill="FFFFFF"/>
            <w:lang w:eastAsia="fr-FR" w:bidi="fr-FR"/>
          </w:rPr>
          <w:t>Research and Innovation Activities</w:t>
        </w:r>
        <w:r w:rsidR="00785940">
          <w:rPr>
            <w:noProof/>
            <w:webHidden/>
          </w:rPr>
          <w:tab/>
        </w:r>
        <w:r w:rsidR="00785940">
          <w:rPr>
            <w:noProof/>
            <w:webHidden/>
          </w:rPr>
          <w:fldChar w:fldCharType="begin"/>
        </w:r>
        <w:r w:rsidR="00785940">
          <w:rPr>
            <w:noProof/>
            <w:webHidden/>
          </w:rPr>
          <w:instrText xml:space="preserve"> PAGEREF _Toc93907313 \h </w:instrText>
        </w:r>
        <w:r w:rsidR="00785940">
          <w:rPr>
            <w:noProof/>
            <w:webHidden/>
          </w:rPr>
        </w:r>
        <w:r w:rsidR="00785940">
          <w:rPr>
            <w:noProof/>
            <w:webHidden/>
          </w:rPr>
          <w:fldChar w:fldCharType="separate"/>
        </w:r>
        <w:r w:rsidR="00785940">
          <w:rPr>
            <w:noProof/>
            <w:webHidden/>
          </w:rPr>
          <w:t>28</w:t>
        </w:r>
        <w:r w:rsidR="00785940">
          <w:rPr>
            <w:noProof/>
            <w:webHidden/>
          </w:rPr>
          <w:fldChar w:fldCharType="end"/>
        </w:r>
      </w:hyperlink>
    </w:p>
    <w:p w14:paraId="156FD0B1" w14:textId="139CB7C3"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14" w:history="1">
        <w:r w:rsidR="00785940" w:rsidRPr="00FC19BA">
          <w:rPr>
            <w:rStyle w:val="Hyperlink"/>
            <w:noProof/>
            <w14:scene3d>
              <w14:camera w14:prst="orthographicFront"/>
              <w14:lightRig w14:rig="threePt" w14:dir="t">
                <w14:rot w14:lat="0" w14:lon="0" w14:rev="0"/>
              </w14:lightRig>
            </w14:scene3d>
          </w:rPr>
          <w:t>3.1.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Structure of the Clean Hydrogen JU Programme</w:t>
        </w:r>
        <w:r w:rsidR="00785940">
          <w:rPr>
            <w:noProof/>
            <w:webHidden/>
          </w:rPr>
          <w:tab/>
        </w:r>
        <w:r w:rsidR="00785940">
          <w:rPr>
            <w:noProof/>
            <w:webHidden/>
          </w:rPr>
          <w:fldChar w:fldCharType="begin"/>
        </w:r>
        <w:r w:rsidR="00785940">
          <w:rPr>
            <w:noProof/>
            <w:webHidden/>
          </w:rPr>
          <w:instrText xml:space="preserve"> PAGEREF _Toc93907314 \h </w:instrText>
        </w:r>
        <w:r w:rsidR="00785940">
          <w:rPr>
            <w:noProof/>
            <w:webHidden/>
          </w:rPr>
        </w:r>
        <w:r w:rsidR="00785940">
          <w:rPr>
            <w:noProof/>
            <w:webHidden/>
          </w:rPr>
          <w:fldChar w:fldCharType="separate"/>
        </w:r>
        <w:r w:rsidR="00785940">
          <w:rPr>
            <w:noProof/>
            <w:webHidden/>
          </w:rPr>
          <w:t>28</w:t>
        </w:r>
        <w:r w:rsidR="00785940">
          <w:rPr>
            <w:noProof/>
            <w:webHidden/>
          </w:rPr>
          <w:fldChar w:fldCharType="end"/>
        </w:r>
      </w:hyperlink>
    </w:p>
    <w:p w14:paraId="7DA5D40A" w14:textId="2DF6221E"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15" w:history="1">
        <w:r w:rsidR="00785940" w:rsidRPr="00FC19BA">
          <w:rPr>
            <w:rStyle w:val="Hyperlink"/>
            <w:noProof/>
            <w14:scene3d>
              <w14:camera w14:prst="orthographicFront"/>
              <w14:lightRig w14:rig="threePt" w14:dir="t">
                <w14:rot w14:lat="0" w14:lon="0" w14:rev="0"/>
              </w14:lightRig>
            </w14:scene3d>
          </w:rPr>
          <w:t>3.2.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Renewable Hydrogen production</w:t>
        </w:r>
        <w:r w:rsidR="00785940">
          <w:rPr>
            <w:noProof/>
            <w:webHidden/>
          </w:rPr>
          <w:tab/>
        </w:r>
        <w:r w:rsidR="00785940">
          <w:rPr>
            <w:noProof/>
            <w:webHidden/>
          </w:rPr>
          <w:fldChar w:fldCharType="begin"/>
        </w:r>
        <w:r w:rsidR="00785940">
          <w:rPr>
            <w:noProof/>
            <w:webHidden/>
          </w:rPr>
          <w:instrText xml:space="preserve"> PAGEREF _Toc93907315 \h </w:instrText>
        </w:r>
        <w:r w:rsidR="00785940">
          <w:rPr>
            <w:noProof/>
            <w:webHidden/>
          </w:rPr>
        </w:r>
        <w:r w:rsidR="00785940">
          <w:rPr>
            <w:noProof/>
            <w:webHidden/>
          </w:rPr>
          <w:fldChar w:fldCharType="separate"/>
        </w:r>
        <w:r w:rsidR="00785940">
          <w:rPr>
            <w:noProof/>
            <w:webHidden/>
          </w:rPr>
          <w:t>30</w:t>
        </w:r>
        <w:r w:rsidR="00785940">
          <w:rPr>
            <w:noProof/>
            <w:webHidden/>
          </w:rPr>
          <w:fldChar w:fldCharType="end"/>
        </w:r>
      </w:hyperlink>
    </w:p>
    <w:p w14:paraId="5DC4773F" w14:textId="780C5A30"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16" w:history="1">
        <w:r w:rsidR="00785940" w:rsidRPr="00FC19BA">
          <w:rPr>
            <w:rStyle w:val="Hyperlink"/>
            <w:noProof/>
            <w14:scene3d>
              <w14:camera w14:prst="orthographicFront"/>
              <w14:lightRig w14:rig="threePt" w14:dir="t">
                <w14:rot w14:lat="0" w14:lon="0" w14:rev="0"/>
              </w14:lightRig>
            </w14:scene3d>
          </w:rPr>
          <w:t>3.2.1.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Electrolysis</w:t>
        </w:r>
        <w:r w:rsidR="00785940">
          <w:rPr>
            <w:noProof/>
            <w:webHidden/>
          </w:rPr>
          <w:tab/>
        </w:r>
        <w:r w:rsidR="00785940">
          <w:rPr>
            <w:noProof/>
            <w:webHidden/>
          </w:rPr>
          <w:fldChar w:fldCharType="begin"/>
        </w:r>
        <w:r w:rsidR="00785940">
          <w:rPr>
            <w:noProof/>
            <w:webHidden/>
          </w:rPr>
          <w:instrText xml:space="preserve"> PAGEREF _Toc93907316 \h </w:instrText>
        </w:r>
        <w:r w:rsidR="00785940">
          <w:rPr>
            <w:noProof/>
            <w:webHidden/>
          </w:rPr>
        </w:r>
        <w:r w:rsidR="00785940">
          <w:rPr>
            <w:noProof/>
            <w:webHidden/>
          </w:rPr>
          <w:fldChar w:fldCharType="separate"/>
        </w:r>
        <w:r w:rsidR="00785940">
          <w:rPr>
            <w:noProof/>
            <w:webHidden/>
          </w:rPr>
          <w:t>31</w:t>
        </w:r>
        <w:r w:rsidR="00785940">
          <w:rPr>
            <w:noProof/>
            <w:webHidden/>
          </w:rPr>
          <w:fldChar w:fldCharType="end"/>
        </w:r>
      </w:hyperlink>
    </w:p>
    <w:p w14:paraId="551F9037" w14:textId="5C84A3E5"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17" w:history="1">
        <w:r w:rsidR="00785940" w:rsidRPr="00FC19BA">
          <w:rPr>
            <w:rStyle w:val="Hyperlink"/>
            <w:noProof/>
            <w14:scene3d>
              <w14:camera w14:prst="orthographicFront"/>
              <w14:lightRig w14:rig="threePt" w14:dir="t">
                <w14:rot w14:lat="0" w14:lon="0" w14:rev="0"/>
              </w14:lightRig>
            </w14:scene3d>
          </w:rPr>
          <w:t>3.2.2.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Other routes of renewable hydrogen production</w:t>
        </w:r>
        <w:r w:rsidR="00785940">
          <w:rPr>
            <w:noProof/>
            <w:webHidden/>
          </w:rPr>
          <w:tab/>
        </w:r>
        <w:r w:rsidR="00785940">
          <w:rPr>
            <w:noProof/>
            <w:webHidden/>
          </w:rPr>
          <w:fldChar w:fldCharType="begin"/>
        </w:r>
        <w:r w:rsidR="00785940">
          <w:rPr>
            <w:noProof/>
            <w:webHidden/>
          </w:rPr>
          <w:instrText xml:space="preserve"> PAGEREF _Toc93907317 \h </w:instrText>
        </w:r>
        <w:r w:rsidR="00785940">
          <w:rPr>
            <w:noProof/>
            <w:webHidden/>
          </w:rPr>
        </w:r>
        <w:r w:rsidR="00785940">
          <w:rPr>
            <w:noProof/>
            <w:webHidden/>
          </w:rPr>
          <w:fldChar w:fldCharType="separate"/>
        </w:r>
        <w:r w:rsidR="00785940">
          <w:rPr>
            <w:noProof/>
            <w:webHidden/>
          </w:rPr>
          <w:t>36</w:t>
        </w:r>
        <w:r w:rsidR="00785940">
          <w:rPr>
            <w:noProof/>
            <w:webHidden/>
          </w:rPr>
          <w:fldChar w:fldCharType="end"/>
        </w:r>
      </w:hyperlink>
    </w:p>
    <w:p w14:paraId="36EC7023" w14:textId="5B781158"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18" w:history="1">
        <w:r w:rsidR="00785940" w:rsidRPr="00FC19BA">
          <w:rPr>
            <w:rStyle w:val="Hyperlink"/>
            <w:noProof/>
            <w14:scene3d>
              <w14:camera w14:prst="orthographicFront"/>
              <w14:lightRig w14:rig="threePt" w14:dir="t">
                <w14:rot w14:lat="0" w14:lon="0" w14:rev="0"/>
              </w14:lightRig>
            </w14:scene3d>
          </w:rPr>
          <w:t>3.3.</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Hydrogen storage and distribution</w:t>
        </w:r>
        <w:r w:rsidR="00785940">
          <w:rPr>
            <w:noProof/>
            <w:webHidden/>
          </w:rPr>
          <w:tab/>
        </w:r>
        <w:r w:rsidR="00785940">
          <w:rPr>
            <w:noProof/>
            <w:webHidden/>
          </w:rPr>
          <w:fldChar w:fldCharType="begin"/>
        </w:r>
        <w:r w:rsidR="00785940">
          <w:rPr>
            <w:noProof/>
            <w:webHidden/>
          </w:rPr>
          <w:instrText xml:space="preserve"> PAGEREF _Toc93907318 \h </w:instrText>
        </w:r>
        <w:r w:rsidR="00785940">
          <w:rPr>
            <w:noProof/>
            <w:webHidden/>
          </w:rPr>
        </w:r>
        <w:r w:rsidR="00785940">
          <w:rPr>
            <w:noProof/>
            <w:webHidden/>
          </w:rPr>
          <w:fldChar w:fldCharType="separate"/>
        </w:r>
        <w:r w:rsidR="00785940">
          <w:rPr>
            <w:noProof/>
            <w:webHidden/>
          </w:rPr>
          <w:t>38</w:t>
        </w:r>
        <w:r w:rsidR="00785940">
          <w:rPr>
            <w:noProof/>
            <w:webHidden/>
          </w:rPr>
          <w:fldChar w:fldCharType="end"/>
        </w:r>
      </w:hyperlink>
    </w:p>
    <w:p w14:paraId="2796C69C" w14:textId="131444C9"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19" w:history="1">
        <w:r w:rsidR="00785940" w:rsidRPr="00FC19BA">
          <w:rPr>
            <w:rStyle w:val="Hyperlink"/>
            <w:noProof/>
            <w14:scene3d>
              <w14:camera w14:prst="orthographicFront"/>
              <w14:lightRig w14:rig="threePt" w14:dir="t">
                <w14:rot w14:lat="0" w14:lon="0" w14:rev="0"/>
              </w14:lightRig>
            </w14:scene3d>
          </w:rPr>
          <w:t>3.3.1.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Hydrogen Storage</w:t>
        </w:r>
        <w:r w:rsidR="00785940">
          <w:rPr>
            <w:noProof/>
            <w:webHidden/>
          </w:rPr>
          <w:tab/>
        </w:r>
        <w:r w:rsidR="00785940">
          <w:rPr>
            <w:noProof/>
            <w:webHidden/>
          </w:rPr>
          <w:fldChar w:fldCharType="begin"/>
        </w:r>
        <w:r w:rsidR="00785940">
          <w:rPr>
            <w:noProof/>
            <w:webHidden/>
          </w:rPr>
          <w:instrText xml:space="preserve"> PAGEREF _Toc93907319 \h </w:instrText>
        </w:r>
        <w:r w:rsidR="00785940">
          <w:rPr>
            <w:noProof/>
            <w:webHidden/>
          </w:rPr>
        </w:r>
        <w:r w:rsidR="00785940">
          <w:rPr>
            <w:noProof/>
            <w:webHidden/>
          </w:rPr>
          <w:fldChar w:fldCharType="separate"/>
        </w:r>
        <w:r w:rsidR="00785940">
          <w:rPr>
            <w:noProof/>
            <w:webHidden/>
          </w:rPr>
          <w:t>39</w:t>
        </w:r>
        <w:r w:rsidR="00785940">
          <w:rPr>
            <w:noProof/>
            <w:webHidden/>
          </w:rPr>
          <w:fldChar w:fldCharType="end"/>
        </w:r>
      </w:hyperlink>
    </w:p>
    <w:p w14:paraId="5E4E049E" w14:textId="40CFC435"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20" w:history="1">
        <w:r w:rsidR="00785940" w:rsidRPr="00FC19BA">
          <w:rPr>
            <w:rStyle w:val="Hyperlink"/>
            <w:noProof/>
            <w14:scene3d>
              <w14:camera w14:prst="orthographicFront"/>
              <w14:lightRig w14:rig="threePt" w14:dir="t">
                <w14:rot w14:lat="0" w14:lon="0" w14:rev="0"/>
              </w14:lightRig>
            </w14:scene3d>
          </w:rPr>
          <w:t>3.3.2.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Hydrogen in the Natural Gas Grid</w:t>
        </w:r>
        <w:r w:rsidR="00785940">
          <w:rPr>
            <w:noProof/>
            <w:webHidden/>
          </w:rPr>
          <w:tab/>
        </w:r>
        <w:r w:rsidR="00785940">
          <w:rPr>
            <w:noProof/>
            <w:webHidden/>
          </w:rPr>
          <w:fldChar w:fldCharType="begin"/>
        </w:r>
        <w:r w:rsidR="00785940">
          <w:rPr>
            <w:noProof/>
            <w:webHidden/>
          </w:rPr>
          <w:instrText xml:space="preserve"> PAGEREF _Toc93907320 \h </w:instrText>
        </w:r>
        <w:r w:rsidR="00785940">
          <w:rPr>
            <w:noProof/>
            <w:webHidden/>
          </w:rPr>
        </w:r>
        <w:r w:rsidR="00785940">
          <w:rPr>
            <w:noProof/>
            <w:webHidden/>
          </w:rPr>
          <w:fldChar w:fldCharType="separate"/>
        </w:r>
        <w:r w:rsidR="00785940">
          <w:rPr>
            <w:noProof/>
            <w:webHidden/>
          </w:rPr>
          <w:t>42</w:t>
        </w:r>
        <w:r w:rsidR="00785940">
          <w:rPr>
            <w:noProof/>
            <w:webHidden/>
          </w:rPr>
          <w:fldChar w:fldCharType="end"/>
        </w:r>
      </w:hyperlink>
    </w:p>
    <w:p w14:paraId="72141935" w14:textId="196D4146"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21" w:history="1">
        <w:r w:rsidR="00785940" w:rsidRPr="00FC19BA">
          <w:rPr>
            <w:rStyle w:val="Hyperlink"/>
            <w:noProof/>
            <w14:scene3d>
              <w14:camera w14:prst="orthographicFront"/>
              <w14:lightRig w14:rig="threePt" w14:dir="t">
                <w14:rot w14:lat="0" w14:lon="0" w14:rev="0"/>
              </w14:lightRig>
            </w14:scene3d>
          </w:rPr>
          <w:t>3.3.3.</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Liquid Hydrogen Carriers</w:t>
        </w:r>
        <w:r w:rsidR="00785940">
          <w:rPr>
            <w:noProof/>
            <w:webHidden/>
          </w:rPr>
          <w:tab/>
        </w:r>
        <w:r w:rsidR="00785940">
          <w:rPr>
            <w:noProof/>
            <w:webHidden/>
          </w:rPr>
          <w:fldChar w:fldCharType="begin"/>
        </w:r>
        <w:r w:rsidR="00785940">
          <w:rPr>
            <w:noProof/>
            <w:webHidden/>
          </w:rPr>
          <w:instrText xml:space="preserve"> PAGEREF _Toc93907321 \h </w:instrText>
        </w:r>
        <w:r w:rsidR="00785940">
          <w:rPr>
            <w:noProof/>
            <w:webHidden/>
          </w:rPr>
        </w:r>
        <w:r w:rsidR="00785940">
          <w:rPr>
            <w:noProof/>
            <w:webHidden/>
          </w:rPr>
          <w:fldChar w:fldCharType="separate"/>
        </w:r>
        <w:r w:rsidR="00785940">
          <w:rPr>
            <w:noProof/>
            <w:webHidden/>
          </w:rPr>
          <w:t>45</w:t>
        </w:r>
        <w:r w:rsidR="00785940">
          <w:rPr>
            <w:noProof/>
            <w:webHidden/>
          </w:rPr>
          <w:fldChar w:fldCharType="end"/>
        </w:r>
      </w:hyperlink>
    </w:p>
    <w:p w14:paraId="0817F11B" w14:textId="7D86E054"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22" w:history="1">
        <w:r w:rsidR="00785940" w:rsidRPr="00FC19BA">
          <w:rPr>
            <w:rStyle w:val="Hyperlink"/>
            <w:noProof/>
            <w14:scene3d>
              <w14:camera w14:prst="orthographicFront"/>
              <w14:lightRig w14:rig="threePt" w14:dir="t">
                <w14:rot w14:lat="0" w14:lon="0" w14:rev="0"/>
              </w14:lightRig>
            </w14:scene3d>
          </w:rPr>
          <w:t>3.3.4.</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Improving Existing Hydrogen Transport means</w:t>
        </w:r>
        <w:r w:rsidR="00785940">
          <w:rPr>
            <w:noProof/>
            <w:webHidden/>
          </w:rPr>
          <w:tab/>
        </w:r>
        <w:r w:rsidR="00785940">
          <w:rPr>
            <w:noProof/>
            <w:webHidden/>
          </w:rPr>
          <w:fldChar w:fldCharType="begin"/>
        </w:r>
        <w:r w:rsidR="00785940">
          <w:rPr>
            <w:noProof/>
            <w:webHidden/>
          </w:rPr>
          <w:instrText xml:space="preserve"> PAGEREF _Toc93907322 \h </w:instrText>
        </w:r>
        <w:r w:rsidR="00785940">
          <w:rPr>
            <w:noProof/>
            <w:webHidden/>
          </w:rPr>
        </w:r>
        <w:r w:rsidR="00785940">
          <w:rPr>
            <w:noProof/>
            <w:webHidden/>
          </w:rPr>
          <w:fldChar w:fldCharType="separate"/>
        </w:r>
        <w:r w:rsidR="00785940">
          <w:rPr>
            <w:noProof/>
            <w:webHidden/>
          </w:rPr>
          <w:t>48</w:t>
        </w:r>
        <w:r w:rsidR="00785940">
          <w:rPr>
            <w:noProof/>
            <w:webHidden/>
          </w:rPr>
          <w:fldChar w:fldCharType="end"/>
        </w:r>
      </w:hyperlink>
    </w:p>
    <w:p w14:paraId="19894D30" w14:textId="31A78A88"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23" w:history="1">
        <w:r w:rsidR="00785940" w:rsidRPr="00FC19BA">
          <w:rPr>
            <w:rStyle w:val="Hyperlink"/>
            <w:noProof/>
            <w14:scene3d>
              <w14:camera w14:prst="orthographicFront"/>
              <w14:lightRig w14:rig="threePt" w14:dir="t">
                <w14:rot w14:lat="0" w14:lon="0" w14:rev="0"/>
              </w14:lightRig>
            </w14:scene3d>
          </w:rPr>
          <w:t>3.3.5.</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Compression, Purification and Metering Solutions</w:t>
        </w:r>
        <w:r w:rsidR="00785940">
          <w:rPr>
            <w:noProof/>
            <w:webHidden/>
          </w:rPr>
          <w:tab/>
        </w:r>
        <w:r w:rsidR="00785940">
          <w:rPr>
            <w:noProof/>
            <w:webHidden/>
          </w:rPr>
          <w:fldChar w:fldCharType="begin"/>
        </w:r>
        <w:r w:rsidR="00785940">
          <w:rPr>
            <w:noProof/>
            <w:webHidden/>
          </w:rPr>
          <w:instrText xml:space="preserve"> PAGEREF _Toc93907323 \h </w:instrText>
        </w:r>
        <w:r w:rsidR="00785940">
          <w:rPr>
            <w:noProof/>
            <w:webHidden/>
          </w:rPr>
        </w:r>
        <w:r w:rsidR="00785940">
          <w:rPr>
            <w:noProof/>
            <w:webHidden/>
          </w:rPr>
          <w:fldChar w:fldCharType="separate"/>
        </w:r>
        <w:r w:rsidR="00785940">
          <w:rPr>
            <w:noProof/>
            <w:webHidden/>
          </w:rPr>
          <w:t>50</w:t>
        </w:r>
        <w:r w:rsidR="00785940">
          <w:rPr>
            <w:noProof/>
            <w:webHidden/>
          </w:rPr>
          <w:fldChar w:fldCharType="end"/>
        </w:r>
      </w:hyperlink>
    </w:p>
    <w:p w14:paraId="4362DCA4" w14:textId="4B26B236"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24" w:history="1">
        <w:r w:rsidR="00785940" w:rsidRPr="00FC19BA">
          <w:rPr>
            <w:rStyle w:val="Hyperlink"/>
            <w:noProof/>
            <w14:scene3d>
              <w14:camera w14:prst="orthographicFront"/>
              <w14:lightRig w14:rig="threePt" w14:dir="t">
                <w14:rot w14:lat="0" w14:lon="0" w14:rev="0"/>
              </w14:lightRig>
            </w14:scene3d>
          </w:rPr>
          <w:t>3.3.6.</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Hydrogen Refuelling Stations (HRS)</w:t>
        </w:r>
        <w:r w:rsidR="00785940">
          <w:rPr>
            <w:noProof/>
            <w:webHidden/>
          </w:rPr>
          <w:tab/>
        </w:r>
        <w:r w:rsidR="00785940">
          <w:rPr>
            <w:noProof/>
            <w:webHidden/>
          </w:rPr>
          <w:fldChar w:fldCharType="begin"/>
        </w:r>
        <w:r w:rsidR="00785940">
          <w:rPr>
            <w:noProof/>
            <w:webHidden/>
          </w:rPr>
          <w:instrText xml:space="preserve"> PAGEREF _Toc93907324 \h </w:instrText>
        </w:r>
        <w:r w:rsidR="00785940">
          <w:rPr>
            <w:noProof/>
            <w:webHidden/>
          </w:rPr>
        </w:r>
        <w:r w:rsidR="00785940">
          <w:rPr>
            <w:noProof/>
            <w:webHidden/>
          </w:rPr>
          <w:fldChar w:fldCharType="separate"/>
        </w:r>
        <w:r w:rsidR="00785940">
          <w:rPr>
            <w:noProof/>
            <w:webHidden/>
          </w:rPr>
          <w:t>53</w:t>
        </w:r>
        <w:r w:rsidR="00785940">
          <w:rPr>
            <w:noProof/>
            <w:webHidden/>
          </w:rPr>
          <w:fldChar w:fldCharType="end"/>
        </w:r>
      </w:hyperlink>
    </w:p>
    <w:p w14:paraId="42B74DE1" w14:textId="360975DE"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25" w:history="1">
        <w:r w:rsidR="00785940" w:rsidRPr="00FC19BA">
          <w:rPr>
            <w:rStyle w:val="Hyperlink"/>
            <w:noProof/>
            <w14:scene3d>
              <w14:camera w14:prst="orthographicFront"/>
              <w14:lightRig w14:rig="threePt" w14:dir="t">
                <w14:rot w14:lat="0" w14:lon="0" w14:rev="0"/>
              </w14:lightRig>
            </w14:scene3d>
          </w:rPr>
          <w:t>3.4.</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Hydrogen end uses: Transport applications</w:t>
        </w:r>
        <w:r w:rsidR="00785940">
          <w:rPr>
            <w:noProof/>
            <w:webHidden/>
          </w:rPr>
          <w:tab/>
        </w:r>
        <w:r w:rsidR="00785940">
          <w:rPr>
            <w:noProof/>
            <w:webHidden/>
          </w:rPr>
          <w:fldChar w:fldCharType="begin"/>
        </w:r>
        <w:r w:rsidR="00785940">
          <w:rPr>
            <w:noProof/>
            <w:webHidden/>
          </w:rPr>
          <w:instrText xml:space="preserve"> PAGEREF _Toc93907325 \h </w:instrText>
        </w:r>
        <w:r w:rsidR="00785940">
          <w:rPr>
            <w:noProof/>
            <w:webHidden/>
          </w:rPr>
        </w:r>
        <w:r w:rsidR="00785940">
          <w:rPr>
            <w:noProof/>
            <w:webHidden/>
          </w:rPr>
          <w:fldChar w:fldCharType="separate"/>
        </w:r>
        <w:r w:rsidR="00785940">
          <w:rPr>
            <w:noProof/>
            <w:webHidden/>
          </w:rPr>
          <w:t>55</w:t>
        </w:r>
        <w:r w:rsidR="00785940">
          <w:rPr>
            <w:noProof/>
            <w:webHidden/>
          </w:rPr>
          <w:fldChar w:fldCharType="end"/>
        </w:r>
      </w:hyperlink>
    </w:p>
    <w:p w14:paraId="0D338376" w14:textId="52BF88B6"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26" w:history="1">
        <w:r w:rsidR="00785940" w:rsidRPr="00FC19BA">
          <w:rPr>
            <w:rStyle w:val="Hyperlink"/>
            <w:noProof/>
            <w14:scene3d>
              <w14:camera w14:prst="orthographicFront"/>
              <w14:lightRig w14:rig="threePt" w14:dir="t">
                <w14:rot w14:lat="0" w14:lon="0" w14:rev="0"/>
              </w14:lightRig>
            </w14:scene3d>
          </w:rPr>
          <w:t>3.4.1.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Building Blocks</w:t>
        </w:r>
        <w:r w:rsidR="00785940">
          <w:rPr>
            <w:noProof/>
            <w:webHidden/>
          </w:rPr>
          <w:tab/>
        </w:r>
        <w:r w:rsidR="00785940">
          <w:rPr>
            <w:noProof/>
            <w:webHidden/>
          </w:rPr>
          <w:fldChar w:fldCharType="begin"/>
        </w:r>
        <w:r w:rsidR="00785940">
          <w:rPr>
            <w:noProof/>
            <w:webHidden/>
          </w:rPr>
          <w:instrText xml:space="preserve"> PAGEREF _Toc93907326 \h </w:instrText>
        </w:r>
        <w:r w:rsidR="00785940">
          <w:rPr>
            <w:noProof/>
            <w:webHidden/>
          </w:rPr>
        </w:r>
        <w:r w:rsidR="00785940">
          <w:rPr>
            <w:noProof/>
            <w:webHidden/>
          </w:rPr>
          <w:fldChar w:fldCharType="separate"/>
        </w:r>
        <w:r w:rsidR="00785940">
          <w:rPr>
            <w:noProof/>
            <w:webHidden/>
          </w:rPr>
          <w:t>57</w:t>
        </w:r>
        <w:r w:rsidR="00785940">
          <w:rPr>
            <w:noProof/>
            <w:webHidden/>
          </w:rPr>
          <w:fldChar w:fldCharType="end"/>
        </w:r>
      </w:hyperlink>
    </w:p>
    <w:p w14:paraId="0C470DBA" w14:textId="464D88B6"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27" w:history="1">
        <w:r w:rsidR="00785940" w:rsidRPr="00FC19BA">
          <w:rPr>
            <w:rStyle w:val="Hyperlink"/>
            <w:noProof/>
            <w14:scene3d>
              <w14:camera w14:prst="orthographicFront"/>
              <w14:lightRig w14:rig="threePt" w14:dir="t">
                <w14:rot w14:lat="0" w14:lon="0" w14:rev="0"/>
              </w14:lightRig>
            </w14:scene3d>
          </w:rPr>
          <w:t>3.4.2.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Heavy duty vehicles</w:t>
        </w:r>
        <w:r w:rsidR="00785940">
          <w:rPr>
            <w:noProof/>
            <w:webHidden/>
          </w:rPr>
          <w:tab/>
        </w:r>
        <w:r w:rsidR="00785940">
          <w:rPr>
            <w:noProof/>
            <w:webHidden/>
          </w:rPr>
          <w:fldChar w:fldCharType="begin"/>
        </w:r>
        <w:r w:rsidR="00785940">
          <w:rPr>
            <w:noProof/>
            <w:webHidden/>
          </w:rPr>
          <w:instrText xml:space="preserve"> PAGEREF _Toc93907327 \h </w:instrText>
        </w:r>
        <w:r w:rsidR="00785940">
          <w:rPr>
            <w:noProof/>
            <w:webHidden/>
          </w:rPr>
        </w:r>
        <w:r w:rsidR="00785940">
          <w:rPr>
            <w:noProof/>
            <w:webHidden/>
          </w:rPr>
          <w:fldChar w:fldCharType="separate"/>
        </w:r>
        <w:r w:rsidR="00785940">
          <w:rPr>
            <w:noProof/>
            <w:webHidden/>
          </w:rPr>
          <w:t>60</w:t>
        </w:r>
        <w:r w:rsidR="00785940">
          <w:rPr>
            <w:noProof/>
            <w:webHidden/>
          </w:rPr>
          <w:fldChar w:fldCharType="end"/>
        </w:r>
      </w:hyperlink>
    </w:p>
    <w:p w14:paraId="1CE65377" w14:textId="6069BC13"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28" w:history="1">
        <w:r w:rsidR="00785940" w:rsidRPr="00FC19BA">
          <w:rPr>
            <w:rStyle w:val="Hyperlink"/>
            <w:noProof/>
            <w14:scene3d>
              <w14:camera w14:prst="orthographicFront"/>
              <w14:lightRig w14:rig="threePt" w14:dir="t">
                <w14:rot w14:lat="0" w14:lon="0" w14:rev="0"/>
              </w14:lightRig>
            </w14:scene3d>
          </w:rPr>
          <w:t>3.4.3.</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Waterborne applications</w:t>
        </w:r>
        <w:r w:rsidR="00785940">
          <w:rPr>
            <w:noProof/>
            <w:webHidden/>
          </w:rPr>
          <w:tab/>
        </w:r>
        <w:r w:rsidR="00785940">
          <w:rPr>
            <w:noProof/>
            <w:webHidden/>
          </w:rPr>
          <w:fldChar w:fldCharType="begin"/>
        </w:r>
        <w:r w:rsidR="00785940">
          <w:rPr>
            <w:noProof/>
            <w:webHidden/>
          </w:rPr>
          <w:instrText xml:space="preserve"> PAGEREF _Toc93907328 \h </w:instrText>
        </w:r>
        <w:r w:rsidR="00785940">
          <w:rPr>
            <w:noProof/>
            <w:webHidden/>
          </w:rPr>
        </w:r>
        <w:r w:rsidR="00785940">
          <w:rPr>
            <w:noProof/>
            <w:webHidden/>
          </w:rPr>
          <w:fldChar w:fldCharType="separate"/>
        </w:r>
        <w:r w:rsidR="00785940">
          <w:rPr>
            <w:noProof/>
            <w:webHidden/>
          </w:rPr>
          <w:t>63</w:t>
        </w:r>
        <w:r w:rsidR="00785940">
          <w:rPr>
            <w:noProof/>
            <w:webHidden/>
          </w:rPr>
          <w:fldChar w:fldCharType="end"/>
        </w:r>
      </w:hyperlink>
    </w:p>
    <w:p w14:paraId="4B1CCD3A" w14:textId="5066CEBF"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29" w:history="1">
        <w:r w:rsidR="00785940" w:rsidRPr="00FC19BA">
          <w:rPr>
            <w:rStyle w:val="Hyperlink"/>
            <w:noProof/>
            <w14:scene3d>
              <w14:camera w14:prst="orthographicFront"/>
              <w14:lightRig w14:rig="threePt" w14:dir="t">
                <w14:rot w14:lat="0" w14:lon="0" w14:rev="0"/>
              </w14:lightRig>
            </w14:scene3d>
          </w:rPr>
          <w:t>3.4.4.</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Rail applications</w:t>
        </w:r>
        <w:r w:rsidR="00785940">
          <w:rPr>
            <w:noProof/>
            <w:webHidden/>
          </w:rPr>
          <w:tab/>
        </w:r>
        <w:r w:rsidR="00785940">
          <w:rPr>
            <w:noProof/>
            <w:webHidden/>
          </w:rPr>
          <w:fldChar w:fldCharType="begin"/>
        </w:r>
        <w:r w:rsidR="00785940">
          <w:rPr>
            <w:noProof/>
            <w:webHidden/>
          </w:rPr>
          <w:instrText xml:space="preserve"> PAGEREF _Toc93907329 \h </w:instrText>
        </w:r>
        <w:r w:rsidR="00785940">
          <w:rPr>
            <w:noProof/>
            <w:webHidden/>
          </w:rPr>
        </w:r>
        <w:r w:rsidR="00785940">
          <w:rPr>
            <w:noProof/>
            <w:webHidden/>
          </w:rPr>
          <w:fldChar w:fldCharType="separate"/>
        </w:r>
        <w:r w:rsidR="00785940">
          <w:rPr>
            <w:noProof/>
            <w:webHidden/>
          </w:rPr>
          <w:t>68</w:t>
        </w:r>
        <w:r w:rsidR="00785940">
          <w:rPr>
            <w:noProof/>
            <w:webHidden/>
          </w:rPr>
          <w:fldChar w:fldCharType="end"/>
        </w:r>
      </w:hyperlink>
    </w:p>
    <w:p w14:paraId="2AFA1179" w14:textId="4831EE17"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30" w:history="1">
        <w:r w:rsidR="00785940" w:rsidRPr="00FC19BA">
          <w:rPr>
            <w:rStyle w:val="Hyperlink"/>
            <w:noProof/>
            <w14:scene3d>
              <w14:camera w14:prst="orthographicFront"/>
              <w14:lightRig w14:rig="threePt" w14:dir="t">
                <w14:rot w14:lat="0" w14:lon="0" w14:rev="0"/>
              </w14:lightRig>
            </w14:scene3d>
          </w:rPr>
          <w:t>3.4.5.</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Aeronautic applications</w:t>
        </w:r>
        <w:r w:rsidR="00785940">
          <w:rPr>
            <w:noProof/>
            <w:webHidden/>
          </w:rPr>
          <w:tab/>
        </w:r>
        <w:r w:rsidR="00785940">
          <w:rPr>
            <w:noProof/>
            <w:webHidden/>
          </w:rPr>
          <w:fldChar w:fldCharType="begin"/>
        </w:r>
        <w:r w:rsidR="00785940">
          <w:rPr>
            <w:noProof/>
            <w:webHidden/>
          </w:rPr>
          <w:instrText xml:space="preserve"> PAGEREF _Toc93907330 \h </w:instrText>
        </w:r>
        <w:r w:rsidR="00785940">
          <w:rPr>
            <w:noProof/>
            <w:webHidden/>
          </w:rPr>
        </w:r>
        <w:r w:rsidR="00785940">
          <w:rPr>
            <w:noProof/>
            <w:webHidden/>
          </w:rPr>
          <w:fldChar w:fldCharType="separate"/>
        </w:r>
        <w:r w:rsidR="00785940">
          <w:rPr>
            <w:noProof/>
            <w:webHidden/>
          </w:rPr>
          <w:t>70</w:t>
        </w:r>
        <w:r w:rsidR="00785940">
          <w:rPr>
            <w:noProof/>
            <w:webHidden/>
          </w:rPr>
          <w:fldChar w:fldCharType="end"/>
        </w:r>
      </w:hyperlink>
    </w:p>
    <w:p w14:paraId="567D1BE8" w14:textId="656B400F"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31" w:history="1">
        <w:r w:rsidR="00785940" w:rsidRPr="00FC19BA">
          <w:rPr>
            <w:rStyle w:val="Hyperlink"/>
            <w:noProof/>
            <w14:scene3d>
              <w14:camera w14:prst="orthographicFront"/>
              <w14:lightRig w14:rig="threePt" w14:dir="t">
                <w14:rot w14:lat="0" w14:lon="0" w14:rev="0"/>
              </w14:lightRig>
            </w14:scene3d>
          </w:rPr>
          <w:t>3.5.</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Hydrogen end uses: Clean heat and power</w:t>
        </w:r>
        <w:r w:rsidR="00785940">
          <w:rPr>
            <w:noProof/>
            <w:webHidden/>
          </w:rPr>
          <w:tab/>
        </w:r>
        <w:r w:rsidR="00785940">
          <w:rPr>
            <w:noProof/>
            <w:webHidden/>
          </w:rPr>
          <w:fldChar w:fldCharType="begin"/>
        </w:r>
        <w:r w:rsidR="00785940">
          <w:rPr>
            <w:noProof/>
            <w:webHidden/>
          </w:rPr>
          <w:instrText xml:space="preserve"> PAGEREF _Toc93907331 \h </w:instrText>
        </w:r>
        <w:r w:rsidR="00785940">
          <w:rPr>
            <w:noProof/>
            <w:webHidden/>
          </w:rPr>
        </w:r>
        <w:r w:rsidR="00785940">
          <w:rPr>
            <w:noProof/>
            <w:webHidden/>
          </w:rPr>
          <w:fldChar w:fldCharType="separate"/>
        </w:r>
        <w:r w:rsidR="00785940">
          <w:rPr>
            <w:noProof/>
            <w:webHidden/>
          </w:rPr>
          <w:t>74</w:t>
        </w:r>
        <w:r w:rsidR="00785940">
          <w:rPr>
            <w:noProof/>
            <w:webHidden/>
          </w:rPr>
          <w:fldChar w:fldCharType="end"/>
        </w:r>
      </w:hyperlink>
    </w:p>
    <w:p w14:paraId="18A48207" w14:textId="02FEA25B"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32" w:history="1">
        <w:r w:rsidR="00785940" w:rsidRPr="00FC19BA">
          <w:rPr>
            <w:rStyle w:val="Hyperlink"/>
            <w:noProof/>
            <w14:scene3d>
              <w14:camera w14:prst="orthographicFront"/>
              <w14:lightRig w14:rig="threePt" w14:dir="t">
                <w14:rot w14:lat="0" w14:lon="0" w14:rev="0"/>
              </w14:lightRig>
            </w14:scene3d>
          </w:rPr>
          <w:t>3.5.1.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Stationary Fuel Cells</w:t>
        </w:r>
        <w:r w:rsidR="00785940">
          <w:rPr>
            <w:noProof/>
            <w:webHidden/>
          </w:rPr>
          <w:tab/>
        </w:r>
        <w:r w:rsidR="00785940">
          <w:rPr>
            <w:noProof/>
            <w:webHidden/>
          </w:rPr>
          <w:fldChar w:fldCharType="begin"/>
        </w:r>
        <w:r w:rsidR="00785940">
          <w:rPr>
            <w:noProof/>
            <w:webHidden/>
          </w:rPr>
          <w:instrText xml:space="preserve"> PAGEREF _Toc93907332 \h </w:instrText>
        </w:r>
        <w:r w:rsidR="00785940">
          <w:rPr>
            <w:noProof/>
            <w:webHidden/>
          </w:rPr>
        </w:r>
        <w:r w:rsidR="00785940">
          <w:rPr>
            <w:noProof/>
            <w:webHidden/>
          </w:rPr>
          <w:fldChar w:fldCharType="separate"/>
        </w:r>
        <w:r w:rsidR="00785940">
          <w:rPr>
            <w:noProof/>
            <w:webHidden/>
          </w:rPr>
          <w:t>75</w:t>
        </w:r>
        <w:r w:rsidR="00785940">
          <w:rPr>
            <w:noProof/>
            <w:webHidden/>
          </w:rPr>
          <w:fldChar w:fldCharType="end"/>
        </w:r>
      </w:hyperlink>
    </w:p>
    <w:p w14:paraId="7A1D0BD9" w14:textId="1541B8F7"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33" w:history="1">
        <w:r w:rsidR="00785940" w:rsidRPr="00FC19BA">
          <w:rPr>
            <w:rStyle w:val="Hyperlink"/>
            <w:noProof/>
            <w14:scene3d>
              <w14:camera w14:prst="orthographicFront"/>
              <w14:lightRig w14:rig="threePt" w14:dir="t">
                <w14:rot w14:lat="0" w14:lon="0" w14:rev="0"/>
              </w14:lightRig>
            </w14:scene3d>
          </w:rPr>
          <w:t>3.5.2.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Turbines, boilers and burners</w:t>
        </w:r>
        <w:r w:rsidR="00785940">
          <w:rPr>
            <w:noProof/>
            <w:webHidden/>
          </w:rPr>
          <w:tab/>
        </w:r>
        <w:r w:rsidR="00785940">
          <w:rPr>
            <w:noProof/>
            <w:webHidden/>
          </w:rPr>
          <w:fldChar w:fldCharType="begin"/>
        </w:r>
        <w:r w:rsidR="00785940">
          <w:rPr>
            <w:noProof/>
            <w:webHidden/>
          </w:rPr>
          <w:instrText xml:space="preserve"> PAGEREF _Toc93907333 \h </w:instrText>
        </w:r>
        <w:r w:rsidR="00785940">
          <w:rPr>
            <w:noProof/>
            <w:webHidden/>
          </w:rPr>
        </w:r>
        <w:r w:rsidR="00785940">
          <w:rPr>
            <w:noProof/>
            <w:webHidden/>
          </w:rPr>
          <w:fldChar w:fldCharType="separate"/>
        </w:r>
        <w:r w:rsidR="00785940">
          <w:rPr>
            <w:noProof/>
            <w:webHidden/>
          </w:rPr>
          <w:t>80</w:t>
        </w:r>
        <w:r w:rsidR="00785940">
          <w:rPr>
            <w:noProof/>
            <w:webHidden/>
          </w:rPr>
          <w:fldChar w:fldCharType="end"/>
        </w:r>
      </w:hyperlink>
    </w:p>
    <w:p w14:paraId="475C84B5" w14:textId="69D0A9DD"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34" w:history="1">
        <w:r w:rsidR="00785940" w:rsidRPr="00FC19BA">
          <w:rPr>
            <w:rStyle w:val="Hyperlink"/>
            <w:noProof/>
            <w14:scene3d>
              <w14:camera w14:prst="orthographicFront"/>
              <w14:lightRig w14:rig="threePt" w14:dir="t">
                <w14:rot w14:lat="0" w14:lon="0" w14:rev="0"/>
              </w14:lightRig>
            </w14:scene3d>
          </w:rPr>
          <w:t>3.6.</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Cross-cutting issues</w:t>
        </w:r>
        <w:r w:rsidR="00785940">
          <w:rPr>
            <w:noProof/>
            <w:webHidden/>
          </w:rPr>
          <w:tab/>
        </w:r>
        <w:r w:rsidR="00785940">
          <w:rPr>
            <w:noProof/>
            <w:webHidden/>
          </w:rPr>
          <w:fldChar w:fldCharType="begin"/>
        </w:r>
        <w:r w:rsidR="00785940">
          <w:rPr>
            <w:noProof/>
            <w:webHidden/>
          </w:rPr>
          <w:instrText xml:space="preserve"> PAGEREF _Toc93907334 \h </w:instrText>
        </w:r>
        <w:r w:rsidR="00785940">
          <w:rPr>
            <w:noProof/>
            <w:webHidden/>
          </w:rPr>
        </w:r>
        <w:r w:rsidR="00785940">
          <w:rPr>
            <w:noProof/>
            <w:webHidden/>
          </w:rPr>
          <w:fldChar w:fldCharType="separate"/>
        </w:r>
        <w:r w:rsidR="00785940">
          <w:rPr>
            <w:noProof/>
            <w:webHidden/>
          </w:rPr>
          <w:t>83</w:t>
        </w:r>
        <w:r w:rsidR="00785940">
          <w:rPr>
            <w:noProof/>
            <w:webHidden/>
          </w:rPr>
          <w:fldChar w:fldCharType="end"/>
        </w:r>
      </w:hyperlink>
    </w:p>
    <w:p w14:paraId="435BFDC7" w14:textId="5F590DEE"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35" w:history="1">
        <w:r w:rsidR="00785940" w:rsidRPr="00FC19BA">
          <w:rPr>
            <w:rStyle w:val="Hyperlink"/>
            <w:noProof/>
            <w14:scene3d>
              <w14:camera w14:prst="orthographicFront"/>
              <w14:lightRig w14:rig="threePt" w14:dir="t">
                <w14:rot w14:lat="0" w14:lon="0" w14:rev="0"/>
              </w14:lightRig>
            </w14:scene3d>
          </w:rPr>
          <w:t>3.6.1.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Sustainability, LCSA, recycling and eco-design</w:t>
        </w:r>
        <w:r w:rsidR="00785940">
          <w:rPr>
            <w:noProof/>
            <w:webHidden/>
          </w:rPr>
          <w:tab/>
        </w:r>
        <w:r w:rsidR="00785940">
          <w:rPr>
            <w:noProof/>
            <w:webHidden/>
          </w:rPr>
          <w:fldChar w:fldCharType="begin"/>
        </w:r>
        <w:r w:rsidR="00785940">
          <w:rPr>
            <w:noProof/>
            <w:webHidden/>
          </w:rPr>
          <w:instrText xml:space="preserve"> PAGEREF _Toc93907335 \h </w:instrText>
        </w:r>
        <w:r w:rsidR="00785940">
          <w:rPr>
            <w:noProof/>
            <w:webHidden/>
          </w:rPr>
        </w:r>
        <w:r w:rsidR="00785940">
          <w:rPr>
            <w:noProof/>
            <w:webHidden/>
          </w:rPr>
          <w:fldChar w:fldCharType="separate"/>
        </w:r>
        <w:r w:rsidR="00785940">
          <w:rPr>
            <w:noProof/>
            <w:webHidden/>
          </w:rPr>
          <w:t>84</w:t>
        </w:r>
        <w:r w:rsidR="00785940">
          <w:rPr>
            <w:noProof/>
            <w:webHidden/>
          </w:rPr>
          <w:fldChar w:fldCharType="end"/>
        </w:r>
      </w:hyperlink>
    </w:p>
    <w:p w14:paraId="3B2395F5" w14:textId="7AAC0503"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36" w:history="1">
        <w:r w:rsidR="00785940" w:rsidRPr="00FC19BA">
          <w:rPr>
            <w:rStyle w:val="Hyperlink"/>
            <w:noProof/>
            <w14:scene3d>
              <w14:camera w14:prst="orthographicFront"/>
              <w14:lightRig w14:rig="threePt" w14:dir="t">
                <w14:rot w14:lat="0" w14:lon="0" w14:rev="0"/>
              </w14:lightRig>
            </w14:scene3d>
          </w:rPr>
          <w:t>3.6.2.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Education and public Awareness</w:t>
        </w:r>
        <w:r w:rsidR="00785940">
          <w:rPr>
            <w:noProof/>
            <w:webHidden/>
          </w:rPr>
          <w:tab/>
        </w:r>
        <w:r w:rsidR="00785940">
          <w:rPr>
            <w:noProof/>
            <w:webHidden/>
          </w:rPr>
          <w:fldChar w:fldCharType="begin"/>
        </w:r>
        <w:r w:rsidR="00785940">
          <w:rPr>
            <w:noProof/>
            <w:webHidden/>
          </w:rPr>
          <w:instrText xml:space="preserve"> PAGEREF _Toc93907336 \h </w:instrText>
        </w:r>
        <w:r w:rsidR="00785940">
          <w:rPr>
            <w:noProof/>
            <w:webHidden/>
          </w:rPr>
        </w:r>
        <w:r w:rsidR="00785940">
          <w:rPr>
            <w:noProof/>
            <w:webHidden/>
          </w:rPr>
          <w:fldChar w:fldCharType="separate"/>
        </w:r>
        <w:r w:rsidR="00785940">
          <w:rPr>
            <w:noProof/>
            <w:webHidden/>
          </w:rPr>
          <w:t>86</w:t>
        </w:r>
        <w:r w:rsidR="00785940">
          <w:rPr>
            <w:noProof/>
            <w:webHidden/>
          </w:rPr>
          <w:fldChar w:fldCharType="end"/>
        </w:r>
      </w:hyperlink>
    </w:p>
    <w:p w14:paraId="5F3CA999" w14:textId="0A21FEB6"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37" w:history="1">
        <w:r w:rsidR="00785940" w:rsidRPr="00FC19BA">
          <w:rPr>
            <w:rStyle w:val="Hyperlink"/>
            <w:noProof/>
            <w14:scene3d>
              <w14:camera w14:prst="orthographicFront"/>
              <w14:lightRig w14:rig="threePt" w14:dir="t">
                <w14:rot w14:lat="0" w14:lon="0" w14:rev="0"/>
              </w14:lightRig>
            </w14:scene3d>
          </w:rPr>
          <w:t>3.6.3.</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Safety, Pre-Normative Research and Regulations, Codes and Standards</w:t>
        </w:r>
        <w:r w:rsidR="00785940">
          <w:rPr>
            <w:noProof/>
            <w:webHidden/>
          </w:rPr>
          <w:tab/>
        </w:r>
        <w:r w:rsidR="00785940">
          <w:rPr>
            <w:noProof/>
            <w:webHidden/>
          </w:rPr>
          <w:fldChar w:fldCharType="begin"/>
        </w:r>
        <w:r w:rsidR="00785940">
          <w:rPr>
            <w:noProof/>
            <w:webHidden/>
          </w:rPr>
          <w:instrText xml:space="preserve"> PAGEREF _Toc93907337 \h </w:instrText>
        </w:r>
        <w:r w:rsidR="00785940">
          <w:rPr>
            <w:noProof/>
            <w:webHidden/>
          </w:rPr>
        </w:r>
        <w:r w:rsidR="00785940">
          <w:rPr>
            <w:noProof/>
            <w:webHidden/>
          </w:rPr>
          <w:fldChar w:fldCharType="separate"/>
        </w:r>
        <w:r w:rsidR="00785940">
          <w:rPr>
            <w:noProof/>
            <w:webHidden/>
          </w:rPr>
          <w:t>89</w:t>
        </w:r>
        <w:r w:rsidR="00785940">
          <w:rPr>
            <w:noProof/>
            <w:webHidden/>
          </w:rPr>
          <w:fldChar w:fldCharType="end"/>
        </w:r>
      </w:hyperlink>
    </w:p>
    <w:p w14:paraId="35434B5E" w14:textId="1CD70D24"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38" w:history="1">
        <w:r w:rsidR="00785940" w:rsidRPr="00FC19BA">
          <w:rPr>
            <w:rStyle w:val="Hyperlink"/>
            <w:noProof/>
            <w14:scene3d>
              <w14:camera w14:prst="orthographicFront"/>
              <w14:lightRig w14:rig="threePt" w14:dir="t">
                <w14:rot w14:lat="0" w14:lon="0" w14:rev="0"/>
              </w14:lightRig>
            </w14:scene3d>
          </w:rPr>
          <w:t>3.7.</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Hydrogen valleys</w:t>
        </w:r>
        <w:r w:rsidR="00785940">
          <w:rPr>
            <w:noProof/>
            <w:webHidden/>
          </w:rPr>
          <w:tab/>
        </w:r>
        <w:r w:rsidR="00785940">
          <w:rPr>
            <w:noProof/>
            <w:webHidden/>
          </w:rPr>
          <w:fldChar w:fldCharType="begin"/>
        </w:r>
        <w:r w:rsidR="00785940">
          <w:rPr>
            <w:noProof/>
            <w:webHidden/>
          </w:rPr>
          <w:instrText xml:space="preserve"> PAGEREF _Toc93907338 \h </w:instrText>
        </w:r>
        <w:r w:rsidR="00785940">
          <w:rPr>
            <w:noProof/>
            <w:webHidden/>
          </w:rPr>
        </w:r>
        <w:r w:rsidR="00785940">
          <w:rPr>
            <w:noProof/>
            <w:webHidden/>
          </w:rPr>
          <w:fldChar w:fldCharType="separate"/>
        </w:r>
        <w:r w:rsidR="00785940">
          <w:rPr>
            <w:noProof/>
            <w:webHidden/>
          </w:rPr>
          <w:t>92</w:t>
        </w:r>
        <w:r w:rsidR="00785940">
          <w:rPr>
            <w:noProof/>
            <w:webHidden/>
          </w:rPr>
          <w:fldChar w:fldCharType="end"/>
        </w:r>
      </w:hyperlink>
    </w:p>
    <w:p w14:paraId="71AF277E" w14:textId="1167C4BF"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39" w:history="1">
        <w:r w:rsidR="00785940" w:rsidRPr="00FC19BA">
          <w:rPr>
            <w:rStyle w:val="Hyperlink"/>
            <w:noProof/>
            <w14:scene3d>
              <w14:camera w14:prst="orthographicFront"/>
              <w14:lightRig w14:rig="threePt" w14:dir="t">
                <w14:rot w14:lat="0" w14:lon="0" w14:rev="0"/>
              </w14:lightRig>
            </w14:scene3d>
          </w:rPr>
          <w:t>3.8.</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Supply chain</w:t>
        </w:r>
        <w:r w:rsidR="00785940">
          <w:rPr>
            <w:noProof/>
            <w:webHidden/>
          </w:rPr>
          <w:tab/>
        </w:r>
        <w:r w:rsidR="00785940">
          <w:rPr>
            <w:noProof/>
            <w:webHidden/>
          </w:rPr>
          <w:fldChar w:fldCharType="begin"/>
        </w:r>
        <w:r w:rsidR="00785940">
          <w:rPr>
            <w:noProof/>
            <w:webHidden/>
          </w:rPr>
          <w:instrText xml:space="preserve"> PAGEREF _Toc93907339 \h </w:instrText>
        </w:r>
        <w:r w:rsidR="00785940">
          <w:rPr>
            <w:noProof/>
            <w:webHidden/>
          </w:rPr>
        </w:r>
        <w:r w:rsidR="00785940">
          <w:rPr>
            <w:noProof/>
            <w:webHidden/>
          </w:rPr>
          <w:fldChar w:fldCharType="separate"/>
        </w:r>
        <w:r w:rsidR="00785940">
          <w:rPr>
            <w:noProof/>
            <w:webHidden/>
          </w:rPr>
          <w:t>95</w:t>
        </w:r>
        <w:r w:rsidR="00785940">
          <w:rPr>
            <w:noProof/>
            <w:webHidden/>
          </w:rPr>
          <w:fldChar w:fldCharType="end"/>
        </w:r>
      </w:hyperlink>
    </w:p>
    <w:p w14:paraId="678AFE83" w14:textId="2B7F0B17"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40" w:history="1">
        <w:r w:rsidR="00785940" w:rsidRPr="00FC19BA">
          <w:rPr>
            <w:rStyle w:val="Hyperlink"/>
            <w:noProof/>
            <w14:scene3d>
              <w14:camera w14:prst="orthographicFront"/>
              <w14:lightRig w14:rig="threePt" w14:dir="t">
                <w14:rot w14:lat="0" w14:lon="0" w14:rev="0"/>
              </w14:lightRig>
            </w14:scene3d>
          </w:rPr>
          <w:t>3.9.</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Strategic Research Challenges</w:t>
        </w:r>
        <w:r w:rsidR="00785940">
          <w:rPr>
            <w:noProof/>
            <w:webHidden/>
          </w:rPr>
          <w:tab/>
        </w:r>
        <w:r w:rsidR="00785940">
          <w:rPr>
            <w:noProof/>
            <w:webHidden/>
          </w:rPr>
          <w:fldChar w:fldCharType="begin"/>
        </w:r>
        <w:r w:rsidR="00785940">
          <w:rPr>
            <w:noProof/>
            <w:webHidden/>
          </w:rPr>
          <w:instrText xml:space="preserve"> PAGEREF _Toc93907340 \h </w:instrText>
        </w:r>
        <w:r w:rsidR="00785940">
          <w:rPr>
            <w:noProof/>
            <w:webHidden/>
          </w:rPr>
        </w:r>
        <w:r w:rsidR="00785940">
          <w:rPr>
            <w:noProof/>
            <w:webHidden/>
          </w:rPr>
          <w:fldChar w:fldCharType="separate"/>
        </w:r>
        <w:r w:rsidR="00785940">
          <w:rPr>
            <w:noProof/>
            <w:webHidden/>
          </w:rPr>
          <w:t>99</w:t>
        </w:r>
        <w:r w:rsidR="00785940">
          <w:rPr>
            <w:noProof/>
            <w:webHidden/>
          </w:rPr>
          <w:fldChar w:fldCharType="end"/>
        </w:r>
      </w:hyperlink>
    </w:p>
    <w:p w14:paraId="5A52DD9A" w14:textId="2F8AD74B"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41" w:history="1">
        <w:r w:rsidR="00785940" w:rsidRPr="00FC19BA">
          <w:rPr>
            <w:rStyle w:val="Hyperlink"/>
            <w:noProof/>
            <w:lang w:val="en-US"/>
          </w:rPr>
          <w:t>4.</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shd w:val="clear" w:color="auto" w:fill="FFFFFF"/>
            <w:lang w:eastAsia="fr-FR" w:bidi="fr-FR"/>
          </w:rPr>
          <w:t>Additional activities</w:t>
        </w:r>
        <w:r w:rsidR="00785940">
          <w:rPr>
            <w:noProof/>
            <w:webHidden/>
          </w:rPr>
          <w:tab/>
        </w:r>
        <w:r w:rsidR="00785940">
          <w:rPr>
            <w:noProof/>
            <w:webHidden/>
          </w:rPr>
          <w:fldChar w:fldCharType="begin"/>
        </w:r>
        <w:r w:rsidR="00785940">
          <w:rPr>
            <w:noProof/>
            <w:webHidden/>
          </w:rPr>
          <w:instrText xml:space="preserve"> PAGEREF _Toc93907341 \h </w:instrText>
        </w:r>
        <w:r w:rsidR="00785940">
          <w:rPr>
            <w:noProof/>
            <w:webHidden/>
          </w:rPr>
        </w:r>
        <w:r w:rsidR="00785940">
          <w:rPr>
            <w:noProof/>
            <w:webHidden/>
          </w:rPr>
          <w:fldChar w:fldCharType="separate"/>
        </w:r>
        <w:r w:rsidR="00785940">
          <w:rPr>
            <w:noProof/>
            <w:webHidden/>
          </w:rPr>
          <w:t>100</w:t>
        </w:r>
        <w:r w:rsidR="00785940">
          <w:rPr>
            <w:noProof/>
            <w:webHidden/>
          </w:rPr>
          <w:fldChar w:fldCharType="end"/>
        </w:r>
      </w:hyperlink>
    </w:p>
    <w:p w14:paraId="380C3A02" w14:textId="2819721E"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42" w:history="1">
        <w:r w:rsidR="00785940" w:rsidRPr="00FC19BA">
          <w:rPr>
            <w:rStyle w:val="Hyperlink"/>
            <w:noProof/>
            <w14:scene3d>
              <w14:camera w14:prst="orthographicFront"/>
              <w14:lightRig w14:rig="threePt" w14:dir="t">
                <w14:rot w14:lat="0" w14:lon="0" w14:rev="0"/>
              </w14:lightRig>
            </w14:scene3d>
          </w:rPr>
          <w:t>4.1.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Interface with EU policies and other programmes (Synergies)</w:t>
        </w:r>
        <w:r w:rsidR="00785940">
          <w:rPr>
            <w:noProof/>
            <w:webHidden/>
          </w:rPr>
          <w:tab/>
        </w:r>
        <w:r w:rsidR="00785940">
          <w:rPr>
            <w:noProof/>
            <w:webHidden/>
          </w:rPr>
          <w:fldChar w:fldCharType="begin"/>
        </w:r>
        <w:r w:rsidR="00785940">
          <w:rPr>
            <w:noProof/>
            <w:webHidden/>
          </w:rPr>
          <w:instrText xml:space="preserve"> PAGEREF _Toc93907342 \h </w:instrText>
        </w:r>
        <w:r w:rsidR="00785940">
          <w:rPr>
            <w:noProof/>
            <w:webHidden/>
          </w:rPr>
        </w:r>
        <w:r w:rsidR="00785940">
          <w:rPr>
            <w:noProof/>
            <w:webHidden/>
          </w:rPr>
          <w:fldChar w:fldCharType="separate"/>
        </w:r>
        <w:r w:rsidR="00785940">
          <w:rPr>
            <w:noProof/>
            <w:webHidden/>
          </w:rPr>
          <w:t>100</w:t>
        </w:r>
        <w:r w:rsidR="00785940">
          <w:rPr>
            <w:noProof/>
            <w:webHidden/>
          </w:rPr>
          <w:fldChar w:fldCharType="end"/>
        </w:r>
      </w:hyperlink>
    </w:p>
    <w:p w14:paraId="481A2921" w14:textId="0FFF68B7"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43" w:history="1">
        <w:r w:rsidR="00785940" w:rsidRPr="00FC19BA">
          <w:rPr>
            <w:rStyle w:val="Hyperlink"/>
            <w:noProof/>
            <w14:scene3d>
              <w14:camera w14:prst="orthographicFront"/>
              <w14:lightRig w14:rig="threePt" w14:dir="t">
                <w14:rot w14:lat="0" w14:lon="0" w14:rev="0"/>
              </w14:lightRig>
            </w14:scene3d>
          </w:rPr>
          <w:t>4.1.1.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Need to reinforce sunergies</w:t>
        </w:r>
        <w:r w:rsidR="00785940">
          <w:rPr>
            <w:noProof/>
            <w:webHidden/>
          </w:rPr>
          <w:tab/>
        </w:r>
        <w:r w:rsidR="00785940">
          <w:rPr>
            <w:noProof/>
            <w:webHidden/>
          </w:rPr>
          <w:fldChar w:fldCharType="begin"/>
        </w:r>
        <w:r w:rsidR="00785940">
          <w:rPr>
            <w:noProof/>
            <w:webHidden/>
          </w:rPr>
          <w:instrText xml:space="preserve"> PAGEREF _Toc93907343 \h </w:instrText>
        </w:r>
        <w:r w:rsidR="00785940">
          <w:rPr>
            <w:noProof/>
            <w:webHidden/>
          </w:rPr>
        </w:r>
        <w:r w:rsidR="00785940">
          <w:rPr>
            <w:noProof/>
            <w:webHidden/>
          </w:rPr>
          <w:fldChar w:fldCharType="separate"/>
        </w:r>
        <w:r w:rsidR="00785940">
          <w:rPr>
            <w:noProof/>
            <w:webHidden/>
          </w:rPr>
          <w:t>100</w:t>
        </w:r>
        <w:r w:rsidR="00785940">
          <w:rPr>
            <w:noProof/>
            <w:webHidden/>
          </w:rPr>
          <w:fldChar w:fldCharType="end"/>
        </w:r>
      </w:hyperlink>
    </w:p>
    <w:p w14:paraId="2EA8BEFD" w14:textId="00C6280C"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44" w:history="1">
        <w:r w:rsidR="00785940" w:rsidRPr="00FC19BA">
          <w:rPr>
            <w:rStyle w:val="Hyperlink"/>
            <w:noProof/>
            <w14:scene3d>
              <w14:camera w14:prst="orthographicFront"/>
              <w14:lightRig w14:rig="threePt" w14:dir="t">
                <w14:rot w14:lat="0" w14:lon="0" w14:rev="0"/>
              </w14:lightRig>
            </w14:scene3d>
          </w:rPr>
          <w:t>4.1.2.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Toolbox to generate funding synergies</w:t>
        </w:r>
        <w:r w:rsidR="00785940">
          <w:rPr>
            <w:noProof/>
            <w:webHidden/>
          </w:rPr>
          <w:tab/>
        </w:r>
        <w:r w:rsidR="00785940">
          <w:rPr>
            <w:noProof/>
            <w:webHidden/>
          </w:rPr>
          <w:fldChar w:fldCharType="begin"/>
        </w:r>
        <w:r w:rsidR="00785940">
          <w:rPr>
            <w:noProof/>
            <w:webHidden/>
          </w:rPr>
          <w:instrText xml:space="preserve"> PAGEREF _Toc93907344 \h </w:instrText>
        </w:r>
        <w:r w:rsidR="00785940">
          <w:rPr>
            <w:noProof/>
            <w:webHidden/>
          </w:rPr>
        </w:r>
        <w:r w:rsidR="00785940">
          <w:rPr>
            <w:noProof/>
            <w:webHidden/>
          </w:rPr>
          <w:fldChar w:fldCharType="separate"/>
        </w:r>
        <w:r w:rsidR="00785940">
          <w:rPr>
            <w:noProof/>
            <w:webHidden/>
          </w:rPr>
          <w:t>101</w:t>
        </w:r>
        <w:r w:rsidR="00785940">
          <w:rPr>
            <w:noProof/>
            <w:webHidden/>
          </w:rPr>
          <w:fldChar w:fldCharType="end"/>
        </w:r>
      </w:hyperlink>
    </w:p>
    <w:p w14:paraId="1AB3CE3F" w14:textId="4E2070EB"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45" w:history="1">
        <w:r w:rsidR="00785940" w:rsidRPr="00FC19BA">
          <w:rPr>
            <w:rStyle w:val="Hyperlink"/>
            <w:noProof/>
            <w14:scene3d>
              <w14:camera w14:prst="orthographicFront"/>
              <w14:lightRig w14:rig="threePt" w14:dir="t">
                <w14:rot w14:lat="0" w14:lon="0" w14:rev="0"/>
              </w14:lightRig>
            </w14:scene3d>
          </w:rPr>
          <w:t>4.1.3.</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Cooperation mechanisms to deliver synergies</w:t>
        </w:r>
        <w:r w:rsidR="00785940">
          <w:rPr>
            <w:noProof/>
            <w:webHidden/>
          </w:rPr>
          <w:tab/>
        </w:r>
        <w:r w:rsidR="00785940">
          <w:rPr>
            <w:noProof/>
            <w:webHidden/>
          </w:rPr>
          <w:fldChar w:fldCharType="begin"/>
        </w:r>
        <w:r w:rsidR="00785940">
          <w:rPr>
            <w:noProof/>
            <w:webHidden/>
          </w:rPr>
          <w:instrText xml:space="preserve"> PAGEREF _Toc93907345 \h </w:instrText>
        </w:r>
        <w:r w:rsidR="00785940">
          <w:rPr>
            <w:noProof/>
            <w:webHidden/>
          </w:rPr>
        </w:r>
        <w:r w:rsidR="00785940">
          <w:rPr>
            <w:noProof/>
            <w:webHidden/>
          </w:rPr>
          <w:fldChar w:fldCharType="separate"/>
        </w:r>
        <w:r w:rsidR="00785940">
          <w:rPr>
            <w:noProof/>
            <w:webHidden/>
          </w:rPr>
          <w:t>102</w:t>
        </w:r>
        <w:r w:rsidR="00785940">
          <w:rPr>
            <w:noProof/>
            <w:webHidden/>
          </w:rPr>
          <w:fldChar w:fldCharType="end"/>
        </w:r>
      </w:hyperlink>
    </w:p>
    <w:p w14:paraId="7EFC14A9" w14:textId="70137E41"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46" w:history="1">
        <w:r w:rsidR="00785940" w:rsidRPr="00FC19BA">
          <w:rPr>
            <w:rStyle w:val="Hyperlink"/>
            <w:noProof/>
            <w14:scene3d>
              <w14:camera w14:prst="orthographicFront"/>
              <w14:lightRig w14:rig="threePt" w14:dir="t">
                <w14:rot w14:lat="0" w14:lon="0" w14:rev="0"/>
              </w14:lightRig>
            </w14:scene3d>
          </w:rPr>
          <w:t>4.2.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Cooperation with JRC</w:t>
        </w:r>
        <w:r w:rsidR="00785940">
          <w:rPr>
            <w:noProof/>
            <w:webHidden/>
          </w:rPr>
          <w:tab/>
        </w:r>
        <w:r w:rsidR="00785940">
          <w:rPr>
            <w:noProof/>
            <w:webHidden/>
          </w:rPr>
          <w:fldChar w:fldCharType="begin"/>
        </w:r>
        <w:r w:rsidR="00785940">
          <w:rPr>
            <w:noProof/>
            <w:webHidden/>
          </w:rPr>
          <w:instrText xml:space="preserve"> PAGEREF _Toc93907346 \h </w:instrText>
        </w:r>
        <w:r w:rsidR="00785940">
          <w:rPr>
            <w:noProof/>
            <w:webHidden/>
          </w:rPr>
        </w:r>
        <w:r w:rsidR="00785940">
          <w:rPr>
            <w:noProof/>
            <w:webHidden/>
          </w:rPr>
          <w:fldChar w:fldCharType="separate"/>
        </w:r>
        <w:r w:rsidR="00785940">
          <w:rPr>
            <w:noProof/>
            <w:webHidden/>
          </w:rPr>
          <w:t>104</w:t>
        </w:r>
        <w:r w:rsidR="00785940">
          <w:rPr>
            <w:noProof/>
            <w:webHidden/>
          </w:rPr>
          <w:fldChar w:fldCharType="end"/>
        </w:r>
      </w:hyperlink>
    </w:p>
    <w:p w14:paraId="27B18611" w14:textId="41F032A1"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47" w:history="1">
        <w:r w:rsidR="00785940" w:rsidRPr="00FC19BA">
          <w:rPr>
            <w:rStyle w:val="Hyperlink"/>
            <w:noProof/>
            <w14:scene3d>
              <w14:camera w14:prst="orthographicFront"/>
              <w14:lightRig w14:rig="threePt" w14:dir="t">
                <w14:rot w14:lat="0" w14:lon="0" w14:rev="0"/>
              </w14:lightRig>
            </w14:scene3d>
          </w:rPr>
          <w:t>4.3.</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Regulations, Codes and Standards (RCS) Strategy Coordination</w:t>
        </w:r>
        <w:r w:rsidR="00785940">
          <w:rPr>
            <w:noProof/>
            <w:webHidden/>
          </w:rPr>
          <w:tab/>
        </w:r>
        <w:r w:rsidR="00785940">
          <w:rPr>
            <w:noProof/>
            <w:webHidden/>
          </w:rPr>
          <w:fldChar w:fldCharType="begin"/>
        </w:r>
        <w:r w:rsidR="00785940">
          <w:rPr>
            <w:noProof/>
            <w:webHidden/>
          </w:rPr>
          <w:instrText xml:space="preserve"> PAGEREF _Toc93907347 \h </w:instrText>
        </w:r>
        <w:r w:rsidR="00785940">
          <w:rPr>
            <w:noProof/>
            <w:webHidden/>
          </w:rPr>
        </w:r>
        <w:r w:rsidR="00785940">
          <w:rPr>
            <w:noProof/>
            <w:webHidden/>
          </w:rPr>
          <w:fldChar w:fldCharType="separate"/>
        </w:r>
        <w:r w:rsidR="00785940">
          <w:rPr>
            <w:noProof/>
            <w:webHidden/>
          </w:rPr>
          <w:t>104</w:t>
        </w:r>
        <w:r w:rsidR="00785940">
          <w:rPr>
            <w:noProof/>
            <w:webHidden/>
          </w:rPr>
          <w:fldChar w:fldCharType="end"/>
        </w:r>
      </w:hyperlink>
    </w:p>
    <w:p w14:paraId="6070F897" w14:textId="55C1CFFB"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48" w:history="1">
        <w:r w:rsidR="00785940" w:rsidRPr="00FC19BA">
          <w:rPr>
            <w:rStyle w:val="Hyperlink"/>
            <w:noProof/>
            <w14:scene3d>
              <w14:camera w14:prst="orthographicFront"/>
              <w14:lightRig w14:rig="threePt" w14:dir="t">
                <w14:rot w14:lat="0" w14:lon="0" w14:rev="0"/>
              </w14:lightRig>
            </w14:scene3d>
          </w:rPr>
          <w:t>4.4.</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European Hydrogen Safety Panel (EHSP)</w:t>
        </w:r>
        <w:r w:rsidR="00785940">
          <w:rPr>
            <w:noProof/>
            <w:webHidden/>
          </w:rPr>
          <w:tab/>
        </w:r>
        <w:r w:rsidR="00785940">
          <w:rPr>
            <w:noProof/>
            <w:webHidden/>
          </w:rPr>
          <w:fldChar w:fldCharType="begin"/>
        </w:r>
        <w:r w:rsidR="00785940">
          <w:rPr>
            <w:noProof/>
            <w:webHidden/>
          </w:rPr>
          <w:instrText xml:space="preserve"> PAGEREF _Toc93907348 \h </w:instrText>
        </w:r>
        <w:r w:rsidR="00785940">
          <w:rPr>
            <w:noProof/>
            <w:webHidden/>
          </w:rPr>
        </w:r>
        <w:r w:rsidR="00785940">
          <w:rPr>
            <w:noProof/>
            <w:webHidden/>
          </w:rPr>
          <w:fldChar w:fldCharType="separate"/>
        </w:r>
        <w:r w:rsidR="00785940">
          <w:rPr>
            <w:noProof/>
            <w:webHidden/>
          </w:rPr>
          <w:t>108</w:t>
        </w:r>
        <w:r w:rsidR="00785940">
          <w:rPr>
            <w:noProof/>
            <w:webHidden/>
          </w:rPr>
          <w:fldChar w:fldCharType="end"/>
        </w:r>
      </w:hyperlink>
    </w:p>
    <w:p w14:paraId="68FD9E75" w14:textId="575B37D0"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49" w:history="1">
        <w:r w:rsidR="00785940" w:rsidRPr="00FC19BA">
          <w:rPr>
            <w:rStyle w:val="Hyperlink"/>
            <w:noProof/>
            <w14:scene3d>
              <w14:camera w14:prst="orthographicFront"/>
              <w14:lightRig w14:rig="threePt" w14:dir="t">
                <w14:rot w14:lat="0" w14:lon="0" w14:rev="0"/>
              </w14:lightRig>
            </w14:scene3d>
          </w:rPr>
          <w:t>4.5.</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European Hydrogen Sustainability and Circularity Panel (EHS&amp;CP)</w:t>
        </w:r>
        <w:r w:rsidR="00785940">
          <w:rPr>
            <w:noProof/>
            <w:webHidden/>
          </w:rPr>
          <w:tab/>
        </w:r>
        <w:r w:rsidR="00785940">
          <w:rPr>
            <w:noProof/>
            <w:webHidden/>
          </w:rPr>
          <w:fldChar w:fldCharType="begin"/>
        </w:r>
        <w:r w:rsidR="00785940">
          <w:rPr>
            <w:noProof/>
            <w:webHidden/>
          </w:rPr>
          <w:instrText xml:space="preserve"> PAGEREF _Toc93907349 \h </w:instrText>
        </w:r>
        <w:r w:rsidR="00785940">
          <w:rPr>
            <w:noProof/>
            <w:webHidden/>
          </w:rPr>
        </w:r>
        <w:r w:rsidR="00785940">
          <w:rPr>
            <w:noProof/>
            <w:webHidden/>
          </w:rPr>
          <w:fldChar w:fldCharType="separate"/>
        </w:r>
        <w:r w:rsidR="00785940">
          <w:rPr>
            <w:noProof/>
            <w:webHidden/>
          </w:rPr>
          <w:t>110</w:t>
        </w:r>
        <w:r w:rsidR="00785940">
          <w:rPr>
            <w:noProof/>
            <w:webHidden/>
          </w:rPr>
          <w:fldChar w:fldCharType="end"/>
        </w:r>
      </w:hyperlink>
    </w:p>
    <w:p w14:paraId="64B4D408" w14:textId="71122580"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50" w:history="1">
        <w:r w:rsidR="00785940" w:rsidRPr="00FC19BA">
          <w:rPr>
            <w:rStyle w:val="Hyperlink"/>
            <w:noProof/>
            <w14:scene3d>
              <w14:camera w14:prst="orthographicFront"/>
              <w14:lightRig w14:rig="threePt" w14:dir="t">
                <w14:rot w14:lat="0" w14:lon="0" w14:rev="0"/>
              </w14:lightRig>
            </w14:scene3d>
          </w:rPr>
          <w:t>4.6.</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Knowledge management</w:t>
        </w:r>
        <w:r w:rsidR="00785940">
          <w:rPr>
            <w:noProof/>
            <w:webHidden/>
          </w:rPr>
          <w:tab/>
        </w:r>
        <w:r w:rsidR="00785940">
          <w:rPr>
            <w:noProof/>
            <w:webHidden/>
          </w:rPr>
          <w:fldChar w:fldCharType="begin"/>
        </w:r>
        <w:r w:rsidR="00785940">
          <w:rPr>
            <w:noProof/>
            <w:webHidden/>
          </w:rPr>
          <w:instrText xml:space="preserve"> PAGEREF _Toc93907350 \h </w:instrText>
        </w:r>
        <w:r w:rsidR="00785940">
          <w:rPr>
            <w:noProof/>
            <w:webHidden/>
          </w:rPr>
        </w:r>
        <w:r w:rsidR="00785940">
          <w:rPr>
            <w:noProof/>
            <w:webHidden/>
          </w:rPr>
          <w:fldChar w:fldCharType="separate"/>
        </w:r>
        <w:r w:rsidR="00785940">
          <w:rPr>
            <w:noProof/>
            <w:webHidden/>
          </w:rPr>
          <w:t>114</w:t>
        </w:r>
        <w:r w:rsidR="00785940">
          <w:rPr>
            <w:noProof/>
            <w:webHidden/>
          </w:rPr>
          <w:fldChar w:fldCharType="end"/>
        </w:r>
      </w:hyperlink>
    </w:p>
    <w:p w14:paraId="08371578" w14:textId="067740EE"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51" w:history="1">
        <w:r w:rsidR="00785940" w:rsidRPr="00FC19BA">
          <w:rPr>
            <w:rStyle w:val="Hyperlink"/>
            <w:noProof/>
            <w14:scene3d>
              <w14:camera w14:prst="orthographicFront"/>
              <w14:lightRig w14:rig="threePt" w14:dir="t">
                <w14:rot w14:lat="0" w14:lon="0" w14:rev="0"/>
              </w14:lightRig>
            </w14:scene3d>
          </w:rPr>
          <w:t>4.6.1.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(Current) Knowledge activities in previous JUs</w:t>
        </w:r>
        <w:r w:rsidR="00785940">
          <w:rPr>
            <w:noProof/>
            <w:webHidden/>
          </w:rPr>
          <w:tab/>
        </w:r>
        <w:r w:rsidR="00785940">
          <w:rPr>
            <w:noProof/>
            <w:webHidden/>
          </w:rPr>
          <w:fldChar w:fldCharType="begin"/>
        </w:r>
        <w:r w:rsidR="00785940">
          <w:rPr>
            <w:noProof/>
            <w:webHidden/>
          </w:rPr>
          <w:instrText xml:space="preserve"> PAGEREF _Toc93907351 \h </w:instrText>
        </w:r>
        <w:r w:rsidR="00785940">
          <w:rPr>
            <w:noProof/>
            <w:webHidden/>
          </w:rPr>
        </w:r>
        <w:r w:rsidR="00785940">
          <w:rPr>
            <w:noProof/>
            <w:webHidden/>
          </w:rPr>
          <w:fldChar w:fldCharType="separate"/>
        </w:r>
        <w:r w:rsidR="00785940">
          <w:rPr>
            <w:noProof/>
            <w:webHidden/>
          </w:rPr>
          <w:t>114</w:t>
        </w:r>
        <w:r w:rsidR="00785940">
          <w:rPr>
            <w:noProof/>
            <w:webHidden/>
          </w:rPr>
          <w:fldChar w:fldCharType="end"/>
        </w:r>
      </w:hyperlink>
    </w:p>
    <w:p w14:paraId="443F58E9" w14:textId="1F64865B"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52" w:history="1">
        <w:r w:rsidR="00785940" w:rsidRPr="00FC19BA">
          <w:rPr>
            <w:rStyle w:val="Hyperlink"/>
            <w:noProof/>
            <w14:scene3d>
              <w14:camera w14:prst="orthographicFront"/>
              <w14:lightRig w14:rig="threePt" w14:dir="t">
                <w14:rot w14:lat="0" w14:lon="0" w14:rev="0"/>
              </w14:lightRig>
            </w14:scene3d>
          </w:rPr>
          <w:t>4.6.2.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Clean Hydrogen as the Knowledge Hub for Hydrogen in Europe</w:t>
        </w:r>
        <w:r w:rsidR="00785940">
          <w:rPr>
            <w:noProof/>
            <w:webHidden/>
          </w:rPr>
          <w:tab/>
        </w:r>
        <w:r w:rsidR="00785940">
          <w:rPr>
            <w:noProof/>
            <w:webHidden/>
          </w:rPr>
          <w:fldChar w:fldCharType="begin"/>
        </w:r>
        <w:r w:rsidR="00785940">
          <w:rPr>
            <w:noProof/>
            <w:webHidden/>
          </w:rPr>
          <w:instrText xml:space="preserve"> PAGEREF _Toc93907352 \h </w:instrText>
        </w:r>
        <w:r w:rsidR="00785940">
          <w:rPr>
            <w:noProof/>
            <w:webHidden/>
          </w:rPr>
        </w:r>
        <w:r w:rsidR="00785940">
          <w:rPr>
            <w:noProof/>
            <w:webHidden/>
          </w:rPr>
          <w:fldChar w:fldCharType="separate"/>
        </w:r>
        <w:r w:rsidR="00785940">
          <w:rPr>
            <w:noProof/>
            <w:webHidden/>
          </w:rPr>
          <w:t>114</w:t>
        </w:r>
        <w:r w:rsidR="00785940">
          <w:rPr>
            <w:noProof/>
            <w:webHidden/>
          </w:rPr>
          <w:fldChar w:fldCharType="end"/>
        </w:r>
      </w:hyperlink>
    </w:p>
    <w:p w14:paraId="4D42C4F3" w14:textId="55D99BA3"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53" w:history="1">
        <w:r w:rsidR="00785940" w:rsidRPr="00FC19BA">
          <w:rPr>
            <w:rStyle w:val="Hyperlink"/>
            <w:noProof/>
            <w14:scene3d>
              <w14:camera w14:prst="orthographicFront"/>
              <w14:lightRig w14:rig="threePt" w14:dir="t">
                <w14:rot w14:lat="0" w14:lon="0" w14:rev="0"/>
              </w14:lightRig>
            </w14:scene3d>
          </w:rPr>
          <w:t>4.6.3.</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Dissemination &amp; Exploitation of the project results</w:t>
        </w:r>
        <w:r w:rsidR="00785940">
          <w:rPr>
            <w:noProof/>
            <w:webHidden/>
          </w:rPr>
          <w:tab/>
        </w:r>
        <w:r w:rsidR="00785940">
          <w:rPr>
            <w:noProof/>
            <w:webHidden/>
          </w:rPr>
          <w:fldChar w:fldCharType="begin"/>
        </w:r>
        <w:r w:rsidR="00785940">
          <w:rPr>
            <w:noProof/>
            <w:webHidden/>
          </w:rPr>
          <w:instrText xml:space="preserve"> PAGEREF _Toc93907353 \h </w:instrText>
        </w:r>
        <w:r w:rsidR="00785940">
          <w:rPr>
            <w:noProof/>
            <w:webHidden/>
          </w:rPr>
        </w:r>
        <w:r w:rsidR="00785940">
          <w:rPr>
            <w:noProof/>
            <w:webHidden/>
          </w:rPr>
          <w:fldChar w:fldCharType="separate"/>
        </w:r>
        <w:r w:rsidR="00785940">
          <w:rPr>
            <w:noProof/>
            <w:webHidden/>
          </w:rPr>
          <w:t>117</w:t>
        </w:r>
        <w:r w:rsidR="00785940">
          <w:rPr>
            <w:noProof/>
            <w:webHidden/>
          </w:rPr>
          <w:fldChar w:fldCharType="end"/>
        </w:r>
      </w:hyperlink>
    </w:p>
    <w:p w14:paraId="158A841C" w14:textId="01522E51"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54" w:history="1">
        <w:r w:rsidR="00785940" w:rsidRPr="00FC19BA">
          <w:rPr>
            <w:rStyle w:val="Hyperlink"/>
            <w:noProof/>
            <w14:scene3d>
              <w14:camera w14:prst="orthographicFront"/>
              <w14:lightRig w14:rig="threePt" w14:dir="t">
                <w14:rot w14:lat="0" w14:lon="0" w14:rev="0"/>
              </w14:lightRig>
            </w14:scene3d>
          </w:rPr>
          <w:t>4.7.</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The role of small and medium-sized enterprises</w:t>
        </w:r>
        <w:r w:rsidR="00785940">
          <w:rPr>
            <w:noProof/>
            <w:webHidden/>
          </w:rPr>
          <w:tab/>
        </w:r>
        <w:r w:rsidR="00785940">
          <w:rPr>
            <w:noProof/>
            <w:webHidden/>
          </w:rPr>
          <w:fldChar w:fldCharType="begin"/>
        </w:r>
        <w:r w:rsidR="00785940">
          <w:rPr>
            <w:noProof/>
            <w:webHidden/>
          </w:rPr>
          <w:instrText xml:space="preserve"> PAGEREF _Toc93907354 \h </w:instrText>
        </w:r>
        <w:r w:rsidR="00785940">
          <w:rPr>
            <w:noProof/>
            <w:webHidden/>
          </w:rPr>
        </w:r>
        <w:r w:rsidR="00785940">
          <w:rPr>
            <w:noProof/>
            <w:webHidden/>
          </w:rPr>
          <w:fldChar w:fldCharType="separate"/>
        </w:r>
        <w:r w:rsidR="00785940">
          <w:rPr>
            <w:noProof/>
            <w:webHidden/>
          </w:rPr>
          <w:t>118</w:t>
        </w:r>
        <w:r w:rsidR="00785940">
          <w:rPr>
            <w:noProof/>
            <w:webHidden/>
          </w:rPr>
          <w:fldChar w:fldCharType="end"/>
        </w:r>
      </w:hyperlink>
    </w:p>
    <w:p w14:paraId="7DFAD3E0" w14:textId="7A663056"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55" w:history="1">
        <w:r w:rsidR="00785940" w:rsidRPr="00FC19BA">
          <w:rPr>
            <w:rStyle w:val="Hyperlink"/>
            <w:noProof/>
            <w14:scene3d>
              <w14:camera w14:prst="orthographicFront"/>
              <w14:lightRig w14:rig="threePt" w14:dir="t">
                <w14:rot w14:lat="0" w14:lon="0" w14:rev="0"/>
              </w14:lightRig>
            </w14:scene3d>
          </w:rPr>
          <w:t>4.8.</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International cooperation strategy</w:t>
        </w:r>
        <w:r w:rsidR="00785940">
          <w:rPr>
            <w:noProof/>
            <w:webHidden/>
          </w:rPr>
          <w:tab/>
        </w:r>
        <w:r w:rsidR="00785940">
          <w:rPr>
            <w:noProof/>
            <w:webHidden/>
          </w:rPr>
          <w:fldChar w:fldCharType="begin"/>
        </w:r>
        <w:r w:rsidR="00785940">
          <w:rPr>
            <w:noProof/>
            <w:webHidden/>
          </w:rPr>
          <w:instrText xml:space="preserve"> PAGEREF _Toc93907355 \h </w:instrText>
        </w:r>
        <w:r w:rsidR="00785940">
          <w:rPr>
            <w:noProof/>
            <w:webHidden/>
          </w:rPr>
        </w:r>
        <w:r w:rsidR="00785940">
          <w:rPr>
            <w:noProof/>
            <w:webHidden/>
          </w:rPr>
          <w:fldChar w:fldCharType="separate"/>
        </w:r>
        <w:r w:rsidR="00785940">
          <w:rPr>
            <w:noProof/>
            <w:webHidden/>
          </w:rPr>
          <w:t>119</w:t>
        </w:r>
        <w:r w:rsidR="00785940">
          <w:rPr>
            <w:noProof/>
            <w:webHidden/>
          </w:rPr>
          <w:fldChar w:fldCharType="end"/>
        </w:r>
      </w:hyperlink>
    </w:p>
    <w:p w14:paraId="1A9F30F0" w14:textId="2A074011"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56" w:history="1">
        <w:r w:rsidR="00785940" w:rsidRPr="00FC19BA">
          <w:rPr>
            <w:rStyle w:val="Hyperlink"/>
            <w:noProof/>
            <w14:scene3d>
              <w14:camera w14:prst="orthographicFront"/>
              <w14:lightRig w14:rig="threePt" w14:dir="t">
                <w14:rot w14:lat="0" w14:lon="0" w14:rev="0"/>
              </w14:lightRig>
            </w14:scene3d>
          </w:rPr>
          <w:t>4.9.</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Communication</w:t>
        </w:r>
        <w:r w:rsidR="00785940">
          <w:rPr>
            <w:noProof/>
            <w:webHidden/>
          </w:rPr>
          <w:tab/>
        </w:r>
        <w:r w:rsidR="00785940">
          <w:rPr>
            <w:noProof/>
            <w:webHidden/>
          </w:rPr>
          <w:fldChar w:fldCharType="begin"/>
        </w:r>
        <w:r w:rsidR="00785940">
          <w:rPr>
            <w:noProof/>
            <w:webHidden/>
          </w:rPr>
          <w:instrText xml:space="preserve"> PAGEREF _Toc93907356 \h </w:instrText>
        </w:r>
        <w:r w:rsidR="00785940">
          <w:rPr>
            <w:noProof/>
            <w:webHidden/>
          </w:rPr>
        </w:r>
        <w:r w:rsidR="00785940">
          <w:rPr>
            <w:noProof/>
            <w:webHidden/>
          </w:rPr>
          <w:fldChar w:fldCharType="separate"/>
        </w:r>
        <w:r w:rsidR="00785940">
          <w:rPr>
            <w:noProof/>
            <w:webHidden/>
          </w:rPr>
          <w:t>122</w:t>
        </w:r>
        <w:r w:rsidR="00785940">
          <w:rPr>
            <w:noProof/>
            <w:webHidden/>
          </w:rPr>
          <w:fldChar w:fldCharType="end"/>
        </w:r>
      </w:hyperlink>
    </w:p>
    <w:p w14:paraId="682524B4" w14:textId="145E0933"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57" w:history="1">
        <w:r w:rsidR="00785940" w:rsidRPr="00FC19BA">
          <w:rPr>
            <w:rStyle w:val="Hyperlink"/>
            <w:noProof/>
            <w:lang w:val="en-US"/>
          </w:rPr>
          <w:t>5.</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shd w:val="clear" w:color="auto" w:fill="FFFFFF"/>
            <w:lang w:eastAsia="fr-FR" w:bidi="fr-FR"/>
          </w:rPr>
          <w:t>Programme implementation</w:t>
        </w:r>
        <w:r w:rsidR="00785940">
          <w:rPr>
            <w:noProof/>
            <w:webHidden/>
          </w:rPr>
          <w:tab/>
        </w:r>
        <w:r w:rsidR="00785940">
          <w:rPr>
            <w:noProof/>
            <w:webHidden/>
          </w:rPr>
          <w:fldChar w:fldCharType="begin"/>
        </w:r>
        <w:r w:rsidR="00785940">
          <w:rPr>
            <w:noProof/>
            <w:webHidden/>
          </w:rPr>
          <w:instrText xml:space="preserve"> PAGEREF _Toc93907357 \h </w:instrText>
        </w:r>
        <w:r w:rsidR="00785940">
          <w:rPr>
            <w:noProof/>
            <w:webHidden/>
          </w:rPr>
        </w:r>
        <w:r w:rsidR="00785940">
          <w:rPr>
            <w:noProof/>
            <w:webHidden/>
          </w:rPr>
          <w:fldChar w:fldCharType="separate"/>
        </w:r>
        <w:r w:rsidR="00785940">
          <w:rPr>
            <w:noProof/>
            <w:webHidden/>
          </w:rPr>
          <w:t>123</w:t>
        </w:r>
        <w:r w:rsidR="00785940">
          <w:rPr>
            <w:noProof/>
            <w:webHidden/>
          </w:rPr>
          <w:fldChar w:fldCharType="end"/>
        </w:r>
      </w:hyperlink>
    </w:p>
    <w:p w14:paraId="73FDEC19" w14:textId="4F32A666"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58" w:history="1">
        <w:r w:rsidR="00785940" w:rsidRPr="00FC19BA">
          <w:rPr>
            <w:rStyle w:val="Hyperlink"/>
            <w:noProof/>
            <w14:scene3d>
              <w14:camera w14:prst="orthographicFront"/>
              <w14:lightRig w14:rig="threePt" w14:dir="t">
                <w14:rot w14:lat="0" w14:lon="0" w14:rev="0"/>
              </w14:lightRig>
            </w14:scene3d>
          </w:rPr>
          <w:t>5.1.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Budget</w:t>
        </w:r>
        <w:r w:rsidR="00785940">
          <w:rPr>
            <w:noProof/>
            <w:webHidden/>
          </w:rPr>
          <w:tab/>
        </w:r>
        <w:r w:rsidR="00785940">
          <w:rPr>
            <w:noProof/>
            <w:webHidden/>
          </w:rPr>
          <w:fldChar w:fldCharType="begin"/>
        </w:r>
        <w:r w:rsidR="00785940">
          <w:rPr>
            <w:noProof/>
            <w:webHidden/>
          </w:rPr>
          <w:instrText xml:space="preserve"> PAGEREF _Toc93907358 \h </w:instrText>
        </w:r>
        <w:r w:rsidR="00785940">
          <w:rPr>
            <w:noProof/>
            <w:webHidden/>
          </w:rPr>
        </w:r>
        <w:r w:rsidR="00785940">
          <w:rPr>
            <w:noProof/>
            <w:webHidden/>
          </w:rPr>
          <w:fldChar w:fldCharType="separate"/>
        </w:r>
        <w:r w:rsidR="00785940">
          <w:rPr>
            <w:noProof/>
            <w:webHidden/>
          </w:rPr>
          <w:t>123</w:t>
        </w:r>
        <w:r w:rsidR="00785940">
          <w:rPr>
            <w:noProof/>
            <w:webHidden/>
          </w:rPr>
          <w:fldChar w:fldCharType="end"/>
        </w:r>
      </w:hyperlink>
    </w:p>
    <w:p w14:paraId="6F576BB2" w14:textId="4FD5FE1F"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59" w:history="1">
        <w:r w:rsidR="00785940" w:rsidRPr="00FC19BA">
          <w:rPr>
            <w:rStyle w:val="Hyperlink"/>
            <w:noProof/>
            <w14:scene3d>
              <w14:camera w14:prst="orthographicFront"/>
              <w14:lightRig w14:rig="threePt" w14:dir="t">
                <w14:rot w14:lat="0" w14:lon="0" w14:rev="0"/>
              </w14:lightRig>
            </w14:scene3d>
          </w:rPr>
          <w:t>5.2.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Conditions for participation and eligibility for funding</w:t>
        </w:r>
        <w:r w:rsidR="00785940">
          <w:rPr>
            <w:noProof/>
            <w:webHidden/>
          </w:rPr>
          <w:tab/>
        </w:r>
        <w:r w:rsidR="00785940">
          <w:rPr>
            <w:noProof/>
            <w:webHidden/>
          </w:rPr>
          <w:fldChar w:fldCharType="begin"/>
        </w:r>
        <w:r w:rsidR="00785940">
          <w:rPr>
            <w:noProof/>
            <w:webHidden/>
          </w:rPr>
          <w:instrText xml:space="preserve"> PAGEREF _Toc93907359 \h </w:instrText>
        </w:r>
        <w:r w:rsidR="00785940">
          <w:rPr>
            <w:noProof/>
            <w:webHidden/>
          </w:rPr>
        </w:r>
        <w:r w:rsidR="00785940">
          <w:rPr>
            <w:noProof/>
            <w:webHidden/>
          </w:rPr>
          <w:fldChar w:fldCharType="separate"/>
        </w:r>
        <w:r w:rsidR="00785940">
          <w:rPr>
            <w:noProof/>
            <w:webHidden/>
          </w:rPr>
          <w:t>123</w:t>
        </w:r>
        <w:r w:rsidR="00785940">
          <w:rPr>
            <w:noProof/>
            <w:webHidden/>
          </w:rPr>
          <w:fldChar w:fldCharType="end"/>
        </w:r>
      </w:hyperlink>
    </w:p>
    <w:p w14:paraId="07CB8C2B" w14:textId="4DA1715C"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60" w:history="1">
        <w:r w:rsidR="00785940" w:rsidRPr="00FC19BA">
          <w:rPr>
            <w:rStyle w:val="Hyperlink"/>
            <w:noProof/>
            <w14:scene3d>
              <w14:camera w14:prst="orthographicFront"/>
              <w14:lightRig w14:rig="threePt" w14:dir="t">
                <w14:rot w14:lat="0" w14:lon="0" w14:rev="0"/>
              </w14:lightRig>
            </w14:scene3d>
          </w:rPr>
          <w:t>5.3.</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Types of action: specific provisions and funding rates</w:t>
        </w:r>
        <w:r w:rsidR="00785940">
          <w:rPr>
            <w:noProof/>
            <w:webHidden/>
          </w:rPr>
          <w:tab/>
        </w:r>
        <w:r w:rsidR="00785940">
          <w:rPr>
            <w:noProof/>
            <w:webHidden/>
          </w:rPr>
          <w:fldChar w:fldCharType="begin"/>
        </w:r>
        <w:r w:rsidR="00785940">
          <w:rPr>
            <w:noProof/>
            <w:webHidden/>
          </w:rPr>
          <w:instrText xml:space="preserve"> PAGEREF _Toc93907360 \h </w:instrText>
        </w:r>
        <w:r w:rsidR="00785940">
          <w:rPr>
            <w:noProof/>
            <w:webHidden/>
          </w:rPr>
        </w:r>
        <w:r w:rsidR="00785940">
          <w:rPr>
            <w:noProof/>
            <w:webHidden/>
          </w:rPr>
          <w:fldChar w:fldCharType="separate"/>
        </w:r>
        <w:r w:rsidR="00785940">
          <w:rPr>
            <w:noProof/>
            <w:webHidden/>
          </w:rPr>
          <w:t>126</w:t>
        </w:r>
        <w:r w:rsidR="00785940">
          <w:rPr>
            <w:noProof/>
            <w:webHidden/>
          </w:rPr>
          <w:fldChar w:fldCharType="end"/>
        </w:r>
      </w:hyperlink>
    </w:p>
    <w:p w14:paraId="26CD14E1" w14:textId="31AD6835"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61" w:history="1">
        <w:r w:rsidR="00785940" w:rsidRPr="00FC19BA">
          <w:rPr>
            <w:rStyle w:val="Hyperlink"/>
            <w:noProof/>
            <w14:scene3d>
              <w14:camera w14:prst="orthographicFront"/>
              <w14:lightRig w14:rig="threePt" w14:dir="t">
                <w14:rot w14:lat="0" w14:lon="0" w14:rev="0"/>
              </w14:lightRig>
            </w14:scene3d>
          </w:rPr>
          <w:t>5.4.</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Rules for participation</w:t>
        </w:r>
        <w:r w:rsidR="00785940">
          <w:rPr>
            <w:noProof/>
            <w:webHidden/>
          </w:rPr>
          <w:tab/>
        </w:r>
        <w:r w:rsidR="00785940">
          <w:rPr>
            <w:noProof/>
            <w:webHidden/>
          </w:rPr>
          <w:fldChar w:fldCharType="begin"/>
        </w:r>
        <w:r w:rsidR="00785940">
          <w:rPr>
            <w:noProof/>
            <w:webHidden/>
          </w:rPr>
          <w:instrText xml:space="preserve"> PAGEREF _Toc93907361 \h </w:instrText>
        </w:r>
        <w:r w:rsidR="00785940">
          <w:rPr>
            <w:noProof/>
            <w:webHidden/>
          </w:rPr>
        </w:r>
        <w:r w:rsidR="00785940">
          <w:rPr>
            <w:noProof/>
            <w:webHidden/>
          </w:rPr>
          <w:fldChar w:fldCharType="separate"/>
        </w:r>
        <w:r w:rsidR="00785940">
          <w:rPr>
            <w:noProof/>
            <w:webHidden/>
          </w:rPr>
          <w:t>127</w:t>
        </w:r>
        <w:r w:rsidR="00785940">
          <w:rPr>
            <w:noProof/>
            <w:webHidden/>
          </w:rPr>
          <w:fldChar w:fldCharType="end"/>
        </w:r>
      </w:hyperlink>
    </w:p>
    <w:p w14:paraId="24A6CB9D" w14:textId="76B31981"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62" w:history="1">
        <w:r w:rsidR="00785940" w:rsidRPr="00FC19BA">
          <w:rPr>
            <w:rStyle w:val="Hyperlink"/>
            <w:noProof/>
            <w:lang w:val="en-US"/>
          </w:rPr>
          <w:t>6.</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shd w:val="clear" w:color="auto" w:fill="FFFFFF"/>
            <w:lang w:eastAsia="fr-FR" w:bidi="fr-FR"/>
          </w:rPr>
          <w:t>Governance</w:t>
        </w:r>
        <w:r w:rsidR="00785940">
          <w:rPr>
            <w:noProof/>
            <w:webHidden/>
          </w:rPr>
          <w:tab/>
        </w:r>
        <w:r w:rsidR="00785940">
          <w:rPr>
            <w:noProof/>
            <w:webHidden/>
          </w:rPr>
          <w:fldChar w:fldCharType="begin"/>
        </w:r>
        <w:r w:rsidR="00785940">
          <w:rPr>
            <w:noProof/>
            <w:webHidden/>
          </w:rPr>
          <w:instrText xml:space="preserve"> PAGEREF _Toc93907362 \h </w:instrText>
        </w:r>
        <w:r w:rsidR="00785940">
          <w:rPr>
            <w:noProof/>
            <w:webHidden/>
          </w:rPr>
        </w:r>
        <w:r w:rsidR="00785940">
          <w:rPr>
            <w:noProof/>
            <w:webHidden/>
          </w:rPr>
          <w:fldChar w:fldCharType="separate"/>
        </w:r>
        <w:r w:rsidR="00785940">
          <w:rPr>
            <w:noProof/>
            <w:webHidden/>
          </w:rPr>
          <w:t>128</w:t>
        </w:r>
        <w:r w:rsidR="00785940">
          <w:rPr>
            <w:noProof/>
            <w:webHidden/>
          </w:rPr>
          <w:fldChar w:fldCharType="end"/>
        </w:r>
      </w:hyperlink>
    </w:p>
    <w:p w14:paraId="2DDE11A4" w14:textId="34E2323F"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63" w:history="1">
        <w:r w:rsidR="00785940" w:rsidRPr="00FC19BA">
          <w:rPr>
            <w:rStyle w:val="Hyperlink"/>
            <w:noProof/>
            <w14:scene3d>
              <w14:camera w14:prst="orthographicFront"/>
              <w14:lightRig w14:rig="threePt" w14:dir="t">
                <w14:rot w14:lat="0" w14:lon="0" w14:rev="0"/>
              </w14:lightRig>
            </w14:scene3d>
          </w:rPr>
          <w:t>6.1.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Main actors: roles and representation</w:t>
        </w:r>
        <w:r w:rsidR="00785940">
          <w:rPr>
            <w:noProof/>
            <w:webHidden/>
          </w:rPr>
          <w:tab/>
        </w:r>
        <w:r w:rsidR="00785940">
          <w:rPr>
            <w:noProof/>
            <w:webHidden/>
          </w:rPr>
          <w:fldChar w:fldCharType="begin"/>
        </w:r>
        <w:r w:rsidR="00785940">
          <w:rPr>
            <w:noProof/>
            <w:webHidden/>
          </w:rPr>
          <w:instrText xml:space="preserve"> PAGEREF _Toc93907363 \h </w:instrText>
        </w:r>
        <w:r w:rsidR="00785940">
          <w:rPr>
            <w:noProof/>
            <w:webHidden/>
          </w:rPr>
        </w:r>
        <w:r w:rsidR="00785940">
          <w:rPr>
            <w:noProof/>
            <w:webHidden/>
          </w:rPr>
          <w:fldChar w:fldCharType="separate"/>
        </w:r>
        <w:r w:rsidR="00785940">
          <w:rPr>
            <w:noProof/>
            <w:webHidden/>
          </w:rPr>
          <w:t>128</w:t>
        </w:r>
        <w:r w:rsidR="00785940">
          <w:rPr>
            <w:noProof/>
            <w:webHidden/>
          </w:rPr>
          <w:fldChar w:fldCharType="end"/>
        </w:r>
      </w:hyperlink>
    </w:p>
    <w:p w14:paraId="3B577E9F" w14:textId="035D64D5"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64" w:history="1">
        <w:r w:rsidR="00785940" w:rsidRPr="00FC19BA">
          <w:rPr>
            <w:rStyle w:val="Hyperlink"/>
            <w:noProof/>
            <w14:scene3d>
              <w14:camera w14:prst="orthographicFront"/>
              <w14:lightRig w14:rig="threePt" w14:dir="t">
                <w14:rot w14:lat="0" w14:lon="0" w14:rev="0"/>
              </w14:lightRig>
            </w14:scene3d>
          </w:rPr>
          <w:t>6.2.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Governing Board</w:t>
        </w:r>
        <w:r w:rsidR="00785940">
          <w:rPr>
            <w:noProof/>
            <w:webHidden/>
          </w:rPr>
          <w:tab/>
        </w:r>
        <w:r w:rsidR="00785940">
          <w:rPr>
            <w:noProof/>
            <w:webHidden/>
          </w:rPr>
          <w:fldChar w:fldCharType="begin"/>
        </w:r>
        <w:r w:rsidR="00785940">
          <w:rPr>
            <w:noProof/>
            <w:webHidden/>
          </w:rPr>
          <w:instrText xml:space="preserve"> PAGEREF _Toc93907364 \h </w:instrText>
        </w:r>
        <w:r w:rsidR="00785940">
          <w:rPr>
            <w:noProof/>
            <w:webHidden/>
          </w:rPr>
        </w:r>
        <w:r w:rsidR="00785940">
          <w:rPr>
            <w:noProof/>
            <w:webHidden/>
          </w:rPr>
          <w:fldChar w:fldCharType="separate"/>
        </w:r>
        <w:r w:rsidR="00785940">
          <w:rPr>
            <w:noProof/>
            <w:webHidden/>
          </w:rPr>
          <w:t>128</w:t>
        </w:r>
        <w:r w:rsidR="00785940">
          <w:rPr>
            <w:noProof/>
            <w:webHidden/>
          </w:rPr>
          <w:fldChar w:fldCharType="end"/>
        </w:r>
      </w:hyperlink>
    </w:p>
    <w:p w14:paraId="26A15C86" w14:textId="35219C8C"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65" w:history="1">
        <w:r w:rsidR="00785940" w:rsidRPr="00FC19BA">
          <w:rPr>
            <w:rStyle w:val="Hyperlink"/>
            <w:noProof/>
            <w14:scene3d>
              <w14:camera w14:prst="orthographicFront"/>
              <w14:lightRig w14:rig="threePt" w14:dir="t">
                <w14:rot w14:lat="0" w14:lon="0" w14:rev="0"/>
              </w14:lightRig>
            </w14:scene3d>
          </w:rPr>
          <w:t>6.3.</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Executive Director</w:t>
        </w:r>
        <w:r w:rsidR="00785940">
          <w:rPr>
            <w:noProof/>
            <w:webHidden/>
          </w:rPr>
          <w:tab/>
        </w:r>
        <w:r w:rsidR="00785940">
          <w:rPr>
            <w:noProof/>
            <w:webHidden/>
          </w:rPr>
          <w:fldChar w:fldCharType="begin"/>
        </w:r>
        <w:r w:rsidR="00785940">
          <w:rPr>
            <w:noProof/>
            <w:webHidden/>
          </w:rPr>
          <w:instrText xml:space="preserve"> PAGEREF _Toc93907365 \h </w:instrText>
        </w:r>
        <w:r w:rsidR="00785940">
          <w:rPr>
            <w:noProof/>
            <w:webHidden/>
          </w:rPr>
        </w:r>
        <w:r w:rsidR="00785940">
          <w:rPr>
            <w:noProof/>
            <w:webHidden/>
          </w:rPr>
          <w:fldChar w:fldCharType="separate"/>
        </w:r>
        <w:r w:rsidR="00785940">
          <w:rPr>
            <w:noProof/>
            <w:webHidden/>
          </w:rPr>
          <w:t>128</w:t>
        </w:r>
        <w:r w:rsidR="00785940">
          <w:rPr>
            <w:noProof/>
            <w:webHidden/>
          </w:rPr>
          <w:fldChar w:fldCharType="end"/>
        </w:r>
      </w:hyperlink>
    </w:p>
    <w:p w14:paraId="17675474" w14:textId="6EEF8182"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66" w:history="1">
        <w:r w:rsidR="00785940" w:rsidRPr="00FC19BA">
          <w:rPr>
            <w:rStyle w:val="Hyperlink"/>
            <w:noProof/>
            <w14:scene3d>
              <w14:camera w14:prst="orthographicFront"/>
              <w14:lightRig w14:rig="threePt" w14:dir="t">
                <w14:rot w14:lat="0" w14:lon="0" w14:rev="0"/>
              </w14:lightRig>
            </w14:scene3d>
          </w:rPr>
          <w:t>6.3.1.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Programme Office</w:t>
        </w:r>
        <w:r w:rsidR="00785940">
          <w:rPr>
            <w:noProof/>
            <w:webHidden/>
          </w:rPr>
          <w:tab/>
        </w:r>
        <w:r w:rsidR="00785940">
          <w:rPr>
            <w:noProof/>
            <w:webHidden/>
          </w:rPr>
          <w:fldChar w:fldCharType="begin"/>
        </w:r>
        <w:r w:rsidR="00785940">
          <w:rPr>
            <w:noProof/>
            <w:webHidden/>
          </w:rPr>
          <w:instrText xml:space="preserve"> PAGEREF _Toc93907366 \h </w:instrText>
        </w:r>
        <w:r w:rsidR="00785940">
          <w:rPr>
            <w:noProof/>
            <w:webHidden/>
          </w:rPr>
        </w:r>
        <w:r w:rsidR="00785940">
          <w:rPr>
            <w:noProof/>
            <w:webHidden/>
          </w:rPr>
          <w:fldChar w:fldCharType="separate"/>
        </w:r>
        <w:r w:rsidR="00785940">
          <w:rPr>
            <w:noProof/>
            <w:webHidden/>
          </w:rPr>
          <w:t>129</w:t>
        </w:r>
        <w:r w:rsidR="00785940">
          <w:rPr>
            <w:noProof/>
            <w:webHidden/>
          </w:rPr>
          <w:fldChar w:fldCharType="end"/>
        </w:r>
      </w:hyperlink>
    </w:p>
    <w:p w14:paraId="721F9C76" w14:textId="5B54D110"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67" w:history="1">
        <w:r w:rsidR="00785940" w:rsidRPr="00FC19BA">
          <w:rPr>
            <w:rStyle w:val="Hyperlink"/>
            <w:noProof/>
            <w14:scene3d>
              <w14:camera w14:prst="orthographicFront"/>
              <w14:lightRig w14:rig="threePt" w14:dir="t">
                <w14:rot w14:lat="0" w14:lon="0" w14:rev="0"/>
              </w14:lightRig>
            </w14:scene3d>
          </w:rPr>
          <w:t>6.4.</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States Representatives Group</w:t>
        </w:r>
        <w:r w:rsidR="00785940">
          <w:rPr>
            <w:noProof/>
            <w:webHidden/>
          </w:rPr>
          <w:tab/>
        </w:r>
        <w:r w:rsidR="00785940">
          <w:rPr>
            <w:noProof/>
            <w:webHidden/>
          </w:rPr>
          <w:fldChar w:fldCharType="begin"/>
        </w:r>
        <w:r w:rsidR="00785940">
          <w:rPr>
            <w:noProof/>
            <w:webHidden/>
          </w:rPr>
          <w:instrText xml:space="preserve"> PAGEREF _Toc93907367 \h </w:instrText>
        </w:r>
        <w:r w:rsidR="00785940">
          <w:rPr>
            <w:noProof/>
            <w:webHidden/>
          </w:rPr>
        </w:r>
        <w:r w:rsidR="00785940">
          <w:rPr>
            <w:noProof/>
            <w:webHidden/>
          </w:rPr>
          <w:fldChar w:fldCharType="separate"/>
        </w:r>
        <w:r w:rsidR="00785940">
          <w:rPr>
            <w:noProof/>
            <w:webHidden/>
          </w:rPr>
          <w:t>129</w:t>
        </w:r>
        <w:r w:rsidR="00785940">
          <w:rPr>
            <w:noProof/>
            <w:webHidden/>
          </w:rPr>
          <w:fldChar w:fldCharType="end"/>
        </w:r>
      </w:hyperlink>
    </w:p>
    <w:p w14:paraId="41C24F28" w14:textId="3AACA847"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68" w:history="1">
        <w:r w:rsidR="00785940" w:rsidRPr="00FC19BA">
          <w:rPr>
            <w:rStyle w:val="Hyperlink"/>
            <w:noProof/>
            <w14:scene3d>
              <w14:camera w14:prst="orthographicFront"/>
              <w14:lightRig w14:rig="threePt" w14:dir="t">
                <w14:rot w14:lat="0" w14:lon="0" w14:rev="0"/>
              </w14:lightRig>
            </w14:scene3d>
          </w:rPr>
          <w:t>6.5.</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Stakeholders’ Group</w:t>
        </w:r>
        <w:r w:rsidR="00785940">
          <w:rPr>
            <w:noProof/>
            <w:webHidden/>
          </w:rPr>
          <w:tab/>
        </w:r>
        <w:r w:rsidR="00785940">
          <w:rPr>
            <w:noProof/>
            <w:webHidden/>
          </w:rPr>
          <w:fldChar w:fldCharType="begin"/>
        </w:r>
        <w:r w:rsidR="00785940">
          <w:rPr>
            <w:noProof/>
            <w:webHidden/>
          </w:rPr>
          <w:instrText xml:space="preserve"> PAGEREF _Toc93907368 \h </w:instrText>
        </w:r>
        <w:r w:rsidR="00785940">
          <w:rPr>
            <w:noProof/>
            <w:webHidden/>
          </w:rPr>
        </w:r>
        <w:r w:rsidR="00785940">
          <w:rPr>
            <w:noProof/>
            <w:webHidden/>
          </w:rPr>
          <w:fldChar w:fldCharType="separate"/>
        </w:r>
        <w:r w:rsidR="00785940">
          <w:rPr>
            <w:noProof/>
            <w:webHidden/>
          </w:rPr>
          <w:t>130</w:t>
        </w:r>
        <w:r w:rsidR="00785940">
          <w:rPr>
            <w:noProof/>
            <w:webHidden/>
          </w:rPr>
          <w:fldChar w:fldCharType="end"/>
        </w:r>
      </w:hyperlink>
    </w:p>
    <w:p w14:paraId="566387C6" w14:textId="3F934BAF"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69" w:history="1">
        <w:r w:rsidR="00785940" w:rsidRPr="00FC19BA">
          <w:rPr>
            <w:rStyle w:val="Hyperlink"/>
            <w:noProof/>
            <w:lang w:val="en-US"/>
          </w:rPr>
          <w:t>7.</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shd w:val="clear" w:color="auto" w:fill="FFFFFF"/>
            <w:lang w:eastAsia="fr-FR" w:bidi="fr-FR"/>
          </w:rPr>
          <w:t>Programme monitoring and reporting</w:t>
        </w:r>
        <w:r w:rsidR="00785940">
          <w:rPr>
            <w:noProof/>
            <w:webHidden/>
          </w:rPr>
          <w:tab/>
        </w:r>
        <w:r w:rsidR="00785940">
          <w:rPr>
            <w:noProof/>
            <w:webHidden/>
          </w:rPr>
          <w:fldChar w:fldCharType="begin"/>
        </w:r>
        <w:r w:rsidR="00785940">
          <w:rPr>
            <w:noProof/>
            <w:webHidden/>
          </w:rPr>
          <w:instrText xml:space="preserve"> PAGEREF _Toc93907369 \h </w:instrText>
        </w:r>
        <w:r w:rsidR="00785940">
          <w:rPr>
            <w:noProof/>
            <w:webHidden/>
          </w:rPr>
        </w:r>
        <w:r w:rsidR="00785940">
          <w:rPr>
            <w:noProof/>
            <w:webHidden/>
          </w:rPr>
          <w:fldChar w:fldCharType="separate"/>
        </w:r>
        <w:r w:rsidR="00785940">
          <w:rPr>
            <w:noProof/>
            <w:webHidden/>
          </w:rPr>
          <w:t>131</w:t>
        </w:r>
        <w:r w:rsidR="00785940">
          <w:rPr>
            <w:noProof/>
            <w:webHidden/>
          </w:rPr>
          <w:fldChar w:fldCharType="end"/>
        </w:r>
      </w:hyperlink>
    </w:p>
    <w:p w14:paraId="435C9364" w14:textId="69A7BBDB"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70" w:history="1">
        <w:r w:rsidR="00785940" w:rsidRPr="00FC19BA">
          <w:rPr>
            <w:rStyle w:val="Hyperlink"/>
            <w:noProof/>
            <w:lang w:val="en-US"/>
          </w:rPr>
          <w:t>8.</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shd w:val="clear" w:color="auto" w:fill="FFFFFF"/>
            <w:lang w:eastAsia="fr-FR" w:bidi="fr-FR"/>
          </w:rPr>
          <w:t>Modern Administration</w:t>
        </w:r>
        <w:r w:rsidR="00785940">
          <w:rPr>
            <w:noProof/>
            <w:webHidden/>
          </w:rPr>
          <w:tab/>
        </w:r>
        <w:r w:rsidR="00785940">
          <w:rPr>
            <w:noProof/>
            <w:webHidden/>
          </w:rPr>
          <w:fldChar w:fldCharType="begin"/>
        </w:r>
        <w:r w:rsidR="00785940">
          <w:rPr>
            <w:noProof/>
            <w:webHidden/>
          </w:rPr>
          <w:instrText xml:space="preserve"> PAGEREF _Toc93907370 \h </w:instrText>
        </w:r>
        <w:r w:rsidR="00785940">
          <w:rPr>
            <w:noProof/>
            <w:webHidden/>
          </w:rPr>
        </w:r>
        <w:r w:rsidR="00785940">
          <w:rPr>
            <w:noProof/>
            <w:webHidden/>
          </w:rPr>
          <w:fldChar w:fldCharType="separate"/>
        </w:r>
        <w:r w:rsidR="00785940">
          <w:rPr>
            <w:noProof/>
            <w:webHidden/>
          </w:rPr>
          <w:t>136</w:t>
        </w:r>
        <w:r w:rsidR="00785940">
          <w:rPr>
            <w:noProof/>
            <w:webHidden/>
          </w:rPr>
          <w:fldChar w:fldCharType="end"/>
        </w:r>
      </w:hyperlink>
    </w:p>
    <w:p w14:paraId="518F42B6" w14:textId="72C4E5D3"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71" w:history="1">
        <w:r w:rsidR="00785940" w:rsidRPr="00FC19BA">
          <w:rPr>
            <w:rStyle w:val="Hyperlink"/>
            <w:noProof/>
            <w14:scene3d>
              <w14:camera w14:prst="orthographicFront"/>
              <w14:lightRig w14:rig="threePt" w14:dir="t">
                <w14:rot w14:lat="0" w14:lon="0" w14:rev="0"/>
              </w14:lightRig>
            </w14:scene3d>
          </w:rPr>
          <w:t>8.1.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Objective of human resource management</w:t>
        </w:r>
        <w:r w:rsidR="00785940">
          <w:rPr>
            <w:noProof/>
            <w:webHidden/>
          </w:rPr>
          <w:tab/>
        </w:r>
        <w:r w:rsidR="00785940">
          <w:rPr>
            <w:noProof/>
            <w:webHidden/>
          </w:rPr>
          <w:fldChar w:fldCharType="begin"/>
        </w:r>
        <w:r w:rsidR="00785940">
          <w:rPr>
            <w:noProof/>
            <w:webHidden/>
          </w:rPr>
          <w:instrText xml:space="preserve"> PAGEREF _Toc93907371 \h </w:instrText>
        </w:r>
        <w:r w:rsidR="00785940">
          <w:rPr>
            <w:noProof/>
            <w:webHidden/>
          </w:rPr>
        </w:r>
        <w:r w:rsidR="00785940">
          <w:rPr>
            <w:noProof/>
            <w:webHidden/>
          </w:rPr>
          <w:fldChar w:fldCharType="separate"/>
        </w:r>
        <w:r w:rsidR="00785940">
          <w:rPr>
            <w:noProof/>
            <w:webHidden/>
          </w:rPr>
          <w:t>136</w:t>
        </w:r>
        <w:r w:rsidR="00785940">
          <w:rPr>
            <w:noProof/>
            <w:webHidden/>
          </w:rPr>
          <w:fldChar w:fldCharType="end"/>
        </w:r>
      </w:hyperlink>
    </w:p>
    <w:p w14:paraId="7FFF22B8" w14:textId="53226D46"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72" w:history="1">
        <w:r w:rsidR="00785940" w:rsidRPr="00FC19BA">
          <w:rPr>
            <w:rStyle w:val="Hyperlink"/>
            <w:noProof/>
            <w14:scene3d>
              <w14:camera w14:prst="orthographicFront"/>
              <w14:lightRig w14:rig="threePt" w14:dir="t">
                <w14:rot w14:lat="0" w14:lon="0" w14:rev="0"/>
              </w14:lightRig>
            </w14:scene3d>
          </w:rPr>
          <w:t>8.2.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Main principles of the human resources management of the Clean Hydrogen JU</w:t>
        </w:r>
        <w:r w:rsidR="00785940">
          <w:rPr>
            <w:noProof/>
            <w:webHidden/>
          </w:rPr>
          <w:tab/>
        </w:r>
        <w:r w:rsidR="00785940">
          <w:rPr>
            <w:noProof/>
            <w:webHidden/>
          </w:rPr>
          <w:fldChar w:fldCharType="begin"/>
        </w:r>
        <w:r w:rsidR="00785940">
          <w:rPr>
            <w:noProof/>
            <w:webHidden/>
          </w:rPr>
          <w:instrText xml:space="preserve"> PAGEREF _Toc93907372 \h </w:instrText>
        </w:r>
        <w:r w:rsidR="00785940">
          <w:rPr>
            <w:noProof/>
            <w:webHidden/>
          </w:rPr>
        </w:r>
        <w:r w:rsidR="00785940">
          <w:rPr>
            <w:noProof/>
            <w:webHidden/>
          </w:rPr>
          <w:fldChar w:fldCharType="separate"/>
        </w:r>
        <w:r w:rsidR="00785940">
          <w:rPr>
            <w:noProof/>
            <w:webHidden/>
          </w:rPr>
          <w:t>136</w:t>
        </w:r>
        <w:r w:rsidR="00785940">
          <w:rPr>
            <w:noProof/>
            <w:webHidden/>
          </w:rPr>
          <w:fldChar w:fldCharType="end"/>
        </w:r>
      </w:hyperlink>
    </w:p>
    <w:p w14:paraId="79E3EE8B" w14:textId="44E1A92C"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73" w:history="1">
        <w:r w:rsidR="00785940" w:rsidRPr="00FC19BA">
          <w:rPr>
            <w:rStyle w:val="Hyperlink"/>
            <w:noProof/>
            <w14:scene3d>
              <w14:camera w14:prst="orthographicFront"/>
              <w14:lightRig w14:rig="threePt" w14:dir="t">
                <w14:rot w14:lat="0" w14:lon="0" w14:rev="0"/>
              </w14:lightRig>
            </w14:scene3d>
          </w:rPr>
          <w:t>8.3.</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Staff establishment plan and human resources policy of the Clean Hydrogen JU</w:t>
        </w:r>
        <w:r w:rsidR="00785940">
          <w:rPr>
            <w:noProof/>
            <w:webHidden/>
          </w:rPr>
          <w:tab/>
        </w:r>
        <w:r w:rsidR="00785940">
          <w:rPr>
            <w:noProof/>
            <w:webHidden/>
          </w:rPr>
          <w:fldChar w:fldCharType="begin"/>
        </w:r>
        <w:r w:rsidR="00785940">
          <w:rPr>
            <w:noProof/>
            <w:webHidden/>
          </w:rPr>
          <w:instrText xml:space="preserve"> PAGEREF _Toc93907373 \h </w:instrText>
        </w:r>
        <w:r w:rsidR="00785940">
          <w:rPr>
            <w:noProof/>
            <w:webHidden/>
          </w:rPr>
        </w:r>
        <w:r w:rsidR="00785940">
          <w:rPr>
            <w:noProof/>
            <w:webHidden/>
          </w:rPr>
          <w:fldChar w:fldCharType="separate"/>
        </w:r>
        <w:r w:rsidR="00785940">
          <w:rPr>
            <w:noProof/>
            <w:webHidden/>
          </w:rPr>
          <w:t>136</w:t>
        </w:r>
        <w:r w:rsidR="00785940">
          <w:rPr>
            <w:noProof/>
            <w:webHidden/>
          </w:rPr>
          <w:fldChar w:fldCharType="end"/>
        </w:r>
      </w:hyperlink>
    </w:p>
    <w:p w14:paraId="38433485" w14:textId="188061DC"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74" w:history="1">
        <w:r w:rsidR="00785940" w:rsidRPr="00FC19BA">
          <w:rPr>
            <w:rStyle w:val="Hyperlink"/>
            <w:noProof/>
            <w:lang w:val="en-US"/>
            <w14:scene3d>
              <w14:camera w14:prst="orthographicFront"/>
              <w14:lightRig w14:rig="threePt" w14:dir="t">
                <w14:rot w14:lat="0" w14:lon="0" w14:rev="0"/>
              </w14:lightRig>
            </w14:scene3d>
          </w:rPr>
          <w:t>8.4.</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lang w:val="en-US"/>
          </w:rPr>
          <w:t>Sound financial management</w:t>
        </w:r>
        <w:r w:rsidR="00785940">
          <w:rPr>
            <w:noProof/>
            <w:webHidden/>
          </w:rPr>
          <w:tab/>
        </w:r>
        <w:r w:rsidR="00785940">
          <w:rPr>
            <w:noProof/>
            <w:webHidden/>
          </w:rPr>
          <w:fldChar w:fldCharType="begin"/>
        </w:r>
        <w:r w:rsidR="00785940">
          <w:rPr>
            <w:noProof/>
            <w:webHidden/>
          </w:rPr>
          <w:instrText xml:space="preserve"> PAGEREF _Toc93907374 \h </w:instrText>
        </w:r>
        <w:r w:rsidR="00785940">
          <w:rPr>
            <w:noProof/>
            <w:webHidden/>
          </w:rPr>
        </w:r>
        <w:r w:rsidR="00785940">
          <w:rPr>
            <w:noProof/>
            <w:webHidden/>
          </w:rPr>
          <w:fldChar w:fldCharType="separate"/>
        </w:r>
        <w:r w:rsidR="00785940">
          <w:rPr>
            <w:noProof/>
            <w:webHidden/>
          </w:rPr>
          <w:t>136</w:t>
        </w:r>
        <w:r w:rsidR="00785940">
          <w:rPr>
            <w:noProof/>
            <w:webHidden/>
          </w:rPr>
          <w:fldChar w:fldCharType="end"/>
        </w:r>
      </w:hyperlink>
    </w:p>
    <w:p w14:paraId="0542AD0F" w14:textId="4177792E"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75" w:history="1">
        <w:r w:rsidR="00785940" w:rsidRPr="00FC19BA">
          <w:rPr>
            <w:rStyle w:val="Hyperlink"/>
            <w:noProof/>
            <w14:scene3d>
              <w14:camera w14:prst="orthographicFront"/>
              <w14:lightRig w14:rig="threePt" w14:dir="t">
                <w14:rot w14:lat="0" w14:lon="0" w14:rev="0"/>
              </w14:lightRig>
            </w14:scene3d>
          </w:rPr>
          <w:t>8.4.1.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Assurance and audit</w:t>
        </w:r>
        <w:r w:rsidR="00785940">
          <w:rPr>
            <w:noProof/>
            <w:webHidden/>
          </w:rPr>
          <w:tab/>
        </w:r>
        <w:r w:rsidR="00785940">
          <w:rPr>
            <w:noProof/>
            <w:webHidden/>
          </w:rPr>
          <w:fldChar w:fldCharType="begin"/>
        </w:r>
        <w:r w:rsidR="00785940">
          <w:rPr>
            <w:noProof/>
            <w:webHidden/>
          </w:rPr>
          <w:instrText xml:space="preserve"> PAGEREF _Toc93907375 \h </w:instrText>
        </w:r>
        <w:r w:rsidR="00785940">
          <w:rPr>
            <w:noProof/>
            <w:webHidden/>
          </w:rPr>
        </w:r>
        <w:r w:rsidR="00785940">
          <w:rPr>
            <w:noProof/>
            <w:webHidden/>
          </w:rPr>
          <w:fldChar w:fldCharType="separate"/>
        </w:r>
        <w:r w:rsidR="00785940">
          <w:rPr>
            <w:noProof/>
            <w:webHidden/>
          </w:rPr>
          <w:t>137</w:t>
        </w:r>
        <w:r w:rsidR="00785940">
          <w:rPr>
            <w:noProof/>
            <w:webHidden/>
          </w:rPr>
          <w:fldChar w:fldCharType="end"/>
        </w:r>
      </w:hyperlink>
    </w:p>
    <w:p w14:paraId="69F5CAA6" w14:textId="1B83E45E"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76" w:history="1">
        <w:r w:rsidR="00785940" w:rsidRPr="00FC19BA">
          <w:rPr>
            <w:rStyle w:val="Hyperlink"/>
            <w:noProof/>
            <w14:scene3d>
              <w14:camera w14:prst="orthographicFront"/>
              <w14:lightRig w14:rig="threePt" w14:dir="t">
                <w14:rot w14:lat="0" w14:lon="0" w14:rev="0"/>
              </w14:lightRig>
            </w14:scene3d>
          </w:rPr>
          <w:t>8.4.2.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lang w:val="en-US"/>
          </w:rPr>
          <w:t>Financial management</w:t>
        </w:r>
        <w:r w:rsidR="00785940">
          <w:rPr>
            <w:noProof/>
            <w:webHidden/>
          </w:rPr>
          <w:tab/>
        </w:r>
        <w:r w:rsidR="00785940">
          <w:rPr>
            <w:noProof/>
            <w:webHidden/>
          </w:rPr>
          <w:fldChar w:fldCharType="begin"/>
        </w:r>
        <w:r w:rsidR="00785940">
          <w:rPr>
            <w:noProof/>
            <w:webHidden/>
          </w:rPr>
          <w:instrText xml:space="preserve"> PAGEREF _Toc93907376 \h </w:instrText>
        </w:r>
        <w:r w:rsidR="00785940">
          <w:rPr>
            <w:noProof/>
            <w:webHidden/>
          </w:rPr>
        </w:r>
        <w:r w:rsidR="00785940">
          <w:rPr>
            <w:noProof/>
            <w:webHidden/>
          </w:rPr>
          <w:fldChar w:fldCharType="separate"/>
        </w:r>
        <w:r w:rsidR="00785940">
          <w:rPr>
            <w:noProof/>
            <w:webHidden/>
          </w:rPr>
          <w:t>137</w:t>
        </w:r>
        <w:r w:rsidR="00785940">
          <w:rPr>
            <w:noProof/>
            <w:webHidden/>
          </w:rPr>
          <w:fldChar w:fldCharType="end"/>
        </w:r>
      </w:hyperlink>
    </w:p>
    <w:p w14:paraId="156C36F9" w14:textId="7383B0D1"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77" w:history="1">
        <w:r w:rsidR="00785940" w:rsidRPr="00FC19BA">
          <w:rPr>
            <w:rStyle w:val="Hyperlink"/>
            <w:noProof/>
            <w14:scene3d>
              <w14:camera w14:prst="orthographicFront"/>
              <w14:lightRig w14:rig="threePt" w14:dir="t">
                <w14:rot w14:lat="0" w14:lon="0" w14:rev="0"/>
              </w14:lightRig>
            </w14:scene3d>
          </w:rPr>
          <w:t>8.4.3.</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lang w:val="en-US"/>
          </w:rPr>
          <w:t>Internal control and risk management</w:t>
        </w:r>
        <w:r w:rsidR="00785940">
          <w:rPr>
            <w:noProof/>
            <w:webHidden/>
          </w:rPr>
          <w:tab/>
        </w:r>
        <w:r w:rsidR="00785940">
          <w:rPr>
            <w:noProof/>
            <w:webHidden/>
          </w:rPr>
          <w:fldChar w:fldCharType="begin"/>
        </w:r>
        <w:r w:rsidR="00785940">
          <w:rPr>
            <w:noProof/>
            <w:webHidden/>
          </w:rPr>
          <w:instrText xml:space="preserve"> PAGEREF _Toc93907377 \h </w:instrText>
        </w:r>
        <w:r w:rsidR="00785940">
          <w:rPr>
            <w:noProof/>
            <w:webHidden/>
          </w:rPr>
        </w:r>
        <w:r w:rsidR="00785940">
          <w:rPr>
            <w:noProof/>
            <w:webHidden/>
          </w:rPr>
          <w:fldChar w:fldCharType="separate"/>
        </w:r>
        <w:r w:rsidR="00785940">
          <w:rPr>
            <w:noProof/>
            <w:webHidden/>
          </w:rPr>
          <w:t>138</w:t>
        </w:r>
        <w:r w:rsidR="00785940">
          <w:rPr>
            <w:noProof/>
            <w:webHidden/>
          </w:rPr>
          <w:fldChar w:fldCharType="end"/>
        </w:r>
      </w:hyperlink>
    </w:p>
    <w:p w14:paraId="73859AD0" w14:textId="09579CD0"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78" w:history="1">
        <w:r w:rsidR="00785940" w:rsidRPr="00FC19BA">
          <w:rPr>
            <w:rStyle w:val="Hyperlink"/>
            <w:noProof/>
            <w:lang w:val="en-US"/>
            <w14:scene3d>
              <w14:camera w14:prst="orthographicFront"/>
              <w14:lightRig w14:rig="threePt" w14:dir="t">
                <w14:rot w14:lat="0" w14:lon="0" w14:rev="0"/>
              </w14:lightRig>
            </w14:scene3d>
          </w:rPr>
          <w:t>8.5.</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lang w:val="en-US"/>
          </w:rPr>
          <w:t>Fraud risk management</w:t>
        </w:r>
        <w:r w:rsidR="00785940">
          <w:rPr>
            <w:noProof/>
            <w:webHidden/>
          </w:rPr>
          <w:tab/>
        </w:r>
        <w:r w:rsidR="00785940">
          <w:rPr>
            <w:noProof/>
            <w:webHidden/>
          </w:rPr>
          <w:fldChar w:fldCharType="begin"/>
        </w:r>
        <w:r w:rsidR="00785940">
          <w:rPr>
            <w:noProof/>
            <w:webHidden/>
          </w:rPr>
          <w:instrText xml:space="preserve"> PAGEREF _Toc93907378 \h </w:instrText>
        </w:r>
        <w:r w:rsidR="00785940">
          <w:rPr>
            <w:noProof/>
            <w:webHidden/>
          </w:rPr>
        </w:r>
        <w:r w:rsidR="00785940">
          <w:rPr>
            <w:noProof/>
            <w:webHidden/>
          </w:rPr>
          <w:fldChar w:fldCharType="separate"/>
        </w:r>
        <w:r w:rsidR="00785940">
          <w:rPr>
            <w:noProof/>
            <w:webHidden/>
          </w:rPr>
          <w:t>138</w:t>
        </w:r>
        <w:r w:rsidR="00785940">
          <w:rPr>
            <w:noProof/>
            <w:webHidden/>
          </w:rPr>
          <w:fldChar w:fldCharType="end"/>
        </w:r>
      </w:hyperlink>
    </w:p>
    <w:p w14:paraId="67910BC8" w14:textId="0A5A04E1"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79" w:history="1">
        <w:r w:rsidR="00785940" w:rsidRPr="00FC19BA">
          <w:rPr>
            <w:rStyle w:val="Hyperlink"/>
            <w:noProof/>
            <w:lang w:val="fr-BE"/>
            <w14:scene3d>
              <w14:camera w14:prst="orthographicFront"/>
              <w14:lightRig w14:rig="threePt" w14:dir="t">
                <w14:rot w14:lat="0" w14:lon="0" w14:rev="0"/>
              </w14:lightRig>
            </w14:scene3d>
          </w:rPr>
          <w:t>8.6.</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lang w:val="fr-BE"/>
          </w:rPr>
          <w:t>Document Management, digital transformation and information management</w:t>
        </w:r>
        <w:r w:rsidR="00785940">
          <w:rPr>
            <w:noProof/>
            <w:webHidden/>
          </w:rPr>
          <w:tab/>
        </w:r>
        <w:r w:rsidR="00785940">
          <w:rPr>
            <w:noProof/>
            <w:webHidden/>
          </w:rPr>
          <w:fldChar w:fldCharType="begin"/>
        </w:r>
        <w:r w:rsidR="00785940">
          <w:rPr>
            <w:noProof/>
            <w:webHidden/>
          </w:rPr>
          <w:instrText xml:space="preserve"> PAGEREF _Toc93907379 \h </w:instrText>
        </w:r>
        <w:r w:rsidR="00785940">
          <w:rPr>
            <w:noProof/>
            <w:webHidden/>
          </w:rPr>
        </w:r>
        <w:r w:rsidR="00785940">
          <w:rPr>
            <w:noProof/>
            <w:webHidden/>
          </w:rPr>
          <w:fldChar w:fldCharType="separate"/>
        </w:r>
        <w:r w:rsidR="00785940">
          <w:rPr>
            <w:noProof/>
            <w:webHidden/>
          </w:rPr>
          <w:t>139</w:t>
        </w:r>
        <w:r w:rsidR="00785940">
          <w:rPr>
            <w:noProof/>
            <w:webHidden/>
          </w:rPr>
          <w:fldChar w:fldCharType="end"/>
        </w:r>
      </w:hyperlink>
    </w:p>
    <w:p w14:paraId="427DD8FD" w14:textId="789511ED"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80" w:history="1">
        <w:r w:rsidR="00785940" w:rsidRPr="00FC19BA">
          <w:rPr>
            <w:rStyle w:val="Hyperlink"/>
            <w:noProof/>
            <w14:scene3d>
              <w14:camera w14:prst="orthographicFront"/>
              <w14:lightRig w14:rig="threePt" w14:dir="t">
                <w14:rot w14:lat="0" w14:lon="0" w14:rev="0"/>
              </w14:lightRig>
            </w14:scene3d>
          </w:rPr>
          <w:t>8.6.1.</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Information Management</w:t>
        </w:r>
        <w:r w:rsidR="00785940">
          <w:rPr>
            <w:noProof/>
            <w:webHidden/>
          </w:rPr>
          <w:tab/>
        </w:r>
        <w:r w:rsidR="00785940">
          <w:rPr>
            <w:noProof/>
            <w:webHidden/>
          </w:rPr>
          <w:fldChar w:fldCharType="begin"/>
        </w:r>
        <w:r w:rsidR="00785940">
          <w:rPr>
            <w:noProof/>
            <w:webHidden/>
          </w:rPr>
          <w:instrText xml:space="preserve"> PAGEREF _Toc93907380 \h </w:instrText>
        </w:r>
        <w:r w:rsidR="00785940">
          <w:rPr>
            <w:noProof/>
            <w:webHidden/>
          </w:rPr>
        </w:r>
        <w:r w:rsidR="00785940">
          <w:rPr>
            <w:noProof/>
            <w:webHidden/>
          </w:rPr>
          <w:fldChar w:fldCharType="separate"/>
        </w:r>
        <w:r w:rsidR="00785940">
          <w:rPr>
            <w:noProof/>
            <w:webHidden/>
          </w:rPr>
          <w:t>139</w:t>
        </w:r>
        <w:r w:rsidR="00785940">
          <w:rPr>
            <w:noProof/>
            <w:webHidden/>
          </w:rPr>
          <w:fldChar w:fldCharType="end"/>
        </w:r>
      </w:hyperlink>
    </w:p>
    <w:p w14:paraId="70FA39E0" w14:textId="67838675"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81" w:history="1">
        <w:r w:rsidR="00785940" w:rsidRPr="00FC19BA">
          <w:rPr>
            <w:rStyle w:val="Hyperlink"/>
            <w:noProof/>
            <w14:scene3d>
              <w14:camera w14:prst="orthographicFront"/>
              <w14:lightRig w14:rig="threePt" w14:dir="t">
                <w14:rot w14:lat="0" w14:lon="0" w14:rev="0"/>
              </w14:lightRig>
            </w14:scene3d>
          </w:rPr>
          <w:t>8.6.2.</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Digital Transformation</w:t>
        </w:r>
        <w:r w:rsidR="00785940">
          <w:rPr>
            <w:noProof/>
            <w:webHidden/>
          </w:rPr>
          <w:tab/>
        </w:r>
        <w:r w:rsidR="00785940">
          <w:rPr>
            <w:noProof/>
            <w:webHidden/>
          </w:rPr>
          <w:fldChar w:fldCharType="begin"/>
        </w:r>
        <w:r w:rsidR="00785940">
          <w:rPr>
            <w:noProof/>
            <w:webHidden/>
          </w:rPr>
          <w:instrText xml:space="preserve"> PAGEREF _Toc93907381 \h </w:instrText>
        </w:r>
        <w:r w:rsidR="00785940">
          <w:rPr>
            <w:noProof/>
            <w:webHidden/>
          </w:rPr>
        </w:r>
        <w:r w:rsidR="00785940">
          <w:rPr>
            <w:noProof/>
            <w:webHidden/>
          </w:rPr>
          <w:fldChar w:fldCharType="separate"/>
        </w:r>
        <w:r w:rsidR="00785940">
          <w:rPr>
            <w:noProof/>
            <w:webHidden/>
          </w:rPr>
          <w:t>140</w:t>
        </w:r>
        <w:r w:rsidR="00785940">
          <w:rPr>
            <w:noProof/>
            <w:webHidden/>
          </w:rPr>
          <w:fldChar w:fldCharType="end"/>
        </w:r>
      </w:hyperlink>
    </w:p>
    <w:p w14:paraId="4A8B29A8" w14:textId="7149CE78"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82" w:history="1">
        <w:r w:rsidR="00785940" w:rsidRPr="00FC19BA">
          <w:rPr>
            <w:rStyle w:val="Hyperlink"/>
            <w:noProof/>
            <w14:scene3d>
              <w14:camera w14:prst="orthographicFront"/>
              <w14:lightRig w14:rig="threePt" w14:dir="t">
                <w14:rot w14:lat="0" w14:lon="0" w14:rev="0"/>
              </w14:lightRig>
            </w14:scene3d>
          </w:rPr>
          <w:t>8.6.3.</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rPr>
          <w:t>Document Management</w:t>
        </w:r>
        <w:r w:rsidR="00785940">
          <w:rPr>
            <w:noProof/>
            <w:webHidden/>
          </w:rPr>
          <w:tab/>
        </w:r>
        <w:r w:rsidR="00785940">
          <w:rPr>
            <w:noProof/>
            <w:webHidden/>
          </w:rPr>
          <w:fldChar w:fldCharType="begin"/>
        </w:r>
        <w:r w:rsidR="00785940">
          <w:rPr>
            <w:noProof/>
            <w:webHidden/>
          </w:rPr>
          <w:instrText xml:space="preserve"> PAGEREF _Toc93907382 \h </w:instrText>
        </w:r>
        <w:r w:rsidR="00785940">
          <w:rPr>
            <w:noProof/>
            <w:webHidden/>
          </w:rPr>
        </w:r>
        <w:r w:rsidR="00785940">
          <w:rPr>
            <w:noProof/>
            <w:webHidden/>
          </w:rPr>
          <w:fldChar w:fldCharType="separate"/>
        </w:r>
        <w:r w:rsidR="00785940">
          <w:rPr>
            <w:noProof/>
            <w:webHidden/>
          </w:rPr>
          <w:t>141</w:t>
        </w:r>
        <w:r w:rsidR="00785940">
          <w:rPr>
            <w:noProof/>
            <w:webHidden/>
          </w:rPr>
          <w:fldChar w:fldCharType="end"/>
        </w:r>
      </w:hyperlink>
    </w:p>
    <w:p w14:paraId="57C9DF6E" w14:textId="2C7C5E6C" w:rsidR="00785940" w:rsidRDefault="006F41A6">
      <w:pPr>
        <w:pStyle w:val="TOC2"/>
        <w:rPr>
          <w:rFonts w:asciiTheme="minorHAnsi" w:eastAsiaTheme="minorEastAsia" w:hAnsiTheme="minorHAnsi" w:cstheme="minorBidi"/>
          <w:noProof/>
          <w:color w:val="auto"/>
          <w:sz w:val="22"/>
          <w:szCs w:val="22"/>
          <w:lang w:eastAsia="en-GB" w:bidi="ar-SA"/>
        </w:rPr>
      </w:pPr>
      <w:hyperlink w:anchor="_Toc93907383" w:history="1">
        <w:r w:rsidR="00785940" w:rsidRPr="00FC19BA">
          <w:rPr>
            <w:rStyle w:val="Hyperlink"/>
            <w:noProof/>
            <w:lang w:val="en-US"/>
            <w14:scene3d>
              <w14:camera w14:prst="orthographicFront"/>
              <w14:lightRig w14:rig="threePt" w14:dir="t">
                <w14:rot w14:lat="0" w14:lon="0" w14:rev="0"/>
              </w14:lightRig>
            </w14:scene3d>
          </w:rPr>
          <w:t>8.7.</w:t>
        </w:r>
        <w:r w:rsidR="00785940">
          <w:rPr>
            <w:rFonts w:asciiTheme="minorHAnsi" w:eastAsiaTheme="minorEastAsia" w:hAnsiTheme="minorHAnsi" w:cstheme="minorBidi"/>
            <w:noProof/>
            <w:color w:val="auto"/>
            <w:sz w:val="22"/>
            <w:szCs w:val="22"/>
            <w:lang w:eastAsia="en-GB" w:bidi="ar-SA"/>
          </w:rPr>
          <w:tab/>
        </w:r>
        <w:r w:rsidR="00785940" w:rsidRPr="00FC19BA">
          <w:rPr>
            <w:rStyle w:val="Hyperlink"/>
            <w:noProof/>
            <w:lang w:val="en-US"/>
          </w:rPr>
          <w:t>Sound environmental management</w:t>
        </w:r>
        <w:r w:rsidR="00785940">
          <w:rPr>
            <w:noProof/>
            <w:webHidden/>
          </w:rPr>
          <w:tab/>
        </w:r>
        <w:r w:rsidR="00785940">
          <w:rPr>
            <w:noProof/>
            <w:webHidden/>
          </w:rPr>
          <w:fldChar w:fldCharType="begin"/>
        </w:r>
        <w:r w:rsidR="00785940">
          <w:rPr>
            <w:noProof/>
            <w:webHidden/>
          </w:rPr>
          <w:instrText xml:space="preserve"> PAGEREF _Toc93907383 \h </w:instrText>
        </w:r>
        <w:r w:rsidR="00785940">
          <w:rPr>
            <w:noProof/>
            <w:webHidden/>
          </w:rPr>
        </w:r>
        <w:r w:rsidR="00785940">
          <w:rPr>
            <w:noProof/>
            <w:webHidden/>
          </w:rPr>
          <w:fldChar w:fldCharType="separate"/>
        </w:r>
        <w:r w:rsidR="00785940">
          <w:rPr>
            <w:noProof/>
            <w:webHidden/>
          </w:rPr>
          <w:t>142</w:t>
        </w:r>
        <w:r w:rsidR="00785940">
          <w:rPr>
            <w:noProof/>
            <w:webHidden/>
          </w:rPr>
          <w:fldChar w:fldCharType="end"/>
        </w:r>
      </w:hyperlink>
    </w:p>
    <w:p w14:paraId="768D7126" w14:textId="20F3B737"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84" w:history="1">
        <w:r w:rsidR="00785940" w:rsidRPr="00FC19BA">
          <w:rPr>
            <w:rStyle w:val="Hyperlink"/>
            <w:noProof/>
            <w:lang w:eastAsia="sv-SE" w:bidi="sv-SE"/>
          </w:rPr>
          <w:t xml:space="preserve">Annex 1 – </w:t>
        </w:r>
        <w:r w:rsidR="00785940" w:rsidRPr="00FC19BA">
          <w:rPr>
            <w:rStyle w:val="Hyperlink"/>
            <w:noProof/>
            <w:shd w:val="clear" w:color="auto" w:fill="FFFFFF"/>
            <w:lang w:eastAsia="fr-FR" w:bidi="fr-FR"/>
          </w:rPr>
          <w:t>Programme</w:t>
        </w:r>
        <w:r w:rsidR="00785940" w:rsidRPr="00FC19BA">
          <w:rPr>
            <w:rStyle w:val="Hyperlink"/>
            <w:noProof/>
            <w:lang w:eastAsia="sv-SE" w:bidi="sv-SE"/>
          </w:rPr>
          <w:t xml:space="preserve"> Level Key Performance Indicators for the </w:t>
        </w:r>
        <w:r w:rsidR="00785940" w:rsidRPr="00FC19BA">
          <w:rPr>
            <w:rStyle w:val="Hyperlink"/>
            <w:noProof/>
            <w:shd w:val="clear" w:color="auto" w:fill="FFFFFF"/>
            <w:lang w:eastAsia="fr-FR" w:bidi="fr-FR"/>
          </w:rPr>
          <w:t>Clean Hydrogen for Europe Joint Undertaking</w:t>
        </w:r>
        <w:r w:rsidR="00785940">
          <w:rPr>
            <w:noProof/>
            <w:webHidden/>
          </w:rPr>
          <w:tab/>
        </w:r>
        <w:r w:rsidR="00785940">
          <w:rPr>
            <w:noProof/>
            <w:webHidden/>
          </w:rPr>
          <w:fldChar w:fldCharType="begin"/>
        </w:r>
        <w:r w:rsidR="00785940">
          <w:rPr>
            <w:noProof/>
            <w:webHidden/>
          </w:rPr>
          <w:instrText xml:space="preserve"> PAGEREF _Toc93907384 \h </w:instrText>
        </w:r>
        <w:r w:rsidR="00785940">
          <w:rPr>
            <w:noProof/>
            <w:webHidden/>
          </w:rPr>
        </w:r>
        <w:r w:rsidR="00785940">
          <w:rPr>
            <w:noProof/>
            <w:webHidden/>
          </w:rPr>
          <w:fldChar w:fldCharType="separate"/>
        </w:r>
        <w:r w:rsidR="00785940">
          <w:rPr>
            <w:noProof/>
            <w:webHidden/>
          </w:rPr>
          <w:t>143</w:t>
        </w:r>
        <w:r w:rsidR="00785940">
          <w:rPr>
            <w:noProof/>
            <w:webHidden/>
          </w:rPr>
          <w:fldChar w:fldCharType="end"/>
        </w:r>
      </w:hyperlink>
    </w:p>
    <w:p w14:paraId="2B3AB81D" w14:textId="747E5863"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85" w:history="1">
        <w:r w:rsidR="00785940" w:rsidRPr="00FC19BA">
          <w:rPr>
            <w:rStyle w:val="Hyperlink"/>
            <w:noProof/>
            <w:shd w:val="clear" w:color="auto" w:fill="FFFFFF"/>
            <w:lang w:eastAsia="fr-FR" w:bidi="fr-FR"/>
          </w:rPr>
          <w:t>Annex 2 - State-of-the-art and future targets – Renewable Hydrogen production</w:t>
        </w:r>
        <w:r w:rsidR="00785940">
          <w:rPr>
            <w:noProof/>
            <w:webHidden/>
          </w:rPr>
          <w:tab/>
        </w:r>
        <w:r w:rsidR="00785940">
          <w:rPr>
            <w:noProof/>
            <w:webHidden/>
          </w:rPr>
          <w:fldChar w:fldCharType="begin"/>
        </w:r>
        <w:r w:rsidR="00785940">
          <w:rPr>
            <w:noProof/>
            <w:webHidden/>
          </w:rPr>
          <w:instrText xml:space="preserve"> PAGEREF _Toc93907385 \h </w:instrText>
        </w:r>
        <w:r w:rsidR="00785940">
          <w:rPr>
            <w:noProof/>
            <w:webHidden/>
          </w:rPr>
        </w:r>
        <w:r w:rsidR="00785940">
          <w:rPr>
            <w:noProof/>
            <w:webHidden/>
          </w:rPr>
          <w:fldChar w:fldCharType="separate"/>
        </w:r>
        <w:r w:rsidR="00785940">
          <w:rPr>
            <w:noProof/>
            <w:webHidden/>
          </w:rPr>
          <w:t>152</w:t>
        </w:r>
        <w:r w:rsidR="00785940">
          <w:rPr>
            <w:noProof/>
            <w:webHidden/>
          </w:rPr>
          <w:fldChar w:fldCharType="end"/>
        </w:r>
      </w:hyperlink>
    </w:p>
    <w:p w14:paraId="06B60D60" w14:textId="2D7840D3"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86" w:history="1">
        <w:r w:rsidR="00785940" w:rsidRPr="00FC19BA">
          <w:rPr>
            <w:rStyle w:val="Hyperlink"/>
            <w:noProof/>
            <w:shd w:val="clear" w:color="auto" w:fill="FFFFFF"/>
            <w:lang w:eastAsia="fr-FR" w:bidi="fr-FR"/>
          </w:rPr>
          <w:t>Annex 3 - State-of-the-art and future targets – Hydrogen storage and distribution</w:t>
        </w:r>
        <w:r w:rsidR="00785940">
          <w:rPr>
            <w:noProof/>
            <w:webHidden/>
          </w:rPr>
          <w:tab/>
        </w:r>
        <w:r w:rsidR="00785940">
          <w:rPr>
            <w:noProof/>
            <w:webHidden/>
          </w:rPr>
          <w:fldChar w:fldCharType="begin"/>
        </w:r>
        <w:r w:rsidR="00785940">
          <w:rPr>
            <w:noProof/>
            <w:webHidden/>
          </w:rPr>
          <w:instrText xml:space="preserve"> PAGEREF _Toc93907386 \h </w:instrText>
        </w:r>
        <w:r w:rsidR="00785940">
          <w:rPr>
            <w:noProof/>
            <w:webHidden/>
          </w:rPr>
        </w:r>
        <w:r w:rsidR="00785940">
          <w:rPr>
            <w:noProof/>
            <w:webHidden/>
          </w:rPr>
          <w:fldChar w:fldCharType="separate"/>
        </w:r>
        <w:r w:rsidR="00785940">
          <w:rPr>
            <w:noProof/>
            <w:webHidden/>
          </w:rPr>
          <w:t>158</w:t>
        </w:r>
        <w:r w:rsidR="00785940">
          <w:rPr>
            <w:noProof/>
            <w:webHidden/>
          </w:rPr>
          <w:fldChar w:fldCharType="end"/>
        </w:r>
      </w:hyperlink>
    </w:p>
    <w:p w14:paraId="112BD161" w14:textId="15DBDCB2"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87" w:history="1">
        <w:r w:rsidR="00785940" w:rsidRPr="00FC19BA">
          <w:rPr>
            <w:rStyle w:val="Hyperlink"/>
            <w:noProof/>
            <w:shd w:val="clear" w:color="auto" w:fill="FFFFFF"/>
            <w:lang w:eastAsia="fr-FR" w:bidi="fr-FR"/>
          </w:rPr>
          <w:t>Annex 4 - State-of-the-art and future targets – Hydrogen end use: transport applications</w:t>
        </w:r>
        <w:r w:rsidR="00785940">
          <w:rPr>
            <w:noProof/>
            <w:webHidden/>
          </w:rPr>
          <w:tab/>
        </w:r>
        <w:r w:rsidR="00785940">
          <w:rPr>
            <w:noProof/>
            <w:webHidden/>
          </w:rPr>
          <w:fldChar w:fldCharType="begin"/>
        </w:r>
        <w:r w:rsidR="00785940">
          <w:rPr>
            <w:noProof/>
            <w:webHidden/>
          </w:rPr>
          <w:instrText xml:space="preserve"> PAGEREF _Toc93907387 \h </w:instrText>
        </w:r>
        <w:r w:rsidR="00785940">
          <w:rPr>
            <w:noProof/>
            <w:webHidden/>
          </w:rPr>
        </w:r>
        <w:r w:rsidR="00785940">
          <w:rPr>
            <w:noProof/>
            <w:webHidden/>
          </w:rPr>
          <w:fldChar w:fldCharType="separate"/>
        </w:r>
        <w:r w:rsidR="00785940">
          <w:rPr>
            <w:noProof/>
            <w:webHidden/>
          </w:rPr>
          <w:t>163</w:t>
        </w:r>
        <w:r w:rsidR="00785940">
          <w:rPr>
            <w:noProof/>
            <w:webHidden/>
          </w:rPr>
          <w:fldChar w:fldCharType="end"/>
        </w:r>
      </w:hyperlink>
    </w:p>
    <w:p w14:paraId="590C1DE0" w14:textId="26AF72B6"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88" w:history="1">
        <w:r w:rsidR="00785940" w:rsidRPr="00FC19BA">
          <w:rPr>
            <w:rStyle w:val="Hyperlink"/>
            <w:noProof/>
            <w:shd w:val="clear" w:color="auto" w:fill="FFFFFF"/>
            <w:lang w:eastAsia="fr-FR" w:bidi="fr-FR"/>
          </w:rPr>
          <w:t>Annex 5 - State-of-the-art and future targets – Hydrogen end use: stationary applications</w:t>
        </w:r>
        <w:r w:rsidR="00785940">
          <w:rPr>
            <w:noProof/>
            <w:webHidden/>
          </w:rPr>
          <w:tab/>
        </w:r>
        <w:r w:rsidR="00785940">
          <w:rPr>
            <w:noProof/>
            <w:webHidden/>
          </w:rPr>
          <w:fldChar w:fldCharType="begin"/>
        </w:r>
        <w:r w:rsidR="00785940">
          <w:rPr>
            <w:noProof/>
            <w:webHidden/>
          </w:rPr>
          <w:instrText xml:space="preserve"> PAGEREF _Toc93907388 \h </w:instrText>
        </w:r>
        <w:r w:rsidR="00785940">
          <w:rPr>
            <w:noProof/>
            <w:webHidden/>
          </w:rPr>
        </w:r>
        <w:r w:rsidR="00785940">
          <w:rPr>
            <w:noProof/>
            <w:webHidden/>
          </w:rPr>
          <w:fldChar w:fldCharType="separate"/>
        </w:r>
        <w:r w:rsidR="00785940">
          <w:rPr>
            <w:noProof/>
            <w:webHidden/>
          </w:rPr>
          <w:t>166</w:t>
        </w:r>
        <w:r w:rsidR="00785940">
          <w:rPr>
            <w:noProof/>
            <w:webHidden/>
          </w:rPr>
          <w:fldChar w:fldCharType="end"/>
        </w:r>
      </w:hyperlink>
    </w:p>
    <w:p w14:paraId="40E2F796" w14:textId="3F5D45A6"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89" w:history="1">
        <w:r w:rsidR="00785940" w:rsidRPr="00FC19BA">
          <w:rPr>
            <w:rStyle w:val="Hyperlink"/>
            <w:noProof/>
            <w:shd w:val="clear" w:color="auto" w:fill="FFFFFF"/>
            <w:lang w:eastAsia="fr-FR" w:bidi="fr-FR"/>
          </w:rPr>
          <w:t>Annex 6 - State-of-the-art and future targets – Cross-cutting issues</w:t>
        </w:r>
        <w:r w:rsidR="00785940">
          <w:rPr>
            <w:noProof/>
            <w:webHidden/>
          </w:rPr>
          <w:tab/>
        </w:r>
        <w:r w:rsidR="00785940">
          <w:rPr>
            <w:noProof/>
            <w:webHidden/>
          </w:rPr>
          <w:fldChar w:fldCharType="begin"/>
        </w:r>
        <w:r w:rsidR="00785940">
          <w:rPr>
            <w:noProof/>
            <w:webHidden/>
          </w:rPr>
          <w:instrText xml:space="preserve"> PAGEREF _Toc93907389 \h </w:instrText>
        </w:r>
        <w:r w:rsidR="00785940">
          <w:rPr>
            <w:noProof/>
            <w:webHidden/>
          </w:rPr>
        </w:r>
        <w:r w:rsidR="00785940">
          <w:rPr>
            <w:noProof/>
            <w:webHidden/>
          </w:rPr>
          <w:fldChar w:fldCharType="separate"/>
        </w:r>
        <w:r w:rsidR="00785940">
          <w:rPr>
            <w:noProof/>
            <w:webHidden/>
          </w:rPr>
          <w:t>170</w:t>
        </w:r>
        <w:r w:rsidR="00785940">
          <w:rPr>
            <w:noProof/>
            <w:webHidden/>
          </w:rPr>
          <w:fldChar w:fldCharType="end"/>
        </w:r>
      </w:hyperlink>
    </w:p>
    <w:p w14:paraId="5E410DD5" w14:textId="79A69CEE" w:rsidR="00785940" w:rsidRDefault="006F41A6">
      <w:pPr>
        <w:pStyle w:val="TOC1"/>
        <w:rPr>
          <w:rFonts w:asciiTheme="minorHAnsi" w:eastAsiaTheme="minorEastAsia" w:hAnsiTheme="minorHAnsi" w:cstheme="minorBidi"/>
          <w:noProof/>
          <w:color w:val="auto"/>
          <w:sz w:val="22"/>
          <w:szCs w:val="22"/>
          <w:lang w:eastAsia="en-GB" w:bidi="ar-SA"/>
        </w:rPr>
      </w:pPr>
      <w:hyperlink w:anchor="_Toc93907390" w:history="1">
        <w:r w:rsidR="00785940" w:rsidRPr="00FC19BA">
          <w:rPr>
            <w:rStyle w:val="Hyperlink"/>
            <w:noProof/>
            <w:shd w:val="clear" w:color="auto" w:fill="FFFFFF"/>
            <w:lang w:eastAsia="fr-FR" w:bidi="fr-FR"/>
          </w:rPr>
          <w:t>Annex 7 – Common R&amp;I Roadmaps</w:t>
        </w:r>
        <w:r w:rsidR="00785940">
          <w:rPr>
            <w:noProof/>
            <w:webHidden/>
          </w:rPr>
          <w:tab/>
        </w:r>
        <w:r w:rsidR="00785940">
          <w:rPr>
            <w:noProof/>
            <w:webHidden/>
          </w:rPr>
          <w:fldChar w:fldCharType="begin"/>
        </w:r>
        <w:r w:rsidR="00785940">
          <w:rPr>
            <w:noProof/>
            <w:webHidden/>
          </w:rPr>
          <w:instrText xml:space="preserve"> PAGEREF _Toc93907390 \h </w:instrText>
        </w:r>
        <w:r w:rsidR="00785940">
          <w:rPr>
            <w:noProof/>
            <w:webHidden/>
          </w:rPr>
        </w:r>
        <w:r w:rsidR="00785940">
          <w:rPr>
            <w:noProof/>
            <w:webHidden/>
          </w:rPr>
          <w:fldChar w:fldCharType="separate"/>
        </w:r>
        <w:r w:rsidR="00785940">
          <w:rPr>
            <w:noProof/>
            <w:webHidden/>
          </w:rPr>
          <w:t>172</w:t>
        </w:r>
        <w:r w:rsidR="00785940">
          <w:rPr>
            <w:noProof/>
            <w:webHidden/>
          </w:rPr>
          <w:fldChar w:fldCharType="end"/>
        </w:r>
      </w:hyperlink>
    </w:p>
    <w:p w14:paraId="75154F0B" w14:textId="00BC8424" w:rsidR="00D938A9" w:rsidRPr="00B364CB" w:rsidRDefault="00290790" w:rsidP="008E4155">
      <w:pPr>
        <w:pStyle w:val="TOC1"/>
      </w:pPr>
      <w:r w:rsidRPr="00B364CB">
        <w:fldChar w:fldCharType="end"/>
      </w:r>
    </w:p>
    <w:p w14:paraId="12605C14" w14:textId="77B85FE4" w:rsidR="00507D9A" w:rsidRPr="00B364CB" w:rsidRDefault="00507D9A">
      <w:pPr>
        <w:rPr>
          <w:rFonts w:eastAsia="Arial" w:cs="Arial"/>
          <w:sz w:val="21"/>
          <w:szCs w:val="21"/>
        </w:rPr>
      </w:pPr>
      <w:r w:rsidRPr="00B364CB">
        <w:br w:type="page"/>
      </w:r>
    </w:p>
    <w:p w14:paraId="72075217" w14:textId="14A412C3" w:rsidR="0020485A" w:rsidRPr="00B364CB" w:rsidRDefault="0020485A" w:rsidP="0020485A">
      <w:pPr>
        <w:pStyle w:val="MAWP-Bodytext"/>
        <w:rPr>
          <w:rStyle w:val="MAWPTitle"/>
          <w:b/>
          <w:bCs w:val="0"/>
          <w:lang w:val="en-GB"/>
        </w:rPr>
      </w:pPr>
      <w:bookmarkStart w:id="1" w:name="bookmark1"/>
      <w:bookmarkStart w:id="2" w:name="_Toc64640536"/>
      <w:r w:rsidRPr="00B364CB">
        <w:rPr>
          <w:rStyle w:val="MAWPTitle"/>
          <w:b/>
          <w:bCs w:val="0"/>
          <w:lang w:val="en-GB"/>
        </w:rPr>
        <w:lastRenderedPageBreak/>
        <w:t xml:space="preserve">Acronyms and abbreviations </w:t>
      </w:r>
    </w:p>
    <w:p w14:paraId="773FA6CF" w14:textId="207206E8" w:rsidR="0020485A" w:rsidRPr="00B364CB" w:rsidRDefault="0020485A" w:rsidP="0020485A">
      <w:pPr>
        <w:pStyle w:val="MAWP-Bodytext"/>
      </w:pPr>
      <w:r w:rsidRPr="00B364CB">
        <w:t>2Zero</w:t>
      </w:r>
      <w:r w:rsidRPr="00B364CB">
        <w:tab/>
      </w:r>
      <w:r w:rsidRPr="00B364CB">
        <w:tab/>
        <w:t>Towards zero emission road transport Partnership</w:t>
      </w:r>
    </w:p>
    <w:p w14:paraId="5FEF3D5F" w14:textId="5176A864" w:rsidR="0020485A" w:rsidRPr="00B364CB" w:rsidRDefault="0020485A" w:rsidP="0020485A">
      <w:pPr>
        <w:pStyle w:val="MAWP-Bodytext"/>
      </w:pPr>
      <w:r w:rsidRPr="00B364CB">
        <w:t xml:space="preserve">AC </w:t>
      </w:r>
      <w:r w:rsidRPr="00B364CB">
        <w:tab/>
      </w:r>
      <w:r w:rsidRPr="00B364CB">
        <w:tab/>
        <w:t>Alternating current</w:t>
      </w:r>
    </w:p>
    <w:p w14:paraId="714E57C2" w14:textId="3B23C0CD" w:rsidR="0020485A" w:rsidRPr="00B364CB" w:rsidRDefault="0020485A" w:rsidP="0020485A">
      <w:pPr>
        <w:pStyle w:val="MAWP-Bodytext"/>
      </w:pPr>
      <w:r w:rsidRPr="00B364CB">
        <w:t>AE</w:t>
      </w:r>
      <w:r w:rsidRPr="00B364CB">
        <w:tab/>
      </w:r>
      <w:r w:rsidRPr="00B364CB">
        <w:tab/>
        <w:t>Alkaline electrolyser</w:t>
      </w:r>
    </w:p>
    <w:p w14:paraId="6589A2E3" w14:textId="55120A84" w:rsidR="0020485A" w:rsidRPr="00B364CB" w:rsidRDefault="0020485A" w:rsidP="0020485A">
      <w:pPr>
        <w:pStyle w:val="MAWP-Bodytext"/>
      </w:pPr>
      <w:r w:rsidRPr="00B364CB">
        <w:t>AEL</w:t>
      </w:r>
      <w:r w:rsidRPr="00B364CB">
        <w:tab/>
      </w:r>
      <w:r w:rsidRPr="00B364CB">
        <w:tab/>
        <w:t>Alkaline electrolysis</w:t>
      </w:r>
    </w:p>
    <w:p w14:paraId="6C3AD094" w14:textId="77777777" w:rsidR="0020485A" w:rsidRPr="00B364CB" w:rsidRDefault="0020485A" w:rsidP="0020485A">
      <w:pPr>
        <w:pStyle w:val="MAWP-Bodytext"/>
      </w:pPr>
      <w:r w:rsidRPr="00B364CB">
        <w:t>AEMEL</w:t>
      </w:r>
      <w:r w:rsidRPr="00B364CB">
        <w:tab/>
        <w:t>Anion Exchange Membrane Electrolysis</w:t>
      </w:r>
    </w:p>
    <w:p w14:paraId="4D8196C4" w14:textId="77777777" w:rsidR="00A347B4" w:rsidRDefault="00A347B4" w:rsidP="0020485A">
      <w:pPr>
        <w:pStyle w:val="MAWP-Bodytext"/>
      </w:pPr>
      <w:r w:rsidRPr="00A347B4">
        <w:t>AFIR</w:t>
      </w:r>
      <w:r w:rsidRPr="00A347B4">
        <w:tab/>
      </w:r>
      <w:r w:rsidRPr="00A347B4">
        <w:tab/>
        <w:t>Alternative Fuels Infrastructure Regulation</w:t>
      </w:r>
    </w:p>
    <w:p w14:paraId="4350DCD7" w14:textId="5F0E9546" w:rsidR="0020485A" w:rsidRPr="00B364CB" w:rsidRDefault="0020485A" w:rsidP="0020485A">
      <w:pPr>
        <w:pStyle w:val="MAWP-Bodytext"/>
      </w:pPr>
      <w:r w:rsidRPr="00B364CB">
        <w:t xml:space="preserve">APU </w:t>
      </w:r>
      <w:r w:rsidRPr="00B364CB">
        <w:tab/>
      </w:r>
      <w:r w:rsidRPr="00B364CB">
        <w:tab/>
        <w:t>Auxiliary power unit</w:t>
      </w:r>
    </w:p>
    <w:p w14:paraId="1C506EE3" w14:textId="3A192273" w:rsidR="0067461D" w:rsidRDefault="0067461D" w:rsidP="0020485A">
      <w:pPr>
        <w:pStyle w:val="MAWP-Bodytext"/>
      </w:pPr>
      <w:r>
        <w:t>B4P</w:t>
      </w:r>
      <w:r>
        <w:tab/>
      </w:r>
      <w:r>
        <w:tab/>
        <w:t>Built4People European Partnership</w:t>
      </w:r>
    </w:p>
    <w:p w14:paraId="6A1B2B4E" w14:textId="0E8B97EF" w:rsidR="0020485A" w:rsidRPr="00B364CB" w:rsidRDefault="0020485A" w:rsidP="0020485A">
      <w:pPr>
        <w:pStyle w:val="MAWP-Bodytext"/>
      </w:pPr>
      <w:r w:rsidRPr="00B364CB">
        <w:t>BoL</w:t>
      </w:r>
      <w:r w:rsidRPr="00B364CB">
        <w:tab/>
      </w:r>
      <w:r w:rsidRPr="00B364CB">
        <w:tab/>
        <w:t>Beginning of Life</w:t>
      </w:r>
    </w:p>
    <w:p w14:paraId="2F5948A5" w14:textId="74BC6475" w:rsidR="0020485A" w:rsidRPr="00B364CB" w:rsidRDefault="0020485A" w:rsidP="0020485A">
      <w:pPr>
        <w:pStyle w:val="MAWP-Bodytext"/>
      </w:pPr>
      <w:r w:rsidRPr="00B364CB">
        <w:t xml:space="preserve">BoP </w:t>
      </w:r>
      <w:r w:rsidRPr="00B364CB">
        <w:tab/>
      </w:r>
      <w:r w:rsidRPr="00B364CB">
        <w:tab/>
        <w:t>Balance of plant</w:t>
      </w:r>
    </w:p>
    <w:p w14:paraId="0F44BEB5" w14:textId="321F4BE9" w:rsidR="0020485A" w:rsidRPr="00B364CB" w:rsidRDefault="0020485A" w:rsidP="0020485A">
      <w:pPr>
        <w:pStyle w:val="MAWP-Bodytext"/>
      </w:pPr>
      <w:r w:rsidRPr="00B364CB">
        <w:t>BPP</w:t>
      </w:r>
      <w:r w:rsidRPr="00B364CB">
        <w:tab/>
      </w:r>
      <w:r w:rsidRPr="00B364CB">
        <w:tab/>
        <w:t>Bipolar Plates</w:t>
      </w:r>
    </w:p>
    <w:p w14:paraId="5B54D448" w14:textId="5E5CD9AC" w:rsidR="0020485A" w:rsidRPr="00B364CB" w:rsidRDefault="0020485A" w:rsidP="0020485A">
      <w:pPr>
        <w:pStyle w:val="MAWP-Bodytext"/>
      </w:pPr>
      <w:r w:rsidRPr="00B364CB">
        <w:t>BTX</w:t>
      </w:r>
      <w:r w:rsidRPr="00B364CB">
        <w:tab/>
      </w:r>
      <w:r w:rsidRPr="00B364CB">
        <w:tab/>
        <w:t>Mixtures of aromatic hydrocarbons.</w:t>
      </w:r>
    </w:p>
    <w:p w14:paraId="7BB15E69" w14:textId="77777777" w:rsidR="0020485A" w:rsidRPr="00B364CB" w:rsidRDefault="0020485A" w:rsidP="0020485A">
      <w:pPr>
        <w:pStyle w:val="MAWP-Bodytext"/>
      </w:pPr>
      <w:r w:rsidRPr="00B364CB">
        <w:t xml:space="preserve">CAPEX </w:t>
      </w:r>
      <w:r w:rsidRPr="00B364CB">
        <w:tab/>
        <w:t>Capital up-front expenditure (investment)</w:t>
      </w:r>
    </w:p>
    <w:p w14:paraId="5E7FE45E" w14:textId="46AFD5EE" w:rsidR="0020485A" w:rsidRPr="00B364CB" w:rsidRDefault="0020485A" w:rsidP="0020485A">
      <w:pPr>
        <w:pStyle w:val="MAWP-Bodytext"/>
      </w:pPr>
      <w:r w:rsidRPr="00B364CB">
        <w:t>CCGT</w:t>
      </w:r>
      <w:r w:rsidRPr="00B364CB">
        <w:tab/>
      </w:r>
      <w:r w:rsidRPr="00B364CB">
        <w:tab/>
        <w:t>Combined Cycle Gas Turbines</w:t>
      </w:r>
    </w:p>
    <w:p w14:paraId="6B68DEA9" w14:textId="4EF97B00" w:rsidR="0020485A" w:rsidRDefault="0020485A" w:rsidP="0020485A">
      <w:pPr>
        <w:pStyle w:val="MAWP-Bodytext"/>
      </w:pPr>
      <w:r w:rsidRPr="00B364CB">
        <w:t>CCS</w:t>
      </w:r>
      <w:r w:rsidRPr="00B364CB">
        <w:tab/>
      </w:r>
      <w:r w:rsidRPr="00B364CB">
        <w:tab/>
        <w:t>Carbon, Capture and Storage</w:t>
      </w:r>
    </w:p>
    <w:p w14:paraId="690077AB" w14:textId="25D577BD" w:rsidR="007A639A" w:rsidRPr="00B364CB" w:rsidRDefault="007A639A" w:rsidP="007A639A">
      <w:pPr>
        <w:pStyle w:val="MAWP-Bodytext"/>
      </w:pPr>
      <w:r w:rsidRPr="00B364CB">
        <w:t>CC</w:t>
      </w:r>
      <w:r>
        <w:t>U</w:t>
      </w:r>
      <w:r w:rsidRPr="00B364CB">
        <w:t>S</w:t>
      </w:r>
      <w:r w:rsidRPr="00B364CB">
        <w:tab/>
      </w:r>
      <w:r w:rsidRPr="00B364CB">
        <w:tab/>
        <w:t>Carbon, Capture</w:t>
      </w:r>
      <w:r>
        <w:t>, Utilisation</w:t>
      </w:r>
      <w:r w:rsidRPr="00B364CB">
        <w:t xml:space="preserve"> and Storage</w:t>
      </w:r>
    </w:p>
    <w:p w14:paraId="087678BF" w14:textId="220C4E91" w:rsidR="0020485A" w:rsidRPr="00B364CB" w:rsidRDefault="0020485A" w:rsidP="0020485A">
      <w:pPr>
        <w:pStyle w:val="MAWP-Bodytext"/>
      </w:pPr>
      <w:r w:rsidRPr="00B364CB">
        <w:t>CEF</w:t>
      </w:r>
      <w:r w:rsidRPr="00B364CB">
        <w:tab/>
      </w:r>
      <w:r w:rsidRPr="00B364CB">
        <w:tab/>
        <w:t>Connecting Europe Facility</w:t>
      </w:r>
    </w:p>
    <w:p w14:paraId="4402FF78" w14:textId="77B4E48A" w:rsidR="0020485A" w:rsidRPr="00B364CB" w:rsidRDefault="0020485A" w:rsidP="0020485A">
      <w:pPr>
        <w:pStyle w:val="MAWP-Bodytext"/>
      </w:pPr>
      <w:r w:rsidRPr="00B364CB">
        <w:t>CEM</w:t>
      </w:r>
      <w:r w:rsidRPr="00B364CB">
        <w:tab/>
      </w:r>
      <w:r w:rsidRPr="00B364CB">
        <w:tab/>
        <w:t>Clean Energy Ministerial</w:t>
      </w:r>
    </w:p>
    <w:p w14:paraId="420F6E65" w14:textId="65954988" w:rsidR="0020485A" w:rsidRPr="00B364CB" w:rsidRDefault="0020485A" w:rsidP="0020485A">
      <w:pPr>
        <w:pStyle w:val="MAWP-Bodytext"/>
      </w:pPr>
      <w:r w:rsidRPr="00B364CB">
        <w:t>CEN</w:t>
      </w:r>
      <w:r w:rsidRPr="00B364CB">
        <w:tab/>
      </w:r>
      <w:r w:rsidRPr="00B364CB">
        <w:tab/>
      </w:r>
      <w:r w:rsidRPr="00B364CB">
        <w:rPr>
          <w:lang w:eastAsia="en-US"/>
        </w:rPr>
        <w:t>European Committee for Standardisation</w:t>
      </w:r>
    </w:p>
    <w:p w14:paraId="650ADD53" w14:textId="77777777" w:rsidR="0020485A" w:rsidRPr="00B364CB" w:rsidRDefault="0020485A" w:rsidP="0020485A">
      <w:pPr>
        <w:pStyle w:val="MAWP-Bodytext"/>
      </w:pPr>
      <w:r w:rsidRPr="00B364CB">
        <w:t>CENELEC</w:t>
      </w:r>
      <w:r w:rsidRPr="00B364CB">
        <w:tab/>
      </w:r>
      <w:r w:rsidRPr="00B364CB">
        <w:rPr>
          <w:lang w:eastAsia="en-US"/>
        </w:rPr>
        <w:t>European Committee for Electrotechnical Standardisation</w:t>
      </w:r>
    </w:p>
    <w:p w14:paraId="38AA0A32" w14:textId="05375F5F" w:rsidR="004C0494" w:rsidRDefault="004C0494" w:rsidP="0020485A">
      <w:pPr>
        <w:pStyle w:val="MAWP-Bodytext"/>
      </w:pPr>
      <w:r>
        <w:rPr>
          <w:lang w:eastAsia="en-US"/>
        </w:rPr>
        <w:t>CEAP</w:t>
      </w:r>
      <w:r>
        <w:rPr>
          <w:lang w:eastAsia="en-US"/>
        </w:rPr>
        <w:tab/>
      </w:r>
      <w:r>
        <w:rPr>
          <w:lang w:eastAsia="en-US"/>
        </w:rPr>
        <w:tab/>
        <w:t>C</w:t>
      </w:r>
      <w:r w:rsidRPr="00887BCF">
        <w:rPr>
          <w:lang w:eastAsia="en-US"/>
        </w:rPr>
        <w:t xml:space="preserve">ircular </w:t>
      </w:r>
      <w:r>
        <w:rPr>
          <w:lang w:eastAsia="en-US"/>
        </w:rPr>
        <w:t>E</w:t>
      </w:r>
      <w:r w:rsidRPr="00887BCF">
        <w:rPr>
          <w:lang w:eastAsia="en-US"/>
        </w:rPr>
        <w:t xml:space="preserve">conomy </w:t>
      </w:r>
      <w:r>
        <w:rPr>
          <w:lang w:eastAsia="en-US"/>
        </w:rPr>
        <w:t>A</w:t>
      </w:r>
      <w:r w:rsidRPr="00887BCF">
        <w:rPr>
          <w:lang w:eastAsia="en-US"/>
        </w:rPr>
        <w:t xml:space="preserve">ction </w:t>
      </w:r>
      <w:r>
        <w:rPr>
          <w:lang w:eastAsia="en-US"/>
        </w:rPr>
        <w:t>P</w:t>
      </w:r>
      <w:r w:rsidRPr="00887BCF">
        <w:rPr>
          <w:lang w:eastAsia="en-US"/>
        </w:rPr>
        <w:t>lan</w:t>
      </w:r>
    </w:p>
    <w:p w14:paraId="6CD9A1AD" w14:textId="3F3A3FB0" w:rsidR="0020485A" w:rsidRPr="00B364CB" w:rsidRDefault="0020485A" w:rsidP="0020485A">
      <w:pPr>
        <w:pStyle w:val="MAWP-Bodytext"/>
      </w:pPr>
      <w:r w:rsidRPr="00B364CB">
        <w:t>CETP</w:t>
      </w:r>
      <w:r w:rsidRPr="00B364CB">
        <w:tab/>
      </w:r>
      <w:r w:rsidRPr="00B364CB">
        <w:tab/>
        <w:t>Clean Energy Transition Partnership</w:t>
      </w:r>
    </w:p>
    <w:p w14:paraId="741C5298" w14:textId="0AF14752" w:rsidR="0020485A" w:rsidRPr="00B364CB" w:rsidRDefault="0020485A" w:rsidP="0020485A">
      <w:pPr>
        <w:pStyle w:val="MAWP-Bodytext"/>
      </w:pPr>
      <w:r w:rsidRPr="00B364CB">
        <w:t>CGH</w:t>
      </w:r>
      <w:r w:rsidRPr="00B364CB">
        <w:rPr>
          <w:vertAlign w:val="subscript"/>
        </w:rPr>
        <w:t>2</w:t>
      </w:r>
      <w:r w:rsidRPr="00B364CB">
        <w:t xml:space="preserve"> </w:t>
      </w:r>
      <w:r w:rsidRPr="00B364CB">
        <w:tab/>
      </w:r>
      <w:r w:rsidRPr="00B364CB">
        <w:tab/>
        <w:t>Compressed hydrogen gas</w:t>
      </w:r>
    </w:p>
    <w:p w14:paraId="7D998F05" w14:textId="71FCDF09" w:rsidR="0020485A" w:rsidRPr="00B364CB" w:rsidRDefault="0020485A" w:rsidP="0020485A">
      <w:pPr>
        <w:pStyle w:val="MAWP-Bodytext"/>
      </w:pPr>
      <w:r w:rsidRPr="00B364CB">
        <w:t xml:space="preserve">CHP </w:t>
      </w:r>
      <w:r w:rsidRPr="00B364CB">
        <w:tab/>
      </w:r>
      <w:r w:rsidRPr="00B364CB">
        <w:tab/>
        <w:t>Combined heat and power</w:t>
      </w:r>
    </w:p>
    <w:p w14:paraId="0710B220" w14:textId="475FD90E" w:rsidR="0020485A" w:rsidRPr="00B364CB" w:rsidRDefault="0020485A" w:rsidP="0020485A">
      <w:pPr>
        <w:pStyle w:val="MAWP-Bodytext"/>
      </w:pPr>
      <w:r w:rsidRPr="00B364CB">
        <w:t>CO</w:t>
      </w:r>
      <w:r w:rsidRPr="00B364CB">
        <w:rPr>
          <w:vertAlign w:val="subscript"/>
        </w:rPr>
        <w:t>2</w:t>
      </w:r>
      <w:r w:rsidRPr="00B364CB">
        <w:t xml:space="preserve"> </w:t>
      </w:r>
      <w:r w:rsidRPr="00B364CB">
        <w:tab/>
      </w:r>
      <w:r w:rsidRPr="00B364CB">
        <w:tab/>
        <w:t>Carbon dioxide</w:t>
      </w:r>
    </w:p>
    <w:p w14:paraId="268E1A1E" w14:textId="0194A45F" w:rsidR="0020485A" w:rsidRPr="00B364CB" w:rsidRDefault="0020485A" w:rsidP="0020485A">
      <w:pPr>
        <w:pStyle w:val="MAWP-Bodytext"/>
      </w:pPr>
      <w:r w:rsidRPr="00B364CB">
        <w:t>COP</w:t>
      </w:r>
      <w:r w:rsidRPr="00B364CB">
        <w:tab/>
      </w:r>
      <w:r w:rsidRPr="00B364CB">
        <w:tab/>
        <w:t>United Nations’ Conference of the Parties</w:t>
      </w:r>
    </w:p>
    <w:p w14:paraId="348CB5FC" w14:textId="6D35C9F3" w:rsidR="0020485A" w:rsidRPr="00B364CB" w:rsidRDefault="0020485A" w:rsidP="0020485A">
      <w:pPr>
        <w:pStyle w:val="MAWP-Bodytext"/>
      </w:pPr>
      <w:r w:rsidRPr="00B364CB">
        <w:t>COPV</w:t>
      </w:r>
      <w:r w:rsidRPr="00B364CB">
        <w:tab/>
      </w:r>
      <w:r w:rsidRPr="00B364CB">
        <w:tab/>
        <w:t>Composite Overwrapped Pressure Vessel</w:t>
      </w:r>
    </w:p>
    <w:p w14:paraId="2BDFB08E" w14:textId="303905E8" w:rsidR="0020485A" w:rsidRPr="00B364CB" w:rsidRDefault="0020485A" w:rsidP="0020485A">
      <w:pPr>
        <w:pStyle w:val="MAWP-Bodytext"/>
      </w:pPr>
      <w:r w:rsidRPr="00B364CB">
        <w:t>CRM</w:t>
      </w:r>
      <w:r w:rsidRPr="00B364CB">
        <w:tab/>
      </w:r>
      <w:r w:rsidRPr="00B364CB">
        <w:tab/>
        <w:t>Critical Raw Materials</w:t>
      </w:r>
    </w:p>
    <w:p w14:paraId="6EEED4C9" w14:textId="5C60F0DB" w:rsidR="0020485A" w:rsidRPr="00B364CB" w:rsidRDefault="0020485A" w:rsidP="0020485A">
      <w:pPr>
        <w:pStyle w:val="MAWP-Bodytext"/>
      </w:pPr>
      <w:r w:rsidRPr="00B364CB">
        <w:t>D&amp;E</w:t>
      </w:r>
      <w:r w:rsidRPr="00B364CB">
        <w:tab/>
      </w:r>
      <w:r w:rsidRPr="00B364CB">
        <w:tab/>
        <w:t>Dissemination and Exploitation</w:t>
      </w:r>
    </w:p>
    <w:p w14:paraId="5B660CE4" w14:textId="37793742" w:rsidR="0020485A" w:rsidRPr="00B364CB" w:rsidRDefault="0020485A" w:rsidP="0020485A">
      <w:pPr>
        <w:pStyle w:val="MAWP-Bodytext"/>
      </w:pPr>
      <w:r w:rsidRPr="00B364CB">
        <w:t xml:space="preserve">DC </w:t>
      </w:r>
      <w:r w:rsidRPr="00B364CB">
        <w:tab/>
      </w:r>
      <w:r w:rsidRPr="00B364CB">
        <w:tab/>
        <w:t>Direct current</w:t>
      </w:r>
    </w:p>
    <w:p w14:paraId="0799E616" w14:textId="25CFB4A2" w:rsidR="0020485A" w:rsidRPr="00B364CB" w:rsidRDefault="0020485A" w:rsidP="0020485A">
      <w:pPr>
        <w:pStyle w:val="MAWP-Bodytext"/>
      </w:pPr>
      <w:r w:rsidRPr="00B364CB">
        <w:t>DLE</w:t>
      </w:r>
      <w:r w:rsidRPr="00B364CB">
        <w:tab/>
      </w:r>
      <w:r w:rsidRPr="00B364CB">
        <w:tab/>
        <w:t>Dry Low Emissions</w:t>
      </w:r>
    </w:p>
    <w:p w14:paraId="261D6207" w14:textId="791D6F59" w:rsidR="0020485A" w:rsidRPr="00B364CB" w:rsidRDefault="0020485A" w:rsidP="0020485A">
      <w:pPr>
        <w:pStyle w:val="MAWP-Bodytext"/>
        <w:ind w:left="1440" w:hanging="1440"/>
      </w:pPr>
      <w:r w:rsidRPr="00B364CB">
        <w:t xml:space="preserve">DoE </w:t>
      </w:r>
      <w:r w:rsidRPr="00B364CB">
        <w:tab/>
        <w:t>United States Department of Energy. EERE is it’s Office of Energy Efficiency &amp; Renewable Energy.</w:t>
      </w:r>
    </w:p>
    <w:p w14:paraId="3687FD06" w14:textId="1CCABBC9" w:rsidR="0020485A" w:rsidRPr="00B364CB" w:rsidRDefault="0020485A" w:rsidP="0020485A">
      <w:pPr>
        <w:pStyle w:val="MAWP-Bodytext"/>
      </w:pPr>
      <w:r w:rsidRPr="00B364CB">
        <w:lastRenderedPageBreak/>
        <w:t>DRI</w:t>
      </w:r>
      <w:r w:rsidRPr="00B364CB">
        <w:tab/>
      </w:r>
      <w:r w:rsidRPr="00B364CB">
        <w:tab/>
        <w:t>Direct Reduced Iron</w:t>
      </w:r>
    </w:p>
    <w:p w14:paraId="1A029A56" w14:textId="1230E79E" w:rsidR="0020485A" w:rsidRPr="00B364CB" w:rsidRDefault="0020485A" w:rsidP="0020485A">
      <w:pPr>
        <w:pStyle w:val="MAWP-Bodytext"/>
      </w:pPr>
      <w:r w:rsidRPr="00B364CB">
        <w:t>EC</w:t>
      </w:r>
      <w:r w:rsidRPr="00B364CB">
        <w:tab/>
      </w:r>
      <w:r w:rsidRPr="00B364CB">
        <w:tab/>
        <w:t>European Commission, sometimes also shortened to just Commission</w:t>
      </w:r>
    </w:p>
    <w:p w14:paraId="7E85E03A" w14:textId="3F3714B2" w:rsidR="0020485A" w:rsidRPr="00B364CB" w:rsidRDefault="0020485A" w:rsidP="0020485A">
      <w:pPr>
        <w:pStyle w:val="MAWP-Bodytext"/>
      </w:pPr>
      <w:r w:rsidRPr="00B364CB">
        <w:t>EoL</w:t>
      </w:r>
      <w:r w:rsidRPr="00B364CB">
        <w:tab/>
      </w:r>
      <w:r w:rsidRPr="00B364CB">
        <w:tab/>
        <w:t>End of Life</w:t>
      </w:r>
    </w:p>
    <w:p w14:paraId="70F80907" w14:textId="77777777" w:rsidR="0020485A" w:rsidRPr="00B364CB" w:rsidRDefault="0020485A" w:rsidP="0020485A">
      <w:pPr>
        <w:pStyle w:val="MAWP-Bodytext"/>
      </w:pPr>
      <w:r w:rsidRPr="00B364CB">
        <w:t>ECH2A</w:t>
      </w:r>
      <w:r w:rsidRPr="00B364CB">
        <w:tab/>
        <w:t>European Clean Hydrogen Alliance</w:t>
      </w:r>
    </w:p>
    <w:p w14:paraId="0C562AD0" w14:textId="1E313CDF" w:rsidR="0020485A" w:rsidRPr="00B364CB" w:rsidRDefault="0020485A" w:rsidP="0020485A">
      <w:pPr>
        <w:pStyle w:val="MAWP-Bodytext"/>
      </w:pPr>
      <w:r w:rsidRPr="00B364CB">
        <w:t>ED</w:t>
      </w:r>
      <w:r w:rsidRPr="00B364CB">
        <w:tab/>
      </w:r>
      <w:r w:rsidRPr="00B364CB">
        <w:tab/>
        <w:t>Executive Director</w:t>
      </w:r>
    </w:p>
    <w:p w14:paraId="4AB8811E" w14:textId="4686ADC1" w:rsidR="0005663B" w:rsidRDefault="0005663B" w:rsidP="0005663B">
      <w:pPr>
        <w:pStyle w:val="MAWP-Bodytext"/>
        <w:rPr>
          <w:lang w:eastAsia="en-US"/>
        </w:rPr>
      </w:pPr>
      <w:r>
        <w:rPr>
          <w:lang w:eastAsia="en-US"/>
        </w:rPr>
        <w:t>EH</w:t>
      </w:r>
      <w:r w:rsidRPr="00F754B7">
        <w:rPr>
          <w:lang w:eastAsia="en-US"/>
        </w:rPr>
        <w:t>S&amp;CP</w:t>
      </w:r>
      <w:r>
        <w:rPr>
          <w:lang w:eastAsia="en-US"/>
        </w:rPr>
        <w:tab/>
        <w:t xml:space="preserve">European Hydrogen </w:t>
      </w:r>
      <w:r w:rsidRPr="00F754B7">
        <w:rPr>
          <w:lang w:eastAsia="en-US"/>
        </w:rPr>
        <w:t>Sustainability and Circularity Panel</w:t>
      </w:r>
    </w:p>
    <w:p w14:paraId="60B5157F" w14:textId="2BF0A309" w:rsidR="0020485A" w:rsidRPr="00B364CB" w:rsidRDefault="0020485A" w:rsidP="0020485A">
      <w:pPr>
        <w:pStyle w:val="MAWP-Bodytext"/>
      </w:pPr>
      <w:r w:rsidRPr="00B364CB">
        <w:t>EHSP</w:t>
      </w:r>
      <w:r w:rsidRPr="00B364CB">
        <w:tab/>
      </w:r>
      <w:r w:rsidRPr="00B364CB">
        <w:tab/>
      </w:r>
      <w:r w:rsidRPr="00B364CB">
        <w:rPr>
          <w:lang w:eastAsia="en-US"/>
        </w:rPr>
        <w:t>European Hydrogen Safety Panel</w:t>
      </w:r>
    </w:p>
    <w:p w14:paraId="1E06A239" w14:textId="252C2D3C" w:rsidR="0020485A" w:rsidRPr="00B364CB" w:rsidRDefault="0020485A" w:rsidP="0020485A">
      <w:pPr>
        <w:pStyle w:val="MAWP-Bodytext"/>
      </w:pPr>
      <w:r w:rsidRPr="00B364CB">
        <w:t>EIC</w:t>
      </w:r>
      <w:r w:rsidRPr="00B364CB">
        <w:tab/>
      </w:r>
      <w:r w:rsidRPr="00B364CB">
        <w:tab/>
        <w:t>European Innovation Council</w:t>
      </w:r>
    </w:p>
    <w:p w14:paraId="22CD9B72" w14:textId="6AA338E9" w:rsidR="00950E84" w:rsidRDefault="00950E84" w:rsidP="0020485A">
      <w:pPr>
        <w:pStyle w:val="MAWP-Bodytext"/>
      </w:pPr>
      <w:r>
        <w:t>EERA</w:t>
      </w:r>
      <w:r>
        <w:tab/>
      </w:r>
      <w:r>
        <w:tab/>
        <w:t>European Energy Research Alliance</w:t>
      </w:r>
    </w:p>
    <w:p w14:paraId="7F8A2C8F" w14:textId="08C5AEBF" w:rsidR="0020485A" w:rsidRPr="000E0A4F" w:rsidRDefault="0020485A" w:rsidP="0020485A">
      <w:pPr>
        <w:pStyle w:val="MAWP-Bodytext"/>
      </w:pPr>
      <w:r w:rsidRPr="000E0A4F">
        <w:t>ERA</w:t>
      </w:r>
      <w:r w:rsidRPr="000E0A4F">
        <w:tab/>
      </w:r>
      <w:r w:rsidRPr="000E0A4F">
        <w:tab/>
        <w:t>European Research Area</w:t>
      </w:r>
    </w:p>
    <w:p w14:paraId="2E7918EE" w14:textId="77777777" w:rsidR="00A347B4" w:rsidRDefault="00A347B4" w:rsidP="0020485A">
      <w:pPr>
        <w:pStyle w:val="MAWP-Bodytext"/>
      </w:pPr>
      <w:r w:rsidRPr="00A347B4">
        <w:t>ETS</w:t>
      </w:r>
      <w:r w:rsidRPr="00A347B4">
        <w:tab/>
      </w:r>
      <w:r w:rsidRPr="00A347B4">
        <w:tab/>
        <w:t>Emission trading system (also seen as EU ETS)</w:t>
      </w:r>
    </w:p>
    <w:p w14:paraId="72DC7191" w14:textId="1047D312" w:rsidR="0020485A" w:rsidRPr="00396773" w:rsidRDefault="0020485A" w:rsidP="0020485A">
      <w:pPr>
        <w:pStyle w:val="MAWP-Bodytext"/>
        <w:rPr>
          <w:lang w:val="fr-BE"/>
        </w:rPr>
      </w:pPr>
      <w:r w:rsidRPr="00396773">
        <w:rPr>
          <w:lang w:val="fr-BE"/>
        </w:rPr>
        <w:t xml:space="preserve">EU </w:t>
      </w:r>
      <w:r w:rsidRPr="00396773">
        <w:rPr>
          <w:lang w:val="fr-BE"/>
        </w:rPr>
        <w:tab/>
      </w:r>
      <w:r w:rsidRPr="00396773">
        <w:rPr>
          <w:lang w:val="fr-BE"/>
        </w:rPr>
        <w:tab/>
        <w:t>European Union</w:t>
      </w:r>
    </w:p>
    <w:p w14:paraId="0DFDBF31" w14:textId="77777777" w:rsidR="0020485A" w:rsidRPr="00A347B4" w:rsidRDefault="0020485A" w:rsidP="0020485A">
      <w:pPr>
        <w:pStyle w:val="MAWP-Bodytext"/>
        <w:rPr>
          <w:lang w:val="fr-BE"/>
        </w:rPr>
      </w:pPr>
      <w:r w:rsidRPr="00A347B4">
        <w:rPr>
          <w:lang w:val="fr-BE"/>
        </w:rPr>
        <w:t>EU ETS</w:t>
      </w:r>
      <w:r w:rsidRPr="00A347B4">
        <w:rPr>
          <w:lang w:val="fr-BE"/>
        </w:rPr>
        <w:tab/>
        <w:t>EU Emission Trading System</w:t>
      </w:r>
    </w:p>
    <w:p w14:paraId="5A9C637C" w14:textId="77777777" w:rsidR="0020485A" w:rsidRPr="00B364CB" w:rsidRDefault="0020485A" w:rsidP="0020485A">
      <w:pPr>
        <w:pStyle w:val="MAWP-Bodytext"/>
      </w:pPr>
      <w:r w:rsidRPr="00B364CB">
        <w:t>EURAMET</w:t>
      </w:r>
      <w:r w:rsidRPr="00B364CB">
        <w:tab/>
        <w:t>European Association of National Metrology Institutes</w:t>
      </w:r>
    </w:p>
    <w:p w14:paraId="3CA17E17" w14:textId="157BF248" w:rsidR="0020485A" w:rsidRPr="00B364CB" w:rsidRDefault="0020485A" w:rsidP="0020485A">
      <w:pPr>
        <w:pStyle w:val="MAWP-Bodytext"/>
        <w:ind w:left="1440" w:hanging="1440"/>
      </w:pPr>
      <w:r w:rsidRPr="00B364CB">
        <w:t xml:space="preserve">FP </w:t>
      </w:r>
      <w:r w:rsidRPr="00B364CB">
        <w:tab/>
        <w:t xml:space="preserve">European Union’s Framework Programmes for research and technological development. FP7 refers to the seventh programme (period 2007-2013), H2020 to the eighth (period 2014-2020), while Horizon Europe to the ninth (period 2021-2027) </w:t>
      </w:r>
    </w:p>
    <w:p w14:paraId="1A6EFD5E" w14:textId="51AC5349" w:rsidR="0020485A" w:rsidRPr="00B364CB" w:rsidRDefault="0020485A" w:rsidP="0020485A">
      <w:pPr>
        <w:pStyle w:val="MAWP-Bodytext"/>
      </w:pPr>
      <w:r w:rsidRPr="00B364CB">
        <w:t xml:space="preserve">FC </w:t>
      </w:r>
      <w:r w:rsidRPr="00B364CB">
        <w:tab/>
      </w:r>
      <w:r w:rsidRPr="00B364CB">
        <w:tab/>
        <w:t>Fuel cell</w:t>
      </w:r>
    </w:p>
    <w:p w14:paraId="2EFABDCA" w14:textId="4DDFD1F1" w:rsidR="0020485A" w:rsidRPr="00B364CB" w:rsidRDefault="0020485A" w:rsidP="0020485A">
      <w:pPr>
        <w:pStyle w:val="MAWP-Bodytext"/>
      </w:pPr>
      <w:r w:rsidRPr="00B364CB">
        <w:t xml:space="preserve">FCEV </w:t>
      </w:r>
      <w:r w:rsidRPr="00B364CB">
        <w:tab/>
      </w:r>
      <w:r w:rsidRPr="00B364CB">
        <w:tab/>
        <w:t>Fuel cell electric vehicle</w:t>
      </w:r>
    </w:p>
    <w:p w14:paraId="644FC287" w14:textId="0C467184" w:rsidR="0020485A" w:rsidRPr="00B364CB" w:rsidRDefault="0020485A" w:rsidP="0020485A">
      <w:pPr>
        <w:pStyle w:val="MAWP-Bodytext"/>
      </w:pPr>
      <w:r w:rsidRPr="00B364CB">
        <w:t xml:space="preserve">FCH </w:t>
      </w:r>
      <w:r w:rsidRPr="00B364CB">
        <w:tab/>
      </w:r>
      <w:r w:rsidRPr="00B364CB">
        <w:tab/>
        <w:t>Fuel cell and hydrogen</w:t>
      </w:r>
    </w:p>
    <w:p w14:paraId="62E68E35" w14:textId="1CE394C0" w:rsidR="0020485A" w:rsidRPr="00B364CB" w:rsidRDefault="0020485A" w:rsidP="0020485A">
      <w:pPr>
        <w:pStyle w:val="MAWP-Bodytext"/>
        <w:ind w:left="1440" w:hanging="1440"/>
      </w:pPr>
      <w:r w:rsidRPr="00B364CB">
        <w:t>FCH (2) JU</w:t>
      </w:r>
      <w:r w:rsidRPr="00B364CB">
        <w:tab/>
        <w:t>Fuel Cells and Hydrogen Joint Undertaking. FCH 2 JU (2014-2020/Horizon 2020) succeeded FCH JU (2008-2014/FP 7)</w:t>
      </w:r>
      <w:r w:rsidRPr="00B364CB">
        <w:rPr>
          <w:rStyle w:val="FootnoteReference"/>
        </w:rPr>
        <w:t xml:space="preserve"> </w:t>
      </w:r>
      <w:r w:rsidRPr="00B364CB">
        <w:rPr>
          <w:rStyle w:val="FootnoteReference"/>
        </w:rPr>
        <w:footnoteReference w:id="2"/>
      </w:r>
      <w:r w:rsidRPr="00B364CB">
        <w:t>.</w:t>
      </w:r>
    </w:p>
    <w:p w14:paraId="41EA66F0" w14:textId="5B9CFA0C" w:rsidR="0020485A" w:rsidRPr="00B364CB" w:rsidRDefault="0020485A" w:rsidP="0020485A">
      <w:pPr>
        <w:pStyle w:val="MAWP-Bodytext"/>
      </w:pPr>
      <w:r w:rsidRPr="00B364CB">
        <w:t>FCHO</w:t>
      </w:r>
      <w:r w:rsidRPr="00B364CB">
        <w:tab/>
      </w:r>
      <w:r w:rsidRPr="00B364CB">
        <w:tab/>
        <w:t xml:space="preserve">Fuel Cell and Hydrogen Observatory, </w:t>
      </w:r>
      <w:hyperlink r:id="rId20" w:history="1">
        <w:r w:rsidRPr="00B364CB">
          <w:rPr>
            <w:rStyle w:val="Hyperlink"/>
          </w:rPr>
          <w:t>https://fchobservatory.eu/</w:t>
        </w:r>
      </w:hyperlink>
    </w:p>
    <w:p w14:paraId="587BDD4D" w14:textId="666083DF" w:rsidR="0020485A" w:rsidRPr="00B364CB" w:rsidRDefault="0020485A" w:rsidP="0020485A">
      <w:pPr>
        <w:pStyle w:val="MAWP-Bodytext"/>
      </w:pPr>
      <w:r w:rsidRPr="00B364CB">
        <w:t>GB</w:t>
      </w:r>
      <w:r w:rsidRPr="00B364CB">
        <w:tab/>
      </w:r>
      <w:r w:rsidRPr="00B364CB">
        <w:tab/>
        <w:t>Governing Board</w:t>
      </w:r>
    </w:p>
    <w:p w14:paraId="22E5C431" w14:textId="3C647AEE" w:rsidR="0020485A" w:rsidRPr="00B364CB" w:rsidRDefault="0020485A" w:rsidP="0020485A">
      <w:pPr>
        <w:pStyle w:val="MAWP-Bodytext"/>
      </w:pPr>
      <w:r w:rsidRPr="00B364CB">
        <w:t>GDL</w:t>
      </w:r>
      <w:r w:rsidRPr="00B364CB">
        <w:tab/>
      </w:r>
      <w:r w:rsidRPr="00B364CB">
        <w:tab/>
        <w:t>Gas diffusion layer</w:t>
      </w:r>
    </w:p>
    <w:p w14:paraId="63A450E2" w14:textId="4005E5B9" w:rsidR="0020485A" w:rsidRPr="00B364CB" w:rsidRDefault="0020485A" w:rsidP="0020485A">
      <w:pPr>
        <w:pStyle w:val="MAWP-Bodytext"/>
      </w:pPr>
      <w:r w:rsidRPr="00B364CB">
        <w:t>GH</w:t>
      </w:r>
      <w:r w:rsidRPr="00B364CB">
        <w:rPr>
          <w:vertAlign w:val="subscript"/>
        </w:rPr>
        <w:t>2</w:t>
      </w:r>
      <w:r w:rsidRPr="00B364CB">
        <w:tab/>
      </w:r>
      <w:r w:rsidRPr="00B364CB">
        <w:tab/>
        <w:t>Gaseous Hydrogen</w:t>
      </w:r>
    </w:p>
    <w:p w14:paraId="31BFDA13" w14:textId="49C0C35E" w:rsidR="0020485A" w:rsidRPr="00B364CB" w:rsidRDefault="0020485A" w:rsidP="0020485A">
      <w:pPr>
        <w:pStyle w:val="MAWP-Bodytext"/>
      </w:pPr>
      <w:r w:rsidRPr="00B364CB">
        <w:t xml:space="preserve">GHG </w:t>
      </w:r>
      <w:r w:rsidRPr="00B364CB">
        <w:tab/>
      </w:r>
      <w:r w:rsidRPr="00B364CB">
        <w:tab/>
        <w:t>Greenhouse gas</w:t>
      </w:r>
    </w:p>
    <w:p w14:paraId="281DDAED" w14:textId="153BCEB4" w:rsidR="0020485A" w:rsidRPr="000E0A4F" w:rsidRDefault="0020485A" w:rsidP="0020485A">
      <w:pPr>
        <w:pStyle w:val="MAWP-Bodytext"/>
      </w:pPr>
      <w:r w:rsidRPr="000E0A4F">
        <w:t>GT</w:t>
      </w:r>
      <w:r w:rsidRPr="000E0A4F">
        <w:tab/>
      </w:r>
      <w:r w:rsidRPr="000E0A4F">
        <w:tab/>
        <w:t>Gas Turbine</w:t>
      </w:r>
    </w:p>
    <w:p w14:paraId="1C648FA4" w14:textId="68D09C16" w:rsidR="0020485A" w:rsidRPr="00B364CB" w:rsidRDefault="0020485A" w:rsidP="0020485A">
      <w:pPr>
        <w:pStyle w:val="MAWP-Bodytext"/>
      </w:pPr>
      <w:r w:rsidRPr="000E0A4F">
        <w:t>GW</w:t>
      </w:r>
      <w:r w:rsidRPr="000E0A4F">
        <w:tab/>
      </w:r>
      <w:r w:rsidRPr="000E0A4F">
        <w:tab/>
        <w:t xml:space="preserve">Gigawatt. </w:t>
      </w:r>
      <w:r w:rsidRPr="00B364CB">
        <w:t>GW</w:t>
      </w:r>
      <w:r w:rsidRPr="00B364CB">
        <w:rPr>
          <w:vertAlign w:val="subscript"/>
        </w:rPr>
        <w:t xml:space="preserve">e </w:t>
      </w:r>
      <w:r w:rsidRPr="00B364CB">
        <w:t>refers to GW electric.</w:t>
      </w:r>
    </w:p>
    <w:p w14:paraId="58E73C60" w14:textId="34AC242D" w:rsidR="0020485A" w:rsidRPr="00B364CB" w:rsidRDefault="0020485A" w:rsidP="0020485A">
      <w:pPr>
        <w:pStyle w:val="MAWP-Bodytext"/>
      </w:pPr>
      <w:r w:rsidRPr="00B364CB">
        <w:t>H</w:t>
      </w:r>
      <w:r w:rsidRPr="00B364CB">
        <w:rPr>
          <w:vertAlign w:val="subscript"/>
        </w:rPr>
        <w:t>2</w:t>
      </w:r>
      <w:r w:rsidRPr="00B364CB">
        <w:t xml:space="preserve"> </w:t>
      </w:r>
      <w:r w:rsidRPr="00B364CB">
        <w:tab/>
      </w:r>
      <w:r w:rsidRPr="00B364CB">
        <w:tab/>
        <w:t>Hydrogen</w:t>
      </w:r>
    </w:p>
    <w:p w14:paraId="3A0418C0" w14:textId="48235554" w:rsidR="0020485A" w:rsidRPr="00B364CB" w:rsidRDefault="0020485A" w:rsidP="0020485A">
      <w:pPr>
        <w:pStyle w:val="MAWP-Bodytext"/>
      </w:pPr>
      <w:r w:rsidRPr="00B364CB">
        <w:t xml:space="preserve">H2020 </w:t>
      </w:r>
      <w:r w:rsidRPr="00B364CB">
        <w:tab/>
      </w:r>
      <w:r w:rsidRPr="00B364CB">
        <w:tab/>
        <w:t>Horizon 2020</w:t>
      </w:r>
    </w:p>
    <w:p w14:paraId="4A364A7A" w14:textId="0045279B" w:rsidR="0020485A" w:rsidRPr="00B364CB" w:rsidRDefault="0020485A" w:rsidP="0020485A">
      <w:pPr>
        <w:pStyle w:val="MAWP-Bodytext"/>
      </w:pPr>
      <w:r w:rsidRPr="00B364CB">
        <w:t>HDV</w:t>
      </w:r>
      <w:r w:rsidRPr="00B364CB">
        <w:tab/>
      </w:r>
      <w:r w:rsidRPr="00B364CB">
        <w:tab/>
        <w:t>Heavy Duty Vehicles</w:t>
      </w:r>
    </w:p>
    <w:p w14:paraId="739AF6EC" w14:textId="171CC6EE" w:rsidR="00A5568F" w:rsidRDefault="0020485A" w:rsidP="0020485A">
      <w:pPr>
        <w:pStyle w:val="MAWP-Bodytext"/>
      </w:pPr>
      <w:r w:rsidRPr="00B364CB">
        <w:lastRenderedPageBreak/>
        <w:t>HDT</w:t>
      </w:r>
      <w:r w:rsidRPr="00B364CB">
        <w:tab/>
      </w:r>
      <w:r w:rsidRPr="00B364CB">
        <w:tab/>
        <w:t>Heavy Duty Transport</w:t>
      </w:r>
      <w:r w:rsidR="00A5568F">
        <w:tab/>
      </w:r>
      <w:r w:rsidR="00A5568F">
        <w:tab/>
      </w:r>
    </w:p>
    <w:p w14:paraId="23B06A92" w14:textId="163E6AFC" w:rsidR="0020485A" w:rsidRPr="00B364CB" w:rsidRDefault="0020485A" w:rsidP="0020485A">
      <w:pPr>
        <w:pStyle w:val="MAWP-Bodytext"/>
      </w:pPr>
      <w:r w:rsidRPr="00B364CB">
        <w:t>HFP</w:t>
      </w:r>
      <w:r w:rsidRPr="00B364CB">
        <w:tab/>
      </w:r>
      <w:r w:rsidRPr="00B364CB">
        <w:tab/>
        <w:t>European Hydrogen and Fuel Cell Technology platform</w:t>
      </w:r>
    </w:p>
    <w:p w14:paraId="41F51611" w14:textId="6B5AF3F8" w:rsidR="0020485A" w:rsidRPr="00B364CB" w:rsidRDefault="0020485A" w:rsidP="0020485A">
      <w:pPr>
        <w:pStyle w:val="MAWP-Bodytext"/>
      </w:pPr>
      <w:r w:rsidRPr="00B364CB">
        <w:t xml:space="preserve">HHV </w:t>
      </w:r>
      <w:r w:rsidRPr="00B364CB">
        <w:tab/>
      </w:r>
      <w:r w:rsidRPr="00B364CB">
        <w:tab/>
        <w:t>Higher heating value</w:t>
      </w:r>
    </w:p>
    <w:p w14:paraId="725C5866" w14:textId="33488291" w:rsidR="0020485A" w:rsidRPr="00B364CB" w:rsidRDefault="0020485A" w:rsidP="0020485A">
      <w:pPr>
        <w:pStyle w:val="MAWP-Bodytext"/>
      </w:pPr>
      <w:r w:rsidRPr="00B364CB">
        <w:t xml:space="preserve">HRS </w:t>
      </w:r>
      <w:r w:rsidRPr="00B364CB">
        <w:tab/>
      </w:r>
      <w:r w:rsidRPr="00B364CB">
        <w:tab/>
        <w:t>Hydrogen refuelling station</w:t>
      </w:r>
    </w:p>
    <w:p w14:paraId="448FEB09" w14:textId="3617A52D" w:rsidR="0020485A" w:rsidRPr="00B364CB" w:rsidRDefault="0020485A" w:rsidP="0020485A">
      <w:pPr>
        <w:pStyle w:val="MAWP-Bodytext"/>
      </w:pPr>
      <w:r w:rsidRPr="00B364CB">
        <w:t>HTCP</w:t>
      </w:r>
      <w:r w:rsidRPr="00B364CB">
        <w:tab/>
      </w:r>
      <w:r w:rsidRPr="00B364CB">
        <w:tab/>
        <w:t>Hydrogen Technology Collaboration Programme</w:t>
      </w:r>
    </w:p>
    <w:p w14:paraId="3A4A2D8F" w14:textId="43E399DD" w:rsidR="0020485A" w:rsidRPr="00B364CB" w:rsidRDefault="0020485A" w:rsidP="0020485A">
      <w:pPr>
        <w:pStyle w:val="MAWP-Bodytext"/>
      </w:pPr>
      <w:r w:rsidRPr="00B364CB">
        <w:t xml:space="preserve">IEA </w:t>
      </w:r>
      <w:r w:rsidRPr="00B364CB">
        <w:tab/>
      </w:r>
      <w:r w:rsidRPr="00B364CB">
        <w:tab/>
        <w:t>International Energy Agency</w:t>
      </w:r>
    </w:p>
    <w:p w14:paraId="4AC2A86E" w14:textId="759F17ED" w:rsidR="0020485A" w:rsidRPr="00B364CB" w:rsidRDefault="0020485A" w:rsidP="0020485A">
      <w:pPr>
        <w:pStyle w:val="MAWP-Bodytext"/>
      </w:pPr>
      <w:r w:rsidRPr="00B364CB">
        <w:t>IEC</w:t>
      </w:r>
      <w:r w:rsidRPr="00B364CB">
        <w:tab/>
      </w:r>
      <w:r w:rsidRPr="00B364CB">
        <w:tab/>
        <w:t>International Electrotechnical Commission</w:t>
      </w:r>
    </w:p>
    <w:p w14:paraId="28C469DD" w14:textId="4C635DD7" w:rsidR="0020485A" w:rsidRPr="00B364CB" w:rsidRDefault="0020485A" w:rsidP="0020485A">
      <w:pPr>
        <w:pStyle w:val="MAWP-Bodytext"/>
      </w:pPr>
      <w:r w:rsidRPr="00B364CB">
        <w:t>IMO</w:t>
      </w:r>
      <w:r w:rsidRPr="00B364CB">
        <w:tab/>
      </w:r>
      <w:r w:rsidRPr="00B364CB">
        <w:tab/>
        <w:t>International Maritime Organisation</w:t>
      </w:r>
    </w:p>
    <w:p w14:paraId="121E1E53" w14:textId="62C2CD96" w:rsidR="0020485A" w:rsidRPr="00B364CB" w:rsidRDefault="0020485A" w:rsidP="0020485A">
      <w:pPr>
        <w:pStyle w:val="MAWP-Bodytext"/>
      </w:pPr>
      <w:r w:rsidRPr="00B364CB">
        <w:t>IPCC</w:t>
      </w:r>
      <w:r w:rsidRPr="00B364CB">
        <w:tab/>
      </w:r>
      <w:r w:rsidRPr="00B364CB">
        <w:tab/>
        <w:t>Intergovernmental Panel on Climate Change</w:t>
      </w:r>
    </w:p>
    <w:p w14:paraId="287E243B" w14:textId="61D783F5" w:rsidR="0020485A" w:rsidRPr="00B364CB" w:rsidRDefault="0020485A" w:rsidP="0020485A">
      <w:pPr>
        <w:pStyle w:val="MAWP-Bodytext"/>
      </w:pPr>
      <w:r w:rsidRPr="00B364CB">
        <w:t>IPCEI</w:t>
      </w:r>
      <w:r w:rsidRPr="00B364CB">
        <w:tab/>
      </w:r>
      <w:r w:rsidRPr="00B364CB">
        <w:tab/>
      </w:r>
      <w:r w:rsidRPr="00B364CB">
        <w:rPr>
          <w:rStyle w:val="Hyperlink0"/>
        </w:rPr>
        <w:t>Important Projects of Common European Interest</w:t>
      </w:r>
    </w:p>
    <w:p w14:paraId="0A40A941" w14:textId="226A4261" w:rsidR="0020485A" w:rsidRPr="00B364CB" w:rsidRDefault="0020485A" w:rsidP="0020485A">
      <w:pPr>
        <w:pStyle w:val="MAWP-Bodytext"/>
      </w:pPr>
      <w:r w:rsidRPr="00B364CB">
        <w:t xml:space="preserve">IPHE </w:t>
      </w:r>
      <w:r w:rsidRPr="00B364CB">
        <w:tab/>
      </w:r>
      <w:r w:rsidRPr="00B364CB">
        <w:tab/>
        <w:t>International Partnership for Hydrogen and fuel cells in the Economy</w:t>
      </w:r>
    </w:p>
    <w:p w14:paraId="26AF6BBB" w14:textId="5E8E5A18" w:rsidR="0020485A" w:rsidRPr="00B364CB" w:rsidRDefault="0020485A" w:rsidP="0020485A">
      <w:pPr>
        <w:pStyle w:val="MAWP-Bodytext"/>
      </w:pPr>
      <w:r w:rsidRPr="00B364CB">
        <w:t>IRENA</w:t>
      </w:r>
      <w:r w:rsidRPr="00B364CB">
        <w:tab/>
      </w:r>
      <w:r w:rsidRPr="00B364CB">
        <w:tab/>
        <w:t>International Renewable Energy Agency</w:t>
      </w:r>
    </w:p>
    <w:p w14:paraId="32C49A35" w14:textId="504A1598" w:rsidR="0020485A" w:rsidRPr="00B364CB" w:rsidRDefault="0020485A" w:rsidP="0020485A">
      <w:pPr>
        <w:pStyle w:val="MAWP-Bodytext"/>
      </w:pPr>
      <w:r w:rsidRPr="00B364CB">
        <w:t xml:space="preserve">ISO </w:t>
      </w:r>
      <w:r w:rsidRPr="00B364CB">
        <w:tab/>
      </w:r>
      <w:r w:rsidRPr="00B364CB">
        <w:tab/>
        <w:t>International Organisation for Standardi</w:t>
      </w:r>
      <w:r w:rsidR="00210828">
        <w:t>s</w:t>
      </w:r>
      <w:r w:rsidRPr="00B364CB">
        <w:t>ation</w:t>
      </w:r>
    </w:p>
    <w:p w14:paraId="3B5CC2B7" w14:textId="54474D58" w:rsidR="0020485A" w:rsidRPr="00B364CB" w:rsidRDefault="0020485A" w:rsidP="0020485A">
      <w:pPr>
        <w:pStyle w:val="MAWP-Bodytext"/>
      </w:pPr>
      <w:r w:rsidRPr="00B364CB">
        <w:t>IT</w:t>
      </w:r>
      <w:r w:rsidRPr="00B364CB">
        <w:tab/>
      </w:r>
      <w:r w:rsidRPr="00B364CB">
        <w:tab/>
        <w:t>Information Technology</w:t>
      </w:r>
    </w:p>
    <w:p w14:paraId="70A6A9B0" w14:textId="14648F14" w:rsidR="0020485A" w:rsidRPr="00B364CB" w:rsidRDefault="0020485A" w:rsidP="0020485A">
      <w:pPr>
        <w:pStyle w:val="MAWP-Bodytext"/>
      </w:pPr>
      <w:r w:rsidRPr="00B364CB">
        <w:t>JRC</w:t>
      </w:r>
      <w:r w:rsidRPr="00B364CB">
        <w:tab/>
      </w:r>
      <w:r w:rsidRPr="00B364CB">
        <w:tab/>
        <w:t>Joint Research Centre of the European Commission</w:t>
      </w:r>
    </w:p>
    <w:p w14:paraId="44C8C284" w14:textId="111087C2" w:rsidR="0020485A" w:rsidRPr="00B364CB" w:rsidRDefault="0020485A" w:rsidP="0020485A">
      <w:pPr>
        <w:pStyle w:val="MAWP-Bodytext"/>
        <w:ind w:left="1440" w:hanging="1440"/>
      </w:pPr>
      <w:r w:rsidRPr="00B364CB">
        <w:t>JU</w:t>
      </w:r>
      <w:r w:rsidRPr="00B364CB">
        <w:tab/>
        <w:t>Joint Undertaking. For the scope of this document this acronym is used specifically to refer to the Clean Hydrogen Joint Undertaking. In all other instances or when not obvious the longer name is used.</w:t>
      </w:r>
    </w:p>
    <w:p w14:paraId="64DB2C46" w14:textId="66DD1791" w:rsidR="0020485A" w:rsidRPr="00E66286" w:rsidRDefault="0020485A" w:rsidP="0020485A">
      <w:pPr>
        <w:pStyle w:val="MAWP-Bodytext"/>
        <w:rPr>
          <w:lang w:val="nl-NL"/>
        </w:rPr>
      </w:pPr>
      <w:r w:rsidRPr="00E66286">
        <w:rPr>
          <w:lang w:val="nl-NL"/>
        </w:rPr>
        <w:t>kg</w:t>
      </w:r>
      <w:r w:rsidRPr="00E66286">
        <w:rPr>
          <w:lang w:val="nl-NL"/>
        </w:rPr>
        <w:tab/>
      </w:r>
      <w:r w:rsidRPr="00E66286">
        <w:rPr>
          <w:lang w:val="nl-NL"/>
        </w:rPr>
        <w:tab/>
        <w:t>Kilogramme</w:t>
      </w:r>
    </w:p>
    <w:p w14:paraId="473E6FF7" w14:textId="629CF9F2" w:rsidR="0020485A" w:rsidRPr="00E66286" w:rsidRDefault="0020485A" w:rsidP="0020485A">
      <w:pPr>
        <w:pStyle w:val="MAWP-Bodytext"/>
        <w:rPr>
          <w:lang w:val="nl-NL"/>
        </w:rPr>
      </w:pPr>
      <w:r w:rsidRPr="00E66286">
        <w:rPr>
          <w:lang w:val="nl-NL"/>
        </w:rPr>
        <w:t>KOH</w:t>
      </w:r>
      <w:r w:rsidRPr="00E66286">
        <w:rPr>
          <w:lang w:val="nl-NL"/>
        </w:rPr>
        <w:tab/>
      </w:r>
      <w:r w:rsidRPr="00E66286">
        <w:rPr>
          <w:lang w:val="nl-NL"/>
        </w:rPr>
        <w:tab/>
        <w:t>Potassium Hydroxide.</w:t>
      </w:r>
    </w:p>
    <w:p w14:paraId="415A3E35" w14:textId="513D1EFF" w:rsidR="0020485A" w:rsidRPr="00B364CB" w:rsidRDefault="0020485A" w:rsidP="0020485A">
      <w:pPr>
        <w:pStyle w:val="MAWP-Bodytext"/>
      </w:pPr>
      <w:r w:rsidRPr="00B364CB">
        <w:t>KPI</w:t>
      </w:r>
      <w:r w:rsidRPr="00B364CB">
        <w:tab/>
      </w:r>
      <w:r w:rsidRPr="00B364CB">
        <w:tab/>
        <w:t>Key performance indicator</w:t>
      </w:r>
    </w:p>
    <w:p w14:paraId="3E114B2D" w14:textId="066345CE" w:rsidR="0020485A" w:rsidRPr="00B364CB" w:rsidRDefault="0020485A" w:rsidP="0020485A">
      <w:pPr>
        <w:pStyle w:val="MAWP-Bodytext"/>
      </w:pPr>
      <w:r w:rsidRPr="00B364CB">
        <w:t xml:space="preserve">kW </w:t>
      </w:r>
      <w:r w:rsidRPr="00B364CB">
        <w:tab/>
      </w:r>
      <w:r w:rsidRPr="00B364CB">
        <w:tab/>
        <w:t>Kilowatt. kW</w:t>
      </w:r>
      <w:r w:rsidRPr="00B364CB">
        <w:rPr>
          <w:vertAlign w:val="subscript"/>
        </w:rPr>
        <w:t xml:space="preserve">th </w:t>
      </w:r>
      <w:r w:rsidRPr="00B364CB">
        <w:t>refers to kW thermal.</w:t>
      </w:r>
    </w:p>
    <w:p w14:paraId="387DC19C" w14:textId="3BBD071E" w:rsidR="0020485A" w:rsidRPr="00B364CB" w:rsidRDefault="0020485A" w:rsidP="0020485A">
      <w:pPr>
        <w:pStyle w:val="MAWP-Bodytext"/>
      </w:pPr>
      <w:r w:rsidRPr="00B364CB">
        <w:t>kWh</w:t>
      </w:r>
      <w:r w:rsidRPr="00B364CB">
        <w:tab/>
      </w:r>
      <w:r w:rsidRPr="00B364CB">
        <w:tab/>
        <w:t>Kilowatt-hour. kWh</w:t>
      </w:r>
      <w:r w:rsidRPr="00B364CB">
        <w:rPr>
          <w:vertAlign w:val="subscript"/>
        </w:rPr>
        <w:t>e</w:t>
      </w:r>
      <w:r w:rsidRPr="00B364CB">
        <w:t xml:space="preserve"> refers to kWh electric, while kWh</w:t>
      </w:r>
      <w:r w:rsidRPr="00B364CB">
        <w:rPr>
          <w:vertAlign w:val="subscript"/>
        </w:rPr>
        <w:t xml:space="preserve">th </w:t>
      </w:r>
      <w:r w:rsidRPr="00B364CB">
        <w:t>to kWh thermal.</w:t>
      </w:r>
    </w:p>
    <w:p w14:paraId="4B79435B" w14:textId="31EF9B44" w:rsidR="0020485A" w:rsidRPr="00B364CB" w:rsidRDefault="0020485A" w:rsidP="0020485A">
      <w:pPr>
        <w:pStyle w:val="MAWP-Bodytext"/>
      </w:pPr>
      <w:r w:rsidRPr="00B364CB">
        <w:t xml:space="preserve">LCA </w:t>
      </w:r>
      <w:r w:rsidRPr="00B364CB">
        <w:tab/>
      </w:r>
      <w:r w:rsidRPr="00B364CB">
        <w:tab/>
        <w:t>Life-cycle assessment</w:t>
      </w:r>
    </w:p>
    <w:p w14:paraId="0619D10E" w14:textId="7DEDB22C" w:rsidR="0020485A" w:rsidRPr="00B364CB" w:rsidRDefault="0020485A" w:rsidP="0020485A">
      <w:pPr>
        <w:pStyle w:val="MAWP-Bodytext"/>
      </w:pPr>
      <w:r w:rsidRPr="00B364CB">
        <w:t xml:space="preserve">LCSA </w:t>
      </w:r>
      <w:r w:rsidRPr="00B364CB">
        <w:tab/>
      </w:r>
      <w:r w:rsidRPr="00B364CB">
        <w:tab/>
        <w:t>Life-cycle sustainability assessment</w:t>
      </w:r>
    </w:p>
    <w:p w14:paraId="2775B525" w14:textId="6C53723A" w:rsidR="0020485A" w:rsidRPr="00B364CB" w:rsidRDefault="0020485A" w:rsidP="0020485A">
      <w:pPr>
        <w:pStyle w:val="MAWP-Bodytext"/>
      </w:pPr>
      <w:r w:rsidRPr="00B364CB">
        <w:t xml:space="preserve">LCC </w:t>
      </w:r>
      <w:r w:rsidRPr="00B364CB">
        <w:tab/>
      </w:r>
      <w:r w:rsidRPr="00B364CB">
        <w:tab/>
        <w:t>Life-cycle costing</w:t>
      </w:r>
    </w:p>
    <w:p w14:paraId="69B3029D" w14:textId="355A509C" w:rsidR="0020485A" w:rsidRPr="00B364CB" w:rsidRDefault="0020485A" w:rsidP="0020485A">
      <w:pPr>
        <w:pStyle w:val="MAWP-Bodytext"/>
      </w:pPr>
      <w:r w:rsidRPr="00B364CB">
        <w:t>LDV</w:t>
      </w:r>
      <w:r w:rsidRPr="00B364CB">
        <w:tab/>
      </w:r>
      <w:r w:rsidRPr="00B364CB">
        <w:tab/>
      </w:r>
      <w:r w:rsidR="00E17A65" w:rsidRPr="00B364CB">
        <w:t>L</w:t>
      </w:r>
      <w:r w:rsidR="00E17A65">
        <w:t>ight</w:t>
      </w:r>
      <w:r w:rsidR="00E17A65" w:rsidRPr="00B364CB">
        <w:t xml:space="preserve"> </w:t>
      </w:r>
      <w:r w:rsidRPr="00B364CB">
        <w:t>Duty Vehicles</w:t>
      </w:r>
    </w:p>
    <w:p w14:paraId="13782764" w14:textId="1E7F0615" w:rsidR="0020485A" w:rsidRPr="00B364CB" w:rsidRDefault="0020485A" w:rsidP="0020485A">
      <w:pPr>
        <w:pStyle w:val="MAWP-Bodytext"/>
      </w:pPr>
      <w:r w:rsidRPr="00B364CB">
        <w:t>LH</w:t>
      </w:r>
      <w:r w:rsidRPr="00B364CB">
        <w:rPr>
          <w:vertAlign w:val="subscript"/>
        </w:rPr>
        <w:t>2</w:t>
      </w:r>
      <w:r w:rsidRPr="00B364CB">
        <w:t xml:space="preserve"> </w:t>
      </w:r>
      <w:r w:rsidRPr="00B364CB">
        <w:tab/>
      </w:r>
      <w:r w:rsidRPr="00B364CB">
        <w:tab/>
        <w:t>Liquid hydrogen</w:t>
      </w:r>
    </w:p>
    <w:p w14:paraId="038BDF74" w14:textId="2A4C2A5E" w:rsidR="0020485A" w:rsidRPr="00B364CB" w:rsidRDefault="0020485A" w:rsidP="0020485A">
      <w:pPr>
        <w:pStyle w:val="MAWP-Bodytext"/>
      </w:pPr>
      <w:r w:rsidRPr="00B364CB">
        <w:t xml:space="preserve">LHV </w:t>
      </w:r>
      <w:r w:rsidRPr="00B364CB">
        <w:tab/>
      </w:r>
      <w:r w:rsidRPr="00B364CB">
        <w:tab/>
        <w:t>Lower heating value</w:t>
      </w:r>
    </w:p>
    <w:p w14:paraId="28081A7E" w14:textId="0299AAF3" w:rsidR="0020485A" w:rsidRPr="00B364CB" w:rsidRDefault="0020485A" w:rsidP="0020485A">
      <w:pPr>
        <w:pStyle w:val="MAWP-Bodytext"/>
      </w:pPr>
      <w:r w:rsidRPr="00B364CB">
        <w:t>LNG</w:t>
      </w:r>
      <w:r w:rsidRPr="00B364CB">
        <w:tab/>
      </w:r>
      <w:r w:rsidRPr="00B364CB">
        <w:tab/>
        <w:t>Liquefied Natural Gas</w:t>
      </w:r>
    </w:p>
    <w:p w14:paraId="59ED13D6" w14:textId="0BB861A2" w:rsidR="0020485A" w:rsidRPr="00B364CB" w:rsidRDefault="0020485A" w:rsidP="0020485A">
      <w:pPr>
        <w:pStyle w:val="MAWP-Bodytext"/>
      </w:pPr>
      <w:r w:rsidRPr="00B364CB">
        <w:t>LOHC</w:t>
      </w:r>
      <w:r w:rsidRPr="00B364CB">
        <w:tab/>
      </w:r>
      <w:r w:rsidRPr="00B364CB">
        <w:tab/>
        <w:t>Liquid organic hydrogen carrier</w:t>
      </w:r>
    </w:p>
    <w:p w14:paraId="771EDE31" w14:textId="5D3E970B" w:rsidR="0020485A" w:rsidRPr="00B364CB" w:rsidRDefault="0020485A" w:rsidP="0020485A">
      <w:pPr>
        <w:pStyle w:val="MAWP-Bodytext"/>
      </w:pPr>
      <w:r w:rsidRPr="00B364CB">
        <w:t>m², m</w:t>
      </w:r>
      <w:r w:rsidRPr="00B364CB">
        <w:rPr>
          <w:vertAlign w:val="superscript"/>
        </w:rPr>
        <w:t>3</w:t>
      </w:r>
      <w:r w:rsidRPr="00B364CB">
        <w:tab/>
      </w:r>
      <w:r w:rsidRPr="00B364CB">
        <w:tab/>
        <w:t>square meters, cubic meters</w:t>
      </w:r>
    </w:p>
    <w:p w14:paraId="4A522FE2" w14:textId="026E5823" w:rsidR="0020485A" w:rsidRPr="00B364CB" w:rsidRDefault="0020485A" w:rsidP="0020485A">
      <w:pPr>
        <w:pStyle w:val="MAWP-Bodytext"/>
      </w:pPr>
      <w:r w:rsidRPr="00B364CB">
        <w:t xml:space="preserve">MEA </w:t>
      </w:r>
      <w:r w:rsidRPr="00B364CB">
        <w:tab/>
      </w:r>
      <w:r w:rsidRPr="00B364CB">
        <w:tab/>
        <w:t>Membrane electrode assembly</w:t>
      </w:r>
    </w:p>
    <w:p w14:paraId="4E03DD4C" w14:textId="44C799A4" w:rsidR="0020485A" w:rsidRPr="00B364CB" w:rsidRDefault="0020485A" w:rsidP="0020485A">
      <w:pPr>
        <w:pStyle w:val="MAWP-Bodytext"/>
        <w:ind w:left="1440" w:hanging="1440"/>
        <w:rPr>
          <w:b/>
        </w:rPr>
      </w:pPr>
      <w:r w:rsidRPr="00B364CB">
        <w:t>METI</w:t>
      </w:r>
      <w:r w:rsidRPr="00B364CB">
        <w:tab/>
        <w:t>Japan’s Ministry of Economy, Trade and Industry. NEDO refers to its New Energy and Industrial Technology Development Organi</w:t>
      </w:r>
      <w:r w:rsidR="00210828">
        <w:t>s</w:t>
      </w:r>
      <w:r w:rsidRPr="00B364CB">
        <w:t>ation.</w:t>
      </w:r>
    </w:p>
    <w:p w14:paraId="1EA211DC" w14:textId="4D6E174B" w:rsidR="0020485A" w:rsidRPr="00B364CB" w:rsidRDefault="0020485A" w:rsidP="0020485A">
      <w:pPr>
        <w:pStyle w:val="MAWP-Bodytext"/>
      </w:pPr>
      <w:r w:rsidRPr="00B364CB">
        <w:lastRenderedPageBreak/>
        <w:t>Mt</w:t>
      </w:r>
      <w:r w:rsidRPr="00B364CB">
        <w:tab/>
      </w:r>
      <w:r w:rsidRPr="00B364CB">
        <w:tab/>
        <w:t>Million tonnes</w:t>
      </w:r>
    </w:p>
    <w:p w14:paraId="4A93DA32" w14:textId="06AB81A1" w:rsidR="0020485A" w:rsidRPr="00B364CB" w:rsidRDefault="0020485A" w:rsidP="0020485A">
      <w:pPr>
        <w:pStyle w:val="MAWP-Bodytext"/>
      </w:pPr>
      <w:r w:rsidRPr="00B364CB">
        <w:t>MTBF</w:t>
      </w:r>
      <w:r w:rsidRPr="00B364CB">
        <w:tab/>
      </w:r>
      <w:r w:rsidRPr="00B364CB">
        <w:tab/>
        <w:t>Mean time between failures</w:t>
      </w:r>
    </w:p>
    <w:p w14:paraId="1BCE2105" w14:textId="1C1CF223" w:rsidR="00E17A65" w:rsidRPr="00B364CB" w:rsidRDefault="00E17A65" w:rsidP="0020485A">
      <w:pPr>
        <w:pStyle w:val="MAWP-Bodytext"/>
      </w:pPr>
      <w:r>
        <w:t>MTRR</w:t>
      </w:r>
      <w:r>
        <w:tab/>
      </w:r>
      <w:r>
        <w:tab/>
        <w:t>Mean time to repair</w:t>
      </w:r>
    </w:p>
    <w:p w14:paraId="25268FA0" w14:textId="1130F658" w:rsidR="0020485A" w:rsidRPr="00B364CB" w:rsidRDefault="0020485A" w:rsidP="0020485A">
      <w:pPr>
        <w:pStyle w:val="MAWP-Bodytext"/>
      </w:pPr>
      <w:r w:rsidRPr="00B364CB">
        <w:t xml:space="preserve">MW </w:t>
      </w:r>
      <w:r w:rsidRPr="00B364CB">
        <w:tab/>
      </w:r>
      <w:r w:rsidRPr="00B364CB">
        <w:tab/>
        <w:t>Megawatt. MW</w:t>
      </w:r>
      <w:r w:rsidRPr="00B364CB">
        <w:rPr>
          <w:vertAlign w:val="subscript"/>
        </w:rPr>
        <w:t>e</w:t>
      </w:r>
      <w:r w:rsidRPr="00B364CB">
        <w:t xml:space="preserve"> refers to MW electric.</w:t>
      </w:r>
    </w:p>
    <w:p w14:paraId="5360B056" w14:textId="23E024D0" w:rsidR="0020485A" w:rsidRPr="00B364CB" w:rsidRDefault="0020485A" w:rsidP="0020485A">
      <w:pPr>
        <w:pStyle w:val="MAWP-Bodytext"/>
      </w:pPr>
      <w:r w:rsidRPr="00B364CB">
        <w:t>NASA</w:t>
      </w:r>
      <w:r w:rsidRPr="00B364CB">
        <w:tab/>
      </w:r>
      <w:r w:rsidRPr="00B364CB">
        <w:tab/>
        <w:t>National Aeronautics and Space Administration</w:t>
      </w:r>
    </w:p>
    <w:p w14:paraId="3F59AA76" w14:textId="7D1F2868" w:rsidR="0020485A" w:rsidRPr="00B364CB" w:rsidRDefault="0020485A" w:rsidP="0020485A">
      <w:pPr>
        <w:pStyle w:val="MAWP-Bodytext"/>
      </w:pPr>
      <w:r w:rsidRPr="00B364CB">
        <w:t>NECP</w:t>
      </w:r>
      <w:r w:rsidRPr="00B364CB">
        <w:tab/>
      </w:r>
      <w:r w:rsidRPr="00B364CB">
        <w:tab/>
        <w:t>National Energy and Climate Plans</w:t>
      </w:r>
    </w:p>
    <w:p w14:paraId="6DED34D3" w14:textId="4158396C" w:rsidR="0020485A" w:rsidRPr="00B364CB" w:rsidRDefault="0020485A" w:rsidP="0020485A">
      <w:pPr>
        <w:pStyle w:val="MAWP-Bodytext"/>
      </w:pPr>
      <w:r w:rsidRPr="00B364CB">
        <w:t>NH</w:t>
      </w:r>
      <w:r w:rsidRPr="00B364CB">
        <w:rPr>
          <w:vertAlign w:val="subscript"/>
        </w:rPr>
        <w:t>3</w:t>
      </w:r>
      <w:r w:rsidRPr="00B364CB">
        <w:rPr>
          <w:vertAlign w:val="subscript"/>
        </w:rPr>
        <w:tab/>
      </w:r>
      <w:r w:rsidRPr="00B364CB">
        <w:rPr>
          <w:vertAlign w:val="subscript"/>
        </w:rPr>
        <w:tab/>
      </w:r>
      <w:r w:rsidRPr="00B364CB">
        <w:t>Ammonia</w:t>
      </w:r>
    </w:p>
    <w:p w14:paraId="40107930" w14:textId="3427B888" w:rsidR="0020485A" w:rsidRPr="00B364CB" w:rsidRDefault="0020485A" w:rsidP="0020485A">
      <w:pPr>
        <w:pStyle w:val="MAWP-Bodytext"/>
      </w:pPr>
      <w:r w:rsidRPr="00B364CB">
        <w:t>NO</w:t>
      </w:r>
      <w:r w:rsidRPr="00B364CB">
        <w:rPr>
          <w:i/>
          <w:iCs/>
          <w:vertAlign w:val="subscript"/>
        </w:rPr>
        <w:t>x</w:t>
      </w:r>
      <w:r w:rsidRPr="00B364CB">
        <w:t xml:space="preserve"> </w:t>
      </w:r>
      <w:r w:rsidRPr="00B364CB">
        <w:tab/>
      </w:r>
      <w:r w:rsidRPr="00B364CB">
        <w:tab/>
        <w:t>Nitrogen oxides</w:t>
      </w:r>
    </w:p>
    <w:p w14:paraId="53060E10" w14:textId="77777777" w:rsidR="0020485A" w:rsidRPr="00B364CB" w:rsidRDefault="0020485A" w:rsidP="0020485A">
      <w:pPr>
        <w:pStyle w:val="MAWP-Bodytext"/>
      </w:pPr>
      <w:r w:rsidRPr="00B364CB">
        <w:t>NRCan</w:t>
      </w:r>
      <w:r w:rsidRPr="00B364CB">
        <w:tab/>
        <w:t>National Resources Canada</w:t>
      </w:r>
    </w:p>
    <w:p w14:paraId="2A565DAC" w14:textId="6A753264" w:rsidR="0020485A" w:rsidRPr="00B364CB" w:rsidRDefault="0020485A" w:rsidP="0020485A">
      <w:pPr>
        <w:pStyle w:val="MAWP-Bodytext"/>
      </w:pPr>
      <w:r w:rsidRPr="00B364CB">
        <w:t>NRRP</w:t>
      </w:r>
      <w:r w:rsidRPr="00B364CB">
        <w:tab/>
      </w:r>
      <w:r w:rsidRPr="00B364CB">
        <w:tab/>
      </w:r>
      <w:r w:rsidRPr="00B364CB">
        <w:rPr>
          <w:rStyle w:val="Hyperlink0"/>
        </w:rPr>
        <w:t>National Recovery and Resiliency Plans</w:t>
      </w:r>
    </w:p>
    <w:p w14:paraId="4E544B80" w14:textId="6F32D15A" w:rsidR="0020485A" w:rsidRPr="00B364CB" w:rsidRDefault="0020485A" w:rsidP="0020485A">
      <w:pPr>
        <w:pStyle w:val="MAWP-Bodytext"/>
      </w:pPr>
      <w:r w:rsidRPr="00B364CB">
        <w:t>O&amp;M</w:t>
      </w:r>
      <w:r w:rsidRPr="00B364CB">
        <w:tab/>
      </w:r>
      <w:r w:rsidRPr="00B364CB">
        <w:tab/>
        <w:t>Operation and Maintenance</w:t>
      </w:r>
    </w:p>
    <w:p w14:paraId="12E15A4D" w14:textId="5D0AC868" w:rsidR="0020485A" w:rsidRPr="00B364CB" w:rsidRDefault="0020485A" w:rsidP="0020485A">
      <w:pPr>
        <w:pStyle w:val="MAWP-Bodytext"/>
      </w:pPr>
      <w:r w:rsidRPr="00B364CB">
        <w:t>OCGT</w:t>
      </w:r>
      <w:r w:rsidRPr="00B364CB">
        <w:tab/>
      </w:r>
      <w:r w:rsidRPr="00B364CB">
        <w:tab/>
        <w:t>Open Cycle Gas Turbine</w:t>
      </w:r>
    </w:p>
    <w:p w14:paraId="6A51E58E" w14:textId="24601C82" w:rsidR="0020485A" w:rsidRPr="00B364CB" w:rsidRDefault="0020485A" w:rsidP="0020485A">
      <w:pPr>
        <w:pStyle w:val="MAWP-Bodytext"/>
      </w:pPr>
      <w:r w:rsidRPr="00B364CB">
        <w:t xml:space="preserve">OEM </w:t>
      </w:r>
      <w:r w:rsidRPr="00B364CB">
        <w:tab/>
      </w:r>
      <w:r w:rsidRPr="00B364CB">
        <w:tab/>
        <w:t>Original equipment manufacturer</w:t>
      </w:r>
    </w:p>
    <w:p w14:paraId="576FDB99" w14:textId="0A893C38" w:rsidR="0020485A" w:rsidRPr="00B364CB" w:rsidRDefault="0020485A" w:rsidP="0020485A">
      <w:pPr>
        <w:pStyle w:val="MAWP-Bodytext"/>
      </w:pPr>
      <w:r w:rsidRPr="00B364CB">
        <w:t>OPEX</w:t>
      </w:r>
      <w:r w:rsidRPr="00B364CB">
        <w:tab/>
      </w:r>
      <w:r w:rsidRPr="00B364CB">
        <w:tab/>
        <w:t xml:space="preserve">Operational expenditure </w:t>
      </w:r>
    </w:p>
    <w:p w14:paraId="79486614" w14:textId="327C820C" w:rsidR="0020485A" w:rsidRPr="00B364CB" w:rsidRDefault="0020485A" w:rsidP="0020485A">
      <w:pPr>
        <w:pStyle w:val="MAWP-Bodytext"/>
      </w:pPr>
      <w:r w:rsidRPr="00B364CB">
        <w:t>OPS</w:t>
      </w:r>
      <w:r w:rsidRPr="00B364CB">
        <w:tab/>
      </w:r>
      <w:r w:rsidRPr="00B364CB">
        <w:tab/>
        <w:t>Offshore Power System</w:t>
      </w:r>
    </w:p>
    <w:p w14:paraId="698103E0" w14:textId="655E248A" w:rsidR="0020485A" w:rsidRPr="00B364CB" w:rsidRDefault="0020485A" w:rsidP="0020485A">
      <w:pPr>
        <w:pStyle w:val="MAWP-Bodytext"/>
      </w:pPr>
      <w:r w:rsidRPr="00B364CB">
        <w:t>P4P</w:t>
      </w:r>
      <w:r w:rsidRPr="00B364CB">
        <w:tab/>
      </w:r>
      <w:r w:rsidRPr="00B364CB">
        <w:tab/>
        <w:t>Processes 4 Planet Partnership</w:t>
      </w:r>
    </w:p>
    <w:p w14:paraId="346FA5F6" w14:textId="77777777" w:rsidR="0020485A" w:rsidRPr="00B364CB" w:rsidRDefault="0020485A" w:rsidP="0020485A">
      <w:pPr>
        <w:pStyle w:val="MAWP-Bodytext"/>
      </w:pPr>
      <w:r w:rsidRPr="00B364CB">
        <w:t>PCCEL</w:t>
      </w:r>
      <w:r w:rsidRPr="00B364CB">
        <w:tab/>
        <w:t>Proton Conducting Ceramic Electrolysis</w:t>
      </w:r>
    </w:p>
    <w:p w14:paraId="42C8F071" w14:textId="77777777" w:rsidR="0020485A" w:rsidRPr="00B364CB" w:rsidRDefault="0020485A" w:rsidP="0020485A">
      <w:pPr>
        <w:pStyle w:val="MAWP-Bodytext"/>
      </w:pPr>
      <w:r w:rsidRPr="00B364CB">
        <w:t>PEFCR</w:t>
      </w:r>
      <w:r w:rsidRPr="00B364CB">
        <w:tab/>
        <w:t>Product Environmental Footprint Category Rules</w:t>
      </w:r>
    </w:p>
    <w:p w14:paraId="3BEC9A3F" w14:textId="34EA09E6" w:rsidR="0020485A" w:rsidRPr="00B364CB" w:rsidRDefault="0020485A" w:rsidP="0020485A">
      <w:pPr>
        <w:pStyle w:val="MAWP-Bodytext"/>
      </w:pPr>
      <w:r w:rsidRPr="00B364CB">
        <w:t xml:space="preserve">PEME </w:t>
      </w:r>
      <w:r w:rsidRPr="00B364CB">
        <w:tab/>
      </w:r>
      <w:r w:rsidRPr="00B364CB">
        <w:tab/>
        <w:t>Proton exchange membrane electrolyser</w:t>
      </w:r>
    </w:p>
    <w:p w14:paraId="7EE643B1" w14:textId="77777777" w:rsidR="0020485A" w:rsidRPr="00B364CB" w:rsidRDefault="0020485A" w:rsidP="0020485A">
      <w:pPr>
        <w:pStyle w:val="MAWP-Bodytext"/>
      </w:pPr>
      <w:r w:rsidRPr="00B364CB">
        <w:t>PEMEL</w:t>
      </w:r>
      <w:r w:rsidRPr="00B364CB">
        <w:tab/>
        <w:t>Proton exchange membrane electrolysis</w:t>
      </w:r>
    </w:p>
    <w:p w14:paraId="62BFD137" w14:textId="77777777" w:rsidR="0020485A" w:rsidRPr="00B364CB" w:rsidRDefault="0020485A" w:rsidP="0020485A">
      <w:pPr>
        <w:pStyle w:val="MAWP-Bodytext"/>
      </w:pPr>
      <w:r w:rsidRPr="00B364CB">
        <w:t xml:space="preserve">PEMFC </w:t>
      </w:r>
      <w:r w:rsidRPr="00B364CB">
        <w:tab/>
        <w:t>Proton exchange membrane fuel cell</w:t>
      </w:r>
    </w:p>
    <w:p w14:paraId="7698627C" w14:textId="44A7998C" w:rsidR="00A347B4" w:rsidRDefault="00A347B4" w:rsidP="0020485A">
      <w:pPr>
        <w:pStyle w:val="MAWP-Bodytext"/>
      </w:pPr>
      <w:r w:rsidRPr="00A347B4">
        <w:t>PFAS</w:t>
      </w:r>
      <w:r w:rsidRPr="00A347B4">
        <w:tab/>
      </w:r>
      <w:r w:rsidRPr="00A347B4">
        <w:tab/>
        <w:t>Perfluorosulfonic acid substances</w:t>
      </w:r>
    </w:p>
    <w:p w14:paraId="73CA04D1" w14:textId="152CE6A1" w:rsidR="0020485A" w:rsidRPr="00B364CB" w:rsidRDefault="0020485A" w:rsidP="0020485A">
      <w:pPr>
        <w:pStyle w:val="MAWP-Bodytext"/>
      </w:pPr>
      <w:r w:rsidRPr="00B364CB">
        <w:t xml:space="preserve">PGM </w:t>
      </w:r>
      <w:r w:rsidRPr="00B364CB">
        <w:tab/>
      </w:r>
      <w:r w:rsidRPr="00B364CB">
        <w:tab/>
        <w:t>Platinum group metals</w:t>
      </w:r>
    </w:p>
    <w:p w14:paraId="17AF5FE9" w14:textId="31B5D387" w:rsidR="0020485A" w:rsidRPr="00B364CB" w:rsidRDefault="0020485A" w:rsidP="0020485A">
      <w:pPr>
        <w:pStyle w:val="MAWP-Bodytext"/>
      </w:pPr>
      <w:r w:rsidRPr="00B364CB">
        <w:t xml:space="preserve">PNR </w:t>
      </w:r>
      <w:r w:rsidRPr="00B364CB">
        <w:tab/>
      </w:r>
      <w:r w:rsidRPr="00B364CB">
        <w:tab/>
        <w:t>Pre-normative research</w:t>
      </w:r>
    </w:p>
    <w:p w14:paraId="3DFF2372" w14:textId="35D3E580" w:rsidR="0020485A" w:rsidRPr="00B364CB" w:rsidRDefault="0020485A" w:rsidP="0020485A">
      <w:pPr>
        <w:pStyle w:val="MAWP-Bodytext"/>
      </w:pPr>
      <w:r w:rsidRPr="00B364CB">
        <w:t>PO</w:t>
      </w:r>
      <w:r w:rsidRPr="00B364CB">
        <w:tab/>
      </w:r>
      <w:r w:rsidRPr="00B364CB">
        <w:tab/>
        <w:t>JU Programme Office</w:t>
      </w:r>
    </w:p>
    <w:p w14:paraId="7FFF8FEC" w14:textId="69F7302C" w:rsidR="0020485A" w:rsidRPr="00B364CB" w:rsidRDefault="0020485A" w:rsidP="0020485A">
      <w:pPr>
        <w:pStyle w:val="MAWP-Bodytext"/>
      </w:pPr>
      <w:r w:rsidRPr="00B364CB">
        <w:t>POC</w:t>
      </w:r>
      <w:r w:rsidRPr="00B364CB">
        <w:tab/>
      </w:r>
      <w:r w:rsidRPr="00B364CB">
        <w:tab/>
        <w:t>Primary Point of Connection</w:t>
      </w:r>
    </w:p>
    <w:p w14:paraId="04D3CF7F" w14:textId="1CE8EC01" w:rsidR="0020485A" w:rsidRPr="00B364CB" w:rsidRDefault="0020485A" w:rsidP="0020485A">
      <w:pPr>
        <w:pStyle w:val="MAWP-Bodytext"/>
      </w:pPr>
      <w:r w:rsidRPr="00B364CB">
        <w:t>PSA</w:t>
      </w:r>
      <w:r w:rsidRPr="00B364CB">
        <w:tab/>
      </w:r>
      <w:r w:rsidRPr="00B364CB">
        <w:tab/>
        <w:t>Pressure Swing Adsorption</w:t>
      </w:r>
    </w:p>
    <w:p w14:paraId="487C6691" w14:textId="3C276E40" w:rsidR="0020485A" w:rsidRPr="00B364CB" w:rsidRDefault="0020485A" w:rsidP="0020485A">
      <w:pPr>
        <w:pStyle w:val="MAWP-Bodytext"/>
      </w:pPr>
      <w:r w:rsidRPr="00B364CB">
        <w:t>R&amp;I</w:t>
      </w:r>
      <w:r w:rsidRPr="00B364CB">
        <w:tab/>
      </w:r>
      <w:r w:rsidRPr="00B364CB">
        <w:tab/>
        <w:t>Research and Innovation</w:t>
      </w:r>
    </w:p>
    <w:p w14:paraId="677794A7" w14:textId="38F4DDA0" w:rsidR="0020485A" w:rsidRPr="00B364CB" w:rsidRDefault="0020485A" w:rsidP="0020485A">
      <w:pPr>
        <w:pStyle w:val="MAWP-Bodytext"/>
      </w:pPr>
      <w:r w:rsidRPr="00B364CB">
        <w:t>R&amp;D</w:t>
      </w:r>
      <w:r w:rsidRPr="00B364CB">
        <w:tab/>
      </w:r>
      <w:r w:rsidRPr="00B364CB">
        <w:tab/>
        <w:t>Research and development</w:t>
      </w:r>
    </w:p>
    <w:p w14:paraId="095814BF" w14:textId="50520F90" w:rsidR="0020485A" w:rsidRPr="00B364CB" w:rsidRDefault="0020485A" w:rsidP="0020485A">
      <w:pPr>
        <w:pStyle w:val="MAWP-Bodytext"/>
      </w:pPr>
      <w:r w:rsidRPr="00B364CB">
        <w:t xml:space="preserve">RCS </w:t>
      </w:r>
      <w:r w:rsidRPr="00B364CB">
        <w:tab/>
      </w:r>
      <w:r w:rsidRPr="00B364CB">
        <w:tab/>
        <w:t>Regulations, codes and standards</w:t>
      </w:r>
    </w:p>
    <w:p w14:paraId="132092AB" w14:textId="454BE7FB" w:rsidR="0020485A" w:rsidRPr="00FF3229" w:rsidRDefault="0020485A" w:rsidP="0020485A">
      <w:pPr>
        <w:pStyle w:val="MAWP-Bodytext"/>
      </w:pPr>
      <w:r w:rsidRPr="00FF3229">
        <w:t xml:space="preserve">RCS SC        </w:t>
      </w:r>
      <w:r w:rsidR="00F754B7" w:rsidRPr="00FF3229">
        <w:tab/>
      </w:r>
      <w:r w:rsidRPr="00FF3229">
        <w:t xml:space="preserve">Regulations, codes and standards Strategy Coordination </w:t>
      </w:r>
    </w:p>
    <w:p w14:paraId="63A77533" w14:textId="089F8F3C" w:rsidR="0020485A" w:rsidRPr="00FF3229" w:rsidRDefault="0020485A" w:rsidP="0020485A">
      <w:pPr>
        <w:pStyle w:val="MAWP-Bodytext"/>
      </w:pPr>
      <w:r w:rsidRPr="00FF3229">
        <w:t xml:space="preserve">RES </w:t>
      </w:r>
      <w:r w:rsidRPr="00FF3229">
        <w:tab/>
      </w:r>
      <w:r w:rsidRPr="00FF3229">
        <w:tab/>
        <w:t>Renewable energy sources</w:t>
      </w:r>
    </w:p>
    <w:p w14:paraId="6A206724" w14:textId="74FDB278" w:rsidR="005D27AA" w:rsidRPr="00FF3229" w:rsidRDefault="005D27AA" w:rsidP="0020485A">
      <w:pPr>
        <w:pStyle w:val="MAWP-Bodytext"/>
      </w:pPr>
      <w:r w:rsidRPr="00FF3229">
        <w:t>RFNBO</w:t>
      </w:r>
      <w:r w:rsidRPr="00FF3229">
        <w:tab/>
      </w:r>
      <w:r w:rsidR="00FF3229">
        <w:t>R</w:t>
      </w:r>
      <w:r w:rsidR="00FF3229" w:rsidRPr="00FF3229">
        <w:t>enewable fuels of non-biological origin</w:t>
      </w:r>
    </w:p>
    <w:p w14:paraId="27224A90" w14:textId="12A8A075" w:rsidR="0020485A" w:rsidRPr="00B364CB" w:rsidRDefault="0020485A" w:rsidP="0020485A">
      <w:pPr>
        <w:pStyle w:val="MAWP-Bodytext"/>
      </w:pPr>
      <w:r w:rsidRPr="00FF3229">
        <w:t>RSMR</w:t>
      </w:r>
      <w:r w:rsidRPr="00B364CB">
        <w:tab/>
      </w:r>
      <w:r w:rsidRPr="00B364CB">
        <w:tab/>
        <w:t>Regional and Short-Medium Range</w:t>
      </w:r>
    </w:p>
    <w:p w14:paraId="69934775" w14:textId="09A5BFD0" w:rsidR="0020485A" w:rsidRPr="00B364CB" w:rsidRDefault="0020485A" w:rsidP="0020485A">
      <w:pPr>
        <w:pStyle w:val="MAWP-Bodytext"/>
      </w:pPr>
      <w:r w:rsidRPr="00B364CB">
        <w:lastRenderedPageBreak/>
        <w:t>RTO</w:t>
      </w:r>
      <w:r w:rsidRPr="00B364CB">
        <w:tab/>
      </w:r>
      <w:r w:rsidRPr="00B364CB">
        <w:tab/>
        <w:t>Research and Technology Organisations</w:t>
      </w:r>
    </w:p>
    <w:p w14:paraId="14DC4B2E" w14:textId="50F1D073" w:rsidR="0020485A" w:rsidRPr="00B364CB" w:rsidRDefault="0020485A" w:rsidP="0020485A">
      <w:pPr>
        <w:pStyle w:val="MAWP-Bodytext"/>
        <w:ind w:left="1440" w:hanging="1440"/>
      </w:pPr>
      <w:r w:rsidRPr="00B364CB">
        <w:t>SBA</w:t>
      </w:r>
      <w:r w:rsidRPr="00B364CB">
        <w:tab/>
        <w:t>Single Basic Act, referring to the regulation establishing the Joint Undertakings under Horizon Europe</w:t>
      </w:r>
    </w:p>
    <w:p w14:paraId="0461B3D0" w14:textId="483C7F5D" w:rsidR="00F754B7" w:rsidRDefault="00F754B7" w:rsidP="0020485A">
      <w:pPr>
        <w:pStyle w:val="MAWP-Bodytext"/>
      </w:pPr>
      <w:r>
        <w:rPr>
          <w:lang w:eastAsia="en-US"/>
        </w:rPr>
        <w:t>SDG</w:t>
      </w:r>
      <w:r>
        <w:rPr>
          <w:lang w:eastAsia="en-US"/>
        </w:rPr>
        <w:tab/>
      </w:r>
      <w:r>
        <w:rPr>
          <w:lang w:eastAsia="en-US"/>
        </w:rPr>
        <w:tab/>
        <w:t>Sustainable Development Goal</w:t>
      </w:r>
    </w:p>
    <w:p w14:paraId="623CECD7" w14:textId="37885640" w:rsidR="0020485A" w:rsidRPr="00B364CB" w:rsidRDefault="0020485A" w:rsidP="0020485A">
      <w:pPr>
        <w:pStyle w:val="MAWP-Bodytext"/>
      </w:pPr>
      <w:r w:rsidRPr="00B364CB">
        <w:t>SDO</w:t>
      </w:r>
      <w:r w:rsidRPr="00B364CB">
        <w:tab/>
      </w:r>
      <w:r w:rsidRPr="00B364CB">
        <w:tab/>
      </w:r>
      <w:r w:rsidRPr="00B364CB">
        <w:rPr>
          <w:lang w:eastAsia="en-US"/>
        </w:rPr>
        <w:t>Standardisation Developing Organisations</w:t>
      </w:r>
    </w:p>
    <w:p w14:paraId="5CC57BF6" w14:textId="1D71F323" w:rsidR="0020485A" w:rsidRPr="00B364CB" w:rsidRDefault="0020485A" w:rsidP="0020485A">
      <w:pPr>
        <w:pStyle w:val="MAWP-Bodytext"/>
      </w:pPr>
      <w:r w:rsidRPr="00B364CB">
        <w:t>SG</w:t>
      </w:r>
      <w:r w:rsidRPr="00B364CB">
        <w:tab/>
      </w:r>
      <w:r w:rsidRPr="00B364CB">
        <w:tab/>
        <w:t>Stakeholder Group</w:t>
      </w:r>
    </w:p>
    <w:p w14:paraId="1F317A24" w14:textId="1E41DD10" w:rsidR="0020485A" w:rsidRPr="00B364CB" w:rsidRDefault="0020485A" w:rsidP="0020485A">
      <w:pPr>
        <w:pStyle w:val="MAWP-Bodytext"/>
      </w:pPr>
      <w:r w:rsidRPr="00B364CB">
        <w:t>SLCA</w:t>
      </w:r>
      <w:r w:rsidRPr="00B364CB">
        <w:tab/>
      </w:r>
      <w:r w:rsidRPr="00B364CB">
        <w:tab/>
        <w:t>Social Life Cycle Analysis</w:t>
      </w:r>
    </w:p>
    <w:p w14:paraId="48276E86" w14:textId="3EF87BC0" w:rsidR="0020485A" w:rsidRPr="00B364CB" w:rsidRDefault="0020485A" w:rsidP="0020485A">
      <w:pPr>
        <w:pStyle w:val="MAWP-Bodytext"/>
      </w:pPr>
      <w:r w:rsidRPr="00B364CB">
        <w:t xml:space="preserve">SME </w:t>
      </w:r>
      <w:r w:rsidRPr="00B364CB">
        <w:tab/>
      </w:r>
      <w:r w:rsidRPr="00B364CB">
        <w:tab/>
        <w:t>Small and medium-sized enterprise</w:t>
      </w:r>
    </w:p>
    <w:p w14:paraId="2BC7F468" w14:textId="4F0303EC" w:rsidR="0020485A" w:rsidRPr="00B364CB" w:rsidRDefault="0020485A" w:rsidP="0020485A">
      <w:pPr>
        <w:pStyle w:val="MAWP-Bodytext"/>
      </w:pPr>
      <w:r w:rsidRPr="00B364CB">
        <w:t xml:space="preserve">SMR </w:t>
      </w:r>
      <w:r w:rsidRPr="00B364CB">
        <w:tab/>
      </w:r>
      <w:r w:rsidRPr="00B364CB">
        <w:tab/>
        <w:t>Steam methane reforming</w:t>
      </w:r>
    </w:p>
    <w:p w14:paraId="30F7F893" w14:textId="25339417" w:rsidR="0020485A" w:rsidRPr="00B364CB" w:rsidRDefault="0020485A" w:rsidP="0020485A">
      <w:pPr>
        <w:pStyle w:val="MAWP-Bodytext"/>
      </w:pPr>
      <w:r w:rsidRPr="00B364CB">
        <w:t xml:space="preserve">SoA </w:t>
      </w:r>
      <w:r w:rsidRPr="00B364CB">
        <w:tab/>
      </w:r>
      <w:r w:rsidRPr="00B364CB">
        <w:tab/>
        <w:t>State-of-the-art</w:t>
      </w:r>
    </w:p>
    <w:p w14:paraId="3407DB1F" w14:textId="216ED4A9" w:rsidR="0020485A" w:rsidRPr="00B364CB" w:rsidRDefault="0020485A" w:rsidP="0020485A">
      <w:pPr>
        <w:pStyle w:val="MAWP-Bodytext"/>
      </w:pPr>
      <w:r w:rsidRPr="00B364CB">
        <w:t>SOE</w:t>
      </w:r>
      <w:r w:rsidRPr="00B364CB">
        <w:tab/>
      </w:r>
      <w:r w:rsidRPr="00B364CB">
        <w:tab/>
        <w:t>Solid Oxide Electrolyser</w:t>
      </w:r>
    </w:p>
    <w:p w14:paraId="2C6E0530" w14:textId="33E127A5" w:rsidR="0020485A" w:rsidRPr="00B364CB" w:rsidRDefault="0020485A" w:rsidP="0020485A">
      <w:pPr>
        <w:pStyle w:val="MAWP-Bodytext"/>
      </w:pPr>
      <w:r w:rsidRPr="00B364CB">
        <w:t>SOEL</w:t>
      </w:r>
      <w:r w:rsidRPr="00B364CB">
        <w:tab/>
      </w:r>
      <w:r w:rsidRPr="00B364CB">
        <w:tab/>
        <w:t>Solid Oxide Electrolysis</w:t>
      </w:r>
    </w:p>
    <w:p w14:paraId="3D51984D" w14:textId="6031B669" w:rsidR="0020485A" w:rsidRPr="00B364CB" w:rsidRDefault="0020485A" w:rsidP="0020485A">
      <w:pPr>
        <w:pStyle w:val="MAWP-Bodytext"/>
      </w:pPr>
      <w:r w:rsidRPr="00B364CB">
        <w:t xml:space="preserve">SOFC </w:t>
      </w:r>
      <w:r w:rsidRPr="00B364CB">
        <w:tab/>
      </w:r>
      <w:r w:rsidRPr="00B364CB">
        <w:tab/>
        <w:t>Solid oxide fuel cell</w:t>
      </w:r>
    </w:p>
    <w:p w14:paraId="6C5545EE" w14:textId="77777777" w:rsidR="00F22FEB" w:rsidRPr="00B364CB" w:rsidRDefault="00F22FEB" w:rsidP="00F22FEB">
      <w:pPr>
        <w:pStyle w:val="MAWP-Bodytext"/>
        <w:ind w:left="1440" w:hanging="1440"/>
      </w:pPr>
      <w:r>
        <w:t>SRIA</w:t>
      </w:r>
      <w:r w:rsidRPr="00B364CB">
        <w:tab/>
      </w:r>
      <w:r>
        <w:t>Strategic Research and Innovation Agenda for 2</w:t>
      </w:r>
      <w:r w:rsidRPr="00B364CB">
        <w:t>021-2027 of the Clean Hydrogen Joint Undertaking</w:t>
      </w:r>
      <w:r>
        <w:t xml:space="preserve"> (previously MAWP </w:t>
      </w:r>
      <w:r w:rsidRPr="00B364CB">
        <w:t>Multi-Annual Work Programme</w:t>
      </w:r>
      <w:r>
        <w:t>)</w:t>
      </w:r>
    </w:p>
    <w:p w14:paraId="042DEAB1" w14:textId="7A1D92AD" w:rsidR="00F22FEB" w:rsidRPr="00B364CB" w:rsidRDefault="00F22FEB" w:rsidP="00F22FEB">
      <w:pPr>
        <w:pStyle w:val="MAWP-Bodytext"/>
        <w:ind w:left="1440" w:hanging="1440"/>
      </w:pPr>
      <w:r>
        <w:t>SRIA-HE</w:t>
      </w:r>
      <w:r w:rsidRPr="00B364CB">
        <w:tab/>
      </w:r>
      <w:r>
        <w:t>Strategic Research and Innovation Agenda for 2</w:t>
      </w:r>
      <w:r w:rsidRPr="00B364CB">
        <w:t xml:space="preserve">021-2027 of </w:t>
      </w:r>
      <w:r w:rsidR="00BB3511">
        <w:t>the Industry</w:t>
      </w:r>
    </w:p>
    <w:p w14:paraId="59BD0135" w14:textId="27055882" w:rsidR="0020485A" w:rsidRPr="00B364CB" w:rsidRDefault="0020485A" w:rsidP="0020485A">
      <w:pPr>
        <w:pStyle w:val="MAWP-Bodytext"/>
      </w:pPr>
      <w:r w:rsidRPr="00B364CB">
        <w:t>SRG</w:t>
      </w:r>
      <w:r w:rsidRPr="00B364CB">
        <w:tab/>
      </w:r>
      <w:r w:rsidRPr="00B364CB">
        <w:tab/>
        <w:t>State Representative Group</w:t>
      </w:r>
    </w:p>
    <w:p w14:paraId="05AC9ACD" w14:textId="214FE2FC" w:rsidR="0020485A" w:rsidRPr="00B364CB" w:rsidRDefault="0020485A" w:rsidP="0020485A">
      <w:pPr>
        <w:pStyle w:val="MAWP-Bodytext"/>
      </w:pPr>
      <w:r w:rsidRPr="00B364CB">
        <w:t>TC</w:t>
      </w:r>
      <w:r w:rsidRPr="00B364CB">
        <w:tab/>
      </w:r>
      <w:r w:rsidRPr="00B364CB">
        <w:tab/>
        <w:t>Technical Committee</w:t>
      </w:r>
    </w:p>
    <w:p w14:paraId="49BB61D8" w14:textId="57F07C5D" w:rsidR="0020485A" w:rsidRPr="00B364CB" w:rsidRDefault="0020485A" w:rsidP="0020485A">
      <w:pPr>
        <w:pStyle w:val="MAWP-Bodytext"/>
      </w:pPr>
      <w:r w:rsidRPr="00B364CB">
        <w:t>TCO</w:t>
      </w:r>
      <w:r w:rsidRPr="00B364CB">
        <w:tab/>
      </w:r>
      <w:r w:rsidRPr="00B364CB">
        <w:tab/>
        <w:t>Total Cost of Ownership</w:t>
      </w:r>
    </w:p>
    <w:p w14:paraId="34A57E3A" w14:textId="4BD4BE7B" w:rsidR="0020485A" w:rsidRPr="00B364CB" w:rsidRDefault="0020485A" w:rsidP="0020485A">
      <w:pPr>
        <w:pStyle w:val="MAWP-Bodytext"/>
      </w:pPr>
      <w:r w:rsidRPr="00B364CB">
        <w:t>TEN</w:t>
      </w:r>
      <w:r w:rsidRPr="00B364CB">
        <w:tab/>
      </w:r>
      <w:r w:rsidRPr="00B364CB">
        <w:tab/>
        <w:t xml:space="preserve">Trans-European Network. TEN-E refers to Electricity, while TEN-T to Transport. </w:t>
      </w:r>
    </w:p>
    <w:p w14:paraId="4BE839FB" w14:textId="7A91F7A8" w:rsidR="0020485A" w:rsidRPr="00B364CB" w:rsidRDefault="0020485A" w:rsidP="0020485A">
      <w:pPr>
        <w:pStyle w:val="MAWP-Bodytext"/>
      </w:pPr>
      <w:r w:rsidRPr="00B364CB">
        <w:t>TIM</w:t>
      </w:r>
      <w:r w:rsidRPr="00B364CB">
        <w:tab/>
      </w:r>
      <w:r w:rsidRPr="00B364CB">
        <w:tab/>
        <w:t>Tools for Innovation Monitoring</w:t>
      </w:r>
    </w:p>
    <w:p w14:paraId="270533E4" w14:textId="6008525D" w:rsidR="0020485A" w:rsidRPr="00B364CB" w:rsidRDefault="0020485A" w:rsidP="0020485A">
      <w:pPr>
        <w:pStyle w:val="MAWP-Bodytext"/>
      </w:pPr>
      <w:r w:rsidRPr="00B364CB">
        <w:t xml:space="preserve">TRL </w:t>
      </w:r>
      <w:r w:rsidRPr="00B364CB">
        <w:tab/>
      </w:r>
      <w:r w:rsidRPr="00B364CB">
        <w:tab/>
        <w:t xml:space="preserve">Technology readiness level: </w:t>
      </w:r>
    </w:p>
    <w:p w14:paraId="0DA48647" w14:textId="77777777" w:rsidR="0020485A" w:rsidRPr="00B364CB" w:rsidRDefault="0020485A" w:rsidP="0020485A">
      <w:pPr>
        <w:pStyle w:val="MAWP-Bodytext"/>
        <w:ind w:firstLine="720"/>
        <w:rPr>
          <w:i/>
        </w:rPr>
      </w:pPr>
      <w:r w:rsidRPr="00B364CB">
        <w:rPr>
          <w:i/>
        </w:rPr>
        <w:t>TRL 1</w:t>
      </w:r>
      <w:r w:rsidRPr="00B364CB">
        <w:rPr>
          <w:i/>
        </w:rPr>
        <w:tab/>
        <w:t>–</w:t>
      </w:r>
      <w:r w:rsidRPr="00B364CB">
        <w:rPr>
          <w:i/>
        </w:rPr>
        <w:tab/>
        <w:t>basic principles observed</w:t>
      </w:r>
    </w:p>
    <w:p w14:paraId="7BBFFA1A" w14:textId="77777777" w:rsidR="0020485A" w:rsidRPr="00B364CB" w:rsidRDefault="0020485A" w:rsidP="0020485A">
      <w:pPr>
        <w:pStyle w:val="MAWP-Bodytext"/>
        <w:ind w:firstLine="720"/>
        <w:rPr>
          <w:i/>
        </w:rPr>
      </w:pPr>
      <w:r w:rsidRPr="00B364CB">
        <w:rPr>
          <w:i/>
        </w:rPr>
        <w:t>TRL 2</w:t>
      </w:r>
      <w:r w:rsidRPr="00B364CB">
        <w:rPr>
          <w:i/>
        </w:rPr>
        <w:tab/>
        <w:t>–</w:t>
      </w:r>
      <w:r w:rsidRPr="00B364CB">
        <w:rPr>
          <w:i/>
        </w:rPr>
        <w:tab/>
        <w:t>technology concept formulated</w:t>
      </w:r>
    </w:p>
    <w:p w14:paraId="0EEAAD03" w14:textId="77777777" w:rsidR="0020485A" w:rsidRPr="00B364CB" w:rsidRDefault="0020485A" w:rsidP="0020485A">
      <w:pPr>
        <w:pStyle w:val="MAWP-Bodytext"/>
        <w:ind w:firstLine="720"/>
        <w:rPr>
          <w:i/>
        </w:rPr>
      </w:pPr>
      <w:r w:rsidRPr="00B364CB">
        <w:rPr>
          <w:i/>
        </w:rPr>
        <w:t>TRL 3</w:t>
      </w:r>
      <w:r w:rsidRPr="00B364CB">
        <w:rPr>
          <w:i/>
        </w:rPr>
        <w:tab/>
        <w:t>–</w:t>
      </w:r>
      <w:r w:rsidRPr="00B364CB">
        <w:rPr>
          <w:i/>
        </w:rPr>
        <w:tab/>
        <w:t>experimental proof of concept</w:t>
      </w:r>
    </w:p>
    <w:p w14:paraId="5BFBFF6A" w14:textId="77777777" w:rsidR="0020485A" w:rsidRPr="00B364CB" w:rsidRDefault="0020485A" w:rsidP="0020485A">
      <w:pPr>
        <w:pStyle w:val="MAWP-Bodytext"/>
        <w:ind w:firstLine="720"/>
        <w:rPr>
          <w:i/>
        </w:rPr>
      </w:pPr>
      <w:r w:rsidRPr="00B364CB">
        <w:rPr>
          <w:i/>
        </w:rPr>
        <w:t>TRL 4</w:t>
      </w:r>
      <w:r w:rsidRPr="00B364CB">
        <w:rPr>
          <w:i/>
        </w:rPr>
        <w:tab/>
        <w:t>–</w:t>
      </w:r>
      <w:r w:rsidRPr="00B364CB">
        <w:rPr>
          <w:i/>
        </w:rPr>
        <w:tab/>
        <w:t>technology validated in lab</w:t>
      </w:r>
    </w:p>
    <w:p w14:paraId="6D826F9B" w14:textId="399EFC02" w:rsidR="0020485A" w:rsidRPr="00B364CB" w:rsidRDefault="0020485A" w:rsidP="0020485A">
      <w:pPr>
        <w:pStyle w:val="MAWP-Bodytext"/>
        <w:ind w:left="2160" w:hanging="1451"/>
        <w:rPr>
          <w:i/>
        </w:rPr>
      </w:pPr>
      <w:r w:rsidRPr="00B364CB">
        <w:rPr>
          <w:i/>
        </w:rPr>
        <w:t>TRL 5  –</w:t>
      </w:r>
      <w:r w:rsidRPr="00B364CB">
        <w:rPr>
          <w:i/>
        </w:rPr>
        <w:tab/>
        <w:t>technology validated in relevant environment (industrially relevant environment in the case of key enabling technologies)</w:t>
      </w:r>
    </w:p>
    <w:p w14:paraId="40006EF1" w14:textId="521A7E2C" w:rsidR="0020485A" w:rsidRPr="00B364CB" w:rsidRDefault="0020485A" w:rsidP="0020485A">
      <w:pPr>
        <w:pStyle w:val="MAWP-Bodytext"/>
        <w:ind w:left="2160" w:hanging="1451"/>
        <w:rPr>
          <w:i/>
        </w:rPr>
      </w:pPr>
      <w:r w:rsidRPr="00B364CB">
        <w:rPr>
          <w:i/>
        </w:rPr>
        <w:t>TRL 6  –</w:t>
      </w:r>
      <w:r w:rsidRPr="00B364CB">
        <w:rPr>
          <w:i/>
        </w:rPr>
        <w:tab/>
        <w:t>technology demonstrated in relevant environment (industrially relevant environment in the case of key enabling technologies)</w:t>
      </w:r>
    </w:p>
    <w:p w14:paraId="6BACE119" w14:textId="77777777" w:rsidR="0020485A" w:rsidRPr="00B364CB" w:rsidRDefault="0020485A" w:rsidP="0020485A">
      <w:pPr>
        <w:pStyle w:val="MAWP-Bodytext"/>
        <w:ind w:firstLine="709"/>
        <w:rPr>
          <w:i/>
        </w:rPr>
      </w:pPr>
      <w:r w:rsidRPr="00B364CB">
        <w:rPr>
          <w:i/>
        </w:rPr>
        <w:t>TRL 7</w:t>
      </w:r>
      <w:r w:rsidRPr="00B364CB">
        <w:rPr>
          <w:i/>
        </w:rPr>
        <w:tab/>
        <w:t>–</w:t>
      </w:r>
      <w:r w:rsidRPr="00B364CB">
        <w:rPr>
          <w:i/>
        </w:rPr>
        <w:tab/>
        <w:t>system prototype demonstration in operational environment</w:t>
      </w:r>
    </w:p>
    <w:p w14:paraId="62447C35" w14:textId="77777777" w:rsidR="0020485A" w:rsidRPr="00B364CB" w:rsidRDefault="0020485A" w:rsidP="0020485A">
      <w:pPr>
        <w:pStyle w:val="MAWP-Bodytext"/>
        <w:ind w:firstLine="709"/>
        <w:rPr>
          <w:i/>
        </w:rPr>
      </w:pPr>
      <w:r w:rsidRPr="00B364CB">
        <w:rPr>
          <w:i/>
        </w:rPr>
        <w:t>TRL 8</w:t>
      </w:r>
      <w:r w:rsidRPr="00B364CB">
        <w:rPr>
          <w:i/>
        </w:rPr>
        <w:tab/>
        <w:t>–</w:t>
      </w:r>
      <w:r w:rsidRPr="00B364CB">
        <w:rPr>
          <w:i/>
        </w:rPr>
        <w:tab/>
        <w:t>system complete and qualified</w:t>
      </w:r>
    </w:p>
    <w:p w14:paraId="785DEE78" w14:textId="7D0D1FF4" w:rsidR="0020485A" w:rsidRPr="00B364CB" w:rsidRDefault="0020485A" w:rsidP="0020485A">
      <w:pPr>
        <w:pStyle w:val="MAWP-Bodytext"/>
        <w:ind w:left="2160" w:hanging="1451"/>
        <w:rPr>
          <w:i/>
        </w:rPr>
      </w:pPr>
      <w:r w:rsidRPr="00B364CB">
        <w:rPr>
          <w:i/>
        </w:rPr>
        <w:t>TRL 9  –</w:t>
      </w:r>
      <w:r w:rsidRPr="00B364CB">
        <w:rPr>
          <w:i/>
        </w:rPr>
        <w:tab/>
        <w:t>actual system proven in operational environment (competitive manufacturing in the case of key enabling technologies; or in space)</w:t>
      </w:r>
    </w:p>
    <w:p w14:paraId="46925D0A" w14:textId="33CB3FF5" w:rsidR="0020485A" w:rsidRPr="00B364CB" w:rsidRDefault="0020485A" w:rsidP="0020485A">
      <w:pPr>
        <w:pStyle w:val="MAWP-Bodytext"/>
      </w:pPr>
      <w:r w:rsidRPr="00B364CB">
        <w:t xml:space="preserve">UAV </w:t>
      </w:r>
      <w:r w:rsidRPr="00B364CB">
        <w:tab/>
      </w:r>
      <w:r w:rsidRPr="00B364CB">
        <w:tab/>
        <w:t>Unmanned aerial vehicle</w:t>
      </w:r>
    </w:p>
    <w:p w14:paraId="6DDCAE12" w14:textId="7B490E40" w:rsidR="0020485A" w:rsidRPr="00B364CB" w:rsidRDefault="0020485A" w:rsidP="0020485A">
      <w:pPr>
        <w:pStyle w:val="MAWP-Bodytext"/>
      </w:pPr>
      <w:r w:rsidRPr="00B364CB">
        <w:t>UK</w:t>
      </w:r>
      <w:r w:rsidRPr="00B364CB">
        <w:tab/>
      </w:r>
      <w:r w:rsidRPr="00B364CB">
        <w:tab/>
        <w:t>United Kingdom</w:t>
      </w:r>
    </w:p>
    <w:p w14:paraId="76541C2B" w14:textId="77777777" w:rsidR="0020485A" w:rsidRPr="00B364CB" w:rsidRDefault="0020485A" w:rsidP="0020485A">
      <w:pPr>
        <w:pStyle w:val="MAWP-Bodytext"/>
      </w:pPr>
      <w:r w:rsidRPr="00B364CB">
        <w:lastRenderedPageBreak/>
        <w:t>US, USA</w:t>
      </w:r>
      <w:r w:rsidRPr="00B364CB">
        <w:tab/>
        <w:t>United States of America</w:t>
      </w:r>
    </w:p>
    <w:p w14:paraId="13C98A7F" w14:textId="56A7EEBB" w:rsidR="0020485A" w:rsidRPr="00B364CB" w:rsidRDefault="0020485A" w:rsidP="0020485A">
      <w:pPr>
        <w:pStyle w:val="MAWP-Bodytext"/>
      </w:pPr>
      <w:r w:rsidRPr="00B364CB">
        <w:t>WLE</w:t>
      </w:r>
      <w:r w:rsidRPr="00B364CB">
        <w:tab/>
      </w:r>
      <w:r w:rsidRPr="00B364CB">
        <w:tab/>
        <w:t>Wet Low Emissions</w:t>
      </w:r>
    </w:p>
    <w:p w14:paraId="03A40929" w14:textId="6486F9BE" w:rsidR="0020485A" w:rsidRPr="000E0A4F" w:rsidRDefault="0020485A" w:rsidP="000E0A4F">
      <w:pPr>
        <w:pStyle w:val="MAWP-Bodytext"/>
        <w:rPr>
          <w:rStyle w:val="MAWPTitle"/>
          <w:color w:val="000000"/>
          <w:sz w:val="22"/>
          <w:shd w:val="clear" w:color="auto" w:fill="auto"/>
          <w:lang w:val="en-GB"/>
        </w:rPr>
      </w:pPr>
      <w:r w:rsidRPr="00B364CB">
        <w:t>ZEWT</w:t>
      </w:r>
      <w:r w:rsidRPr="00B364CB">
        <w:tab/>
      </w:r>
      <w:r w:rsidRPr="00B364CB">
        <w:tab/>
        <w:t>Zero Emission Waterborne Transport Partnership</w:t>
      </w:r>
    </w:p>
    <w:p w14:paraId="1A73E969" w14:textId="77777777" w:rsidR="00043A24" w:rsidRDefault="00043A24">
      <w:pPr>
        <w:rPr>
          <w:rStyle w:val="MAWPTitle"/>
          <w:b/>
          <w:bCs w:val="0"/>
          <w:lang w:val="en-GB"/>
        </w:rPr>
      </w:pPr>
      <w:r>
        <w:rPr>
          <w:rStyle w:val="MAWPTitle"/>
          <w:lang w:val="en-GB"/>
        </w:rPr>
        <w:br w:type="page"/>
      </w:r>
    </w:p>
    <w:p w14:paraId="1FF6540C" w14:textId="73BA4840" w:rsidR="00E725F8" w:rsidRPr="00B364CB" w:rsidRDefault="00F33E6C" w:rsidP="00341A2E">
      <w:pPr>
        <w:pStyle w:val="Heading11"/>
        <w:keepNext/>
        <w:keepLines/>
        <w:shd w:val="clear" w:color="auto" w:fill="auto"/>
        <w:tabs>
          <w:tab w:val="left" w:pos="845"/>
        </w:tabs>
        <w:spacing w:after="240" w:line="276" w:lineRule="auto"/>
        <w:jc w:val="left"/>
        <w:rPr>
          <w:rStyle w:val="MAWPTitle"/>
          <w:lang w:val="en-GB"/>
        </w:rPr>
      </w:pPr>
      <w:bookmarkStart w:id="3" w:name="_Toc93907304"/>
      <w:r w:rsidRPr="00B364CB">
        <w:rPr>
          <w:rStyle w:val="MAWPTitle"/>
          <w:lang w:val="en-GB"/>
        </w:rPr>
        <w:lastRenderedPageBreak/>
        <w:t>Executive s</w:t>
      </w:r>
      <w:r w:rsidR="00290790" w:rsidRPr="00B364CB">
        <w:rPr>
          <w:rStyle w:val="MAWPTitle"/>
          <w:lang w:val="en-GB"/>
        </w:rPr>
        <w:t>ummary</w:t>
      </w:r>
      <w:bookmarkEnd w:id="1"/>
      <w:bookmarkEnd w:id="2"/>
      <w:bookmarkEnd w:id="3"/>
    </w:p>
    <w:p w14:paraId="422D8C9C" w14:textId="60E89BC2" w:rsidR="006B5FF9" w:rsidRDefault="000F4127" w:rsidP="00485C43">
      <w:pPr>
        <w:pStyle w:val="MAWP-Bodytext"/>
        <w:rPr>
          <w:i/>
          <w:iCs/>
        </w:rPr>
      </w:pPr>
      <w:r w:rsidRPr="00485C43">
        <w:rPr>
          <w:i/>
          <w:iCs/>
        </w:rPr>
        <w:t>This document represents the Strategic Research and Innovation Agenda (SRIA</w:t>
      </w:r>
      <w:r w:rsidRPr="00485C43">
        <w:rPr>
          <w:rStyle w:val="FootnoteReference"/>
          <w:i/>
          <w:iCs/>
        </w:rPr>
        <w:footnoteReference w:id="3"/>
      </w:r>
      <w:r w:rsidRPr="00485C43">
        <w:rPr>
          <w:i/>
          <w:iCs/>
        </w:rPr>
        <w:t>) 2021-2027 of the Clean Hydrogen Joint Undertaking (here</w:t>
      </w:r>
      <w:r w:rsidR="006B5FF9">
        <w:rPr>
          <w:i/>
          <w:iCs/>
        </w:rPr>
        <w:t>after</w:t>
      </w:r>
      <w:r w:rsidRPr="00485C43">
        <w:rPr>
          <w:i/>
          <w:iCs/>
        </w:rPr>
        <w:t xml:space="preserve"> also Clean Hydrogen JU</w:t>
      </w:r>
      <w:r w:rsidRPr="00485C43">
        <w:rPr>
          <w:rStyle w:val="FootnoteReference"/>
          <w:i/>
          <w:iCs/>
        </w:rPr>
        <w:footnoteReference w:id="4"/>
      </w:r>
      <w:r w:rsidRPr="00485C43">
        <w:rPr>
          <w:i/>
          <w:iCs/>
        </w:rPr>
        <w:t xml:space="preserve">). </w:t>
      </w:r>
      <w:r w:rsidR="006B5FF9">
        <w:rPr>
          <w:i/>
          <w:iCs/>
        </w:rPr>
        <w:t>It</w:t>
      </w:r>
      <w:r w:rsidR="006B5FF9" w:rsidRPr="006B5FF9">
        <w:rPr>
          <w:i/>
          <w:iCs/>
        </w:rPr>
        <w:t xml:space="preserve"> </w:t>
      </w:r>
      <w:r w:rsidR="006B5FF9">
        <w:rPr>
          <w:i/>
          <w:iCs/>
        </w:rPr>
        <w:t>covers</w:t>
      </w:r>
      <w:r w:rsidR="006B5FF9" w:rsidRPr="006B5FF9">
        <w:rPr>
          <w:i/>
          <w:iCs/>
        </w:rPr>
        <w:t xml:space="preserve"> </w:t>
      </w:r>
      <w:r w:rsidR="006B5FF9">
        <w:rPr>
          <w:i/>
          <w:iCs/>
        </w:rPr>
        <w:t xml:space="preserve">therefore </w:t>
      </w:r>
      <w:r w:rsidR="006B5FF9" w:rsidRPr="006B5FF9">
        <w:rPr>
          <w:i/>
          <w:iCs/>
        </w:rPr>
        <w:t xml:space="preserve">the duration of Horizon Europe </w:t>
      </w:r>
      <w:r w:rsidR="006B5FF9">
        <w:rPr>
          <w:i/>
          <w:iCs/>
        </w:rPr>
        <w:t>and</w:t>
      </w:r>
      <w:r w:rsidR="006B5FF9" w:rsidRPr="006B5FF9">
        <w:rPr>
          <w:i/>
          <w:iCs/>
        </w:rPr>
        <w:t xml:space="preserve"> identifies the key priorities and the essential technologies and innovations required to achieve the objectives </w:t>
      </w:r>
      <w:r w:rsidR="006B5FF9">
        <w:rPr>
          <w:i/>
          <w:iCs/>
        </w:rPr>
        <w:t>of the joint undertaking</w:t>
      </w:r>
      <w:r w:rsidR="006B5FF9">
        <w:rPr>
          <w:rStyle w:val="FootnoteReference"/>
          <w:i/>
          <w:iCs/>
        </w:rPr>
        <w:footnoteReference w:id="5"/>
      </w:r>
      <w:r w:rsidR="006B5FF9" w:rsidRPr="00485C43">
        <w:rPr>
          <w:i/>
          <w:iCs/>
        </w:rPr>
        <w:t>.</w:t>
      </w:r>
    </w:p>
    <w:p w14:paraId="05AE91C2" w14:textId="64CE4005" w:rsidR="00485C43" w:rsidRPr="00485C43" w:rsidRDefault="000F4127" w:rsidP="00485C43">
      <w:pPr>
        <w:pStyle w:val="MAWP-Bodytext"/>
        <w:rPr>
          <w:b/>
          <w:i/>
          <w:iCs/>
        </w:rPr>
      </w:pPr>
      <w:r w:rsidRPr="00485C43">
        <w:rPr>
          <w:i/>
          <w:iCs/>
        </w:rPr>
        <w:t xml:space="preserve">The Clean Hydrogen JU is the continuation of the successful Fuel Cell and Hydrogen Joint Undertakings (FCH JU and FCH 2 JU), under FP7 and Horizon 2020 (H2020) respectively. </w:t>
      </w:r>
      <w:r w:rsidR="00485C43" w:rsidRPr="00485C43">
        <w:rPr>
          <w:i/>
          <w:iCs/>
        </w:rPr>
        <w:t xml:space="preserve">It is set up in the form of an institutionalised partnership under the Research and Innovation Framework Programme Horizon Europe. </w:t>
      </w:r>
    </w:p>
    <w:p w14:paraId="41ECD924" w14:textId="670CBD55" w:rsidR="006D6B88" w:rsidRDefault="006D6B88" w:rsidP="006D6B88">
      <w:pPr>
        <w:pStyle w:val="MAWP-Bodytext"/>
      </w:pPr>
      <w:r>
        <w:t>The EU remains committed to the 2030 Agenda, by setting and implementing an ambitious policy programme to deliver on sustainability in the EU and beyond. As part of its policy agenda, on 11 December 2019 the European Commission presented the European Green Deal, a new growth strategy for Europe aiming to transform the Union into a modern, resource-efficient and competitive economy. The implementation of the Green Deal would set the EU on a course to become a sustainable climate-neutral and circular economy by 2050. To achieve these ambitious goals, the European Commission adopted the Fit-for-55 package with a set of policy proposals approaching the goal of emission reductions from many different angles, with both targeted and horizontal policy measures. In this set of proposals the role of clean energy technologies and carriers is prominent, becoming in essence the enablers for achieving EU’s ambitious goals.</w:t>
      </w:r>
    </w:p>
    <w:p w14:paraId="365319C3" w14:textId="77777777" w:rsidR="006D6B88" w:rsidRDefault="006D6B88" w:rsidP="006D6B88">
      <w:pPr>
        <w:pStyle w:val="MAWP-Bodytext"/>
      </w:pPr>
      <w:r>
        <w:t xml:space="preserve">In this context and due to its multiple possible uses, hydrogen is expected to play a key role in a future climate-neutral economy, enabling emission-free transport, heating and industrial processes as well as inter-seasonal energy storage. To emphasize in its importance and facilitate the scaling up of hydrogen applications, the Commission adopted in 2020 the EU hydrogen strategy, aiming to accelerate the development of clean hydrogen. To achieve this, it will require among others the improvement of its competitiveness against other energy carriers, research and innovation into breakthrough technologies and an infrastructure network that can bring it to a geographically spread market. </w:t>
      </w:r>
    </w:p>
    <w:p w14:paraId="111FD332" w14:textId="021A4D66" w:rsidR="00DB0722" w:rsidRPr="006D6B88" w:rsidRDefault="006D6B88" w:rsidP="00A03DCB">
      <w:pPr>
        <w:pStyle w:val="MAWP-Bodytext"/>
      </w:pPr>
      <w:r>
        <w:t>Focusing on research and innovation rather than deployment, the Council and the Parliament adopted the Single Basic Act, a regulation establishing the Joint Undertakings under Horizon Europe,</w:t>
      </w:r>
      <w:r>
        <w:rPr>
          <w:vertAlign w:val="superscript"/>
        </w:rPr>
        <w:t xml:space="preserve"> </w:t>
      </w:r>
      <w:r>
        <w:t xml:space="preserve">including the establishment of the Clean Hydrogen Joint Undertaking. The Clean Hydrogen JU will have the leading role in research activities related to hydrogen, collaborating closely with most of the end-use European partnerships on hydrogen applications in the relevant sectors. </w:t>
      </w:r>
    </w:p>
    <w:p w14:paraId="2E11CF20" w14:textId="77777777" w:rsidR="006D6B88" w:rsidRDefault="00A03DCB" w:rsidP="00A03DCB">
      <w:pPr>
        <w:pStyle w:val="MAWP-Bodytext"/>
      </w:pPr>
      <w:r w:rsidRPr="00DA27F7">
        <w:t xml:space="preserve">The Clean Hydrogen JU will contribute to the European climate neutrality goal by producing noticeable, quantifiable results towards the development and scaling up of hydrogen applications. This </w:t>
      </w:r>
      <w:r>
        <w:t>will</w:t>
      </w:r>
      <w:r w:rsidRPr="00DA27F7">
        <w:t xml:space="preserve"> help develop a number of hydrogen technologies, which are currently either not competitive or have a low technology readiness level, but are expected to contribute to the 2030 energy and climate targets and most importantly make possible climate neutrality by 2050.</w:t>
      </w:r>
      <w:r w:rsidR="006D6B88">
        <w:t xml:space="preserve"> </w:t>
      </w:r>
    </w:p>
    <w:p w14:paraId="2599B026" w14:textId="1BCDFF1D" w:rsidR="00A03DCB" w:rsidRPr="00525971" w:rsidRDefault="00A03DCB" w:rsidP="00A03DCB">
      <w:pPr>
        <w:pStyle w:val="MAWP-Bodytext"/>
      </w:pPr>
      <w:r w:rsidRPr="00DA27F7">
        <w:lastRenderedPageBreak/>
        <w:t xml:space="preserve">The </w:t>
      </w:r>
      <w:r w:rsidR="006D6B88">
        <w:t>scope</w:t>
      </w:r>
      <w:r w:rsidRPr="00DA27F7">
        <w:t xml:space="preserve"> of the research and innovation activities of the Clean Hydrogen JU will have a different scope compared to FCH 2 JU, shifting to</w:t>
      </w:r>
      <w:r>
        <w:t xml:space="preserve"> </w:t>
      </w:r>
      <w:r w:rsidRPr="00DA27F7">
        <w:t>areas related primarily to</w:t>
      </w:r>
      <w:r>
        <w:t xml:space="preserve"> </w:t>
      </w:r>
      <w:r w:rsidRPr="00DA27F7">
        <w:t xml:space="preserve">the production of </w:t>
      </w:r>
      <w:r>
        <w:t>clean</w:t>
      </w:r>
      <w:r w:rsidRPr="00DA27F7">
        <w:t xml:space="preserve"> hydrogen, as well as the distribution, storage and end use applications of </w:t>
      </w:r>
      <w:r w:rsidRPr="00064E9B">
        <w:t xml:space="preserve">low carbon hydrogen in hard to abate sectors. They will be guided to a large extent by EU’s Hydrogen Strategy and the policy developments in </w:t>
      </w:r>
      <w:r w:rsidRPr="00525971">
        <w:t>this context, contributing to its implementation.</w:t>
      </w:r>
      <w:r w:rsidR="006D6B88">
        <w:t xml:space="preserve"> </w:t>
      </w:r>
    </w:p>
    <w:p w14:paraId="3B4358D5" w14:textId="77777777" w:rsidR="005E2140" w:rsidRPr="005E2140" w:rsidRDefault="005E2140" w:rsidP="005E2140">
      <w:pPr>
        <w:pStyle w:val="MAWPHeadingStyleLevel4"/>
        <w:rPr>
          <w:b/>
          <w:bCs w:val="0"/>
        </w:rPr>
      </w:pPr>
      <w:bookmarkStart w:id="4" w:name="_Ref93441037"/>
      <w:bookmarkStart w:id="5" w:name="_Toc93612709"/>
      <w:r w:rsidRPr="005E2140">
        <w:rPr>
          <w:b/>
          <w:bCs w:val="0"/>
        </w:rPr>
        <w:t>Planned research and innovation actions</w:t>
      </w:r>
      <w:bookmarkEnd w:id="4"/>
      <w:bookmarkEnd w:id="5"/>
    </w:p>
    <w:p w14:paraId="21B3C95C" w14:textId="0DBB2534" w:rsidR="005E2140" w:rsidRDefault="005E2140" w:rsidP="005E2140">
      <w:pPr>
        <w:pStyle w:val="MAWP-Bodytext"/>
      </w:pPr>
      <w:r>
        <w:t>The key component in the implementation of the Programme is the annual Call for Proposals, covering a number of the research and innovation actions described in the SRIA</w:t>
      </w:r>
      <w:r w:rsidR="00947CDD">
        <w:t>.</w:t>
      </w:r>
      <w:r w:rsidRPr="00C04EB7">
        <w:t xml:space="preserve"> </w:t>
      </w:r>
      <w:r>
        <w:t xml:space="preserve">They </w:t>
      </w:r>
      <w:r w:rsidRPr="00C04EB7">
        <w:t xml:space="preserve">represent a set of prioritised actions, consistent with the objectives of the Clean Hydrogen JU, divided into the Pillars </w:t>
      </w:r>
      <w:r w:rsidR="00947CDD">
        <w:t xml:space="preserve">presented </w:t>
      </w:r>
      <w:r w:rsidRPr="00C04EB7">
        <w:t xml:space="preserve">in </w:t>
      </w:r>
      <w:r w:rsidR="00947CDD">
        <w:t xml:space="preserve">Section </w:t>
      </w:r>
      <w:r w:rsidR="00947CDD">
        <w:fldChar w:fldCharType="begin"/>
      </w:r>
      <w:r w:rsidR="00947CDD">
        <w:instrText xml:space="preserve"> REF _Ref93656253 \r \h </w:instrText>
      </w:r>
      <w:r w:rsidR="00947CDD">
        <w:fldChar w:fldCharType="separate"/>
      </w:r>
      <w:r w:rsidR="00947CDD">
        <w:t>3.1</w:t>
      </w:r>
      <w:r w:rsidR="00947CDD">
        <w:fldChar w:fldCharType="end"/>
      </w:r>
      <w:r w:rsidR="00947CDD">
        <w:t>.</w:t>
      </w:r>
    </w:p>
    <w:p w14:paraId="17962B54" w14:textId="77777777" w:rsidR="005E2140" w:rsidRDefault="005E2140" w:rsidP="005E2140">
      <w:pPr>
        <w:pStyle w:val="MAWP-Bodytext"/>
      </w:pPr>
      <w:r w:rsidRPr="006E6ED4">
        <w:t>The emphasis given to different actions in different pillars reflects the industry and research partners’ assessment of the state of the technological maturity of the applications and their estimated importance to achieve critical objectives of the Clean Hydrogen JU.</w:t>
      </w:r>
    </w:p>
    <w:p w14:paraId="7708F068" w14:textId="77777777" w:rsidR="005E2140" w:rsidRDefault="005E2140" w:rsidP="005E2140">
      <w:pPr>
        <w:pStyle w:val="MAWP-Bodytext"/>
      </w:pPr>
      <w:r>
        <w:t>Below the main scientific priorities and challenges for the different pillars and activities:</w:t>
      </w:r>
    </w:p>
    <w:p w14:paraId="2CFBBD25" w14:textId="5F8EF030" w:rsidR="005E2140" w:rsidRPr="00F36340" w:rsidRDefault="005E2140" w:rsidP="005E2140">
      <w:pPr>
        <w:pStyle w:val="MAWPHeadingStyleLevel4"/>
      </w:pPr>
      <w:r w:rsidRPr="00F36340">
        <w:t xml:space="preserve">Hydrogen production </w:t>
      </w:r>
    </w:p>
    <w:p w14:paraId="57401C81" w14:textId="2C4FB01E" w:rsidR="005E2140" w:rsidRPr="00C04EB7" w:rsidRDefault="00852B0F" w:rsidP="005E2140">
      <w:pPr>
        <w:pStyle w:val="MAWP-Bodytext"/>
      </w:pPr>
      <w:r>
        <w:t>F</w:t>
      </w:r>
      <w:r w:rsidR="005E2140" w:rsidRPr="00C04EB7">
        <w:t xml:space="preserve">urther improvements are required especially in cost reduction and efficiency increase for a variety of renewable hydrogen production routes, the main workhorse being electrolysis, supported by other routes exploiting direct sunlight like thermal dissociation of water using concentrated solar energy or through photocatalysis, biomass/biogas or other biological routes. </w:t>
      </w:r>
    </w:p>
    <w:p w14:paraId="51926B7C" w14:textId="0824333D" w:rsidR="005E2140" w:rsidRPr="00AE2EAB" w:rsidRDefault="005E2140" w:rsidP="005E2140">
      <w:pPr>
        <w:pStyle w:val="MAWP-Bodytext"/>
      </w:pPr>
      <w:r w:rsidRPr="00AE2EAB">
        <w:t xml:space="preserve">Water electrolysis will be the main technology supported, covering high TRL types like Alkaline Electrolysis (AEL), Proton Exchange Membrane Electrolysis (PEMEL), Solid Oxide Electrolysis (SOEL) or less mature types like Anion Exchange Membrane Electrolysis (AEMEL) and Proton Conducting Ceramic Electrolysis (PCCEL). </w:t>
      </w:r>
    </w:p>
    <w:p w14:paraId="79326017" w14:textId="09A15967" w:rsidR="005E2140" w:rsidRPr="00AE2EAB" w:rsidRDefault="005E2140" w:rsidP="005E2140">
      <w:pPr>
        <w:pStyle w:val="MAWPHeadingStyleLevel4"/>
      </w:pPr>
      <w:r w:rsidRPr="00AE2EAB">
        <w:t>Hydrogen storage and distribution</w:t>
      </w:r>
    </w:p>
    <w:p w14:paraId="1C9D4FB7" w14:textId="731C5892" w:rsidR="005E2140" w:rsidRPr="00C04EB7" w:rsidRDefault="005E2140" w:rsidP="005E2140">
      <w:pPr>
        <w:pStyle w:val="MAWP-Bodytext"/>
      </w:pPr>
      <w:r w:rsidRPr="00C04EB7">
        <w:t xml:space="preserve">As explicitly mentioned in the EU Hydrogen Strategy, it is essential that hydrogen becomes an intrinsic part of an integrated energy system. </w:t>
      </w:r>
      <w:r w:rsidR="00680728" w:rsidRPr="00C04EB7">
        <w:t>For</w:t>
      </w:r>
      <w:r w:rsidRPr="00C04EB7">
        <w:t xml:space="preserve"> this to happen, hydrogen will have to be used for daily and/or seasonal storage providing buffering functions</w:t>
      </w:r>
      <w:r w:rsidR="00680728">
        <w:t>,</w:t>
      </w:r>
      <w:r w:rsidRPr="00C04EB7">
        <w:t xml:space="preserve"> thereby enhancing security of supply in the medium term. The strategy also calls for an EU-wide logistical infrastructure that needs to be developed to transport hydrogen from areas with large renewable potential to demand centres across Europe. </w:t>
      </w:r>
    </w:p>
    <w:p w14:paraId="788E1A2C" w14:textId="52FFF5DE" w:rsidR="005E2140" w:rsidRDefault="00680728" w:rsidP="005E2140">
      <w:pPr>
        <w:pStyle w:val="MAWP-Bodytext"/>
      </w:pPr>
      <w:r>
        <w:t>A</w:t>
      </w:r>
      <w:r w:rsidR="005E2140" w:rsidRPr="00C04EB7">
        <w:t xml:space="preserve"> pluralistic approach with respect to the technologies that will be investigated and supported is envisaged, to have a complete set of technologies that can serve as building blocks of the EU-wide logistical infrastructure. </w:t>
      </w:r>
    </w:p>
    <w:p w14:paraId="7E8F1293" w14:textId="0DEF707B" w:rsidR="005E2140" w:rsidRPr="00AE2EAB" w:rsidRDefault="005E2140" w:rsidP="005E2140">
      <w:pPr>
        <w:pStyle w:val="MAWPHeadingStyleLevel4"/>
      </w:pPr>
      <w:r w:rsidRPr="00AE2EAB">
        <w:t>Hydrogen end uses - transport</w:t>
      </w:r>
    </w:p>
    <w:p w14:paraId="2E2FAFFB" w14:textId="77777777" w:rsidR="00680728" w:rsidRDefault="005E2140" w:rsidP="005E2140">
      <w:pPr>
        <w:pStyle w:val="MAWP-Bodytext"/>
      </w:pPr>
      <w:r>
        <w:t>The</w:t>
      </w:r>
      <w:r w:rsidRPr="00524178">
        <w:t xml:space="preserve"> </w:t>
      </w:r>
      <w:r>
        <w:t xml:space="preserve">technology </w:t>
      </w:r>
      <w:r w:rsidRPr="00524178">
        <w:t xml:space="preserve">developments </w:t>
      </w:r>
      <w:r>
        <w:t xml:space="preserve">so far </w:t>
      </w:r>
      <w:r w:rsidRPr="00524178">
        <w:t xml:space="preserve">are not sufficient to meet the ambitious emission reductions in transport. A number of technology routes still need further improvements, especially in the context of reducing costs and increasing durability, in order to make them competitive with incumbent technologies. </w:t>
      </w:r>
    </w:p>
    <w:p w14:paraId="3FAE95D2" w14:textId="767EEF45" w:rsidR="005E2140" w:rsidRDefault="005E2140" w:rsidP="005E2140">
      <w:pPr>
        <w:pStyle w:val="MAWP-Bodytext"/>
      </w:pPr>
      <w:r w:rsidRPr="00524178">
        <w:t xml:space="preserve">It should be also stressed that, especially in the case of hydrogen-based transportation, the competitiveness of hydrogen technologies is dependent on research and innovation breakthroughs, on production volumes of vehicles and components and on the price and availability of hydrogen as a fuel. Therefore, actions aimed at stimulating a broad rollout of FC </w:t>
      </w:r>
      <w:r w:rsidRPr="00524178">
        <w:lastRenderedPageBreak/>
        <w:t xml:space="preserve">vehicles around Europe are equally important to research and innovation actions, in particular for hard to abate sectors, in order to drive the Total Cost of Ownership (TCO) of the FC vehicles down. </w:t>
      </w:r>
    </w:p>
    <w:p w14:paraId="27B67F45" w14:textId="35BACAAB" w:rsidR="005E2140" w:rsidRPr="00524178" w:rsidRDefault="005E2140" w:rsidP="005E2140">
      <w:pPr>
        <w:pStyle w:val="MAWPHeadingStyleLevel4"/>
      </w:pPr>
      <w:bookmarkStart w:id="6" w:name="_Toc86961598"/>
      <w:r w:rsidRPr="00524178">
        <w:t>Hydrogen end uses</w:t>
      </w:r>
      <w:r>
        <w:t xml:space="preserve"> - </w:t>
      </w:r>
      <w:r w:rsidRPr="00524178">
        <w:t>clean heat and power</w:t>
      </w:r>
      <w:bookmarkEnd w:id="6"/>
    </w:p>
    <w:p w14:paraId="0C4D798A" w14:textId="7EAE2804" w:rsidR="005E2140" w:rsidRDefault="005E2140" w:rsidP="005E2140">
      <w:pPr>
        <w:pStyle w:val="MAWP-Bodytext"/>
      </w:pPr>
      <w:r w:rsidRPr="00524178">
        <w:t>Hydrogen offers a unique chance to decarbonise the power generation and heating sectors reliably and independently from weather or seasonal conditions. The overall goal of this pillar is to support European supply chain actors to develop a portfolio of solutions providing clean, renewable and flexible heat and power generation for all end users’ needs and across all system sizes; from domestic systems all the way to large-scale power generation plants. Preferential support will be for solutions running on 100% hydrogen. However, there is still room to support solutions running on a hydrogen mixture in the gas grid (up to 20% within the context of the activities included in this support area) during the transition phase</w:t>
      </w:r>
      <w:r w:rsidRPr="00491549">
        <w:rPr>
          <w:vertAlign w:val="superscript"/>
        </w:rPr>
        <w:footnoteReference w:id="6"/>
      </w:r>
      <w:r w:rsidRPr="00491549">
        <w:rPr>
          <w:vertAlign w:val="superscript"/>
        </w:rPr>
        <w:t>.</w:t>
      </w:r>
      <w:r w:rsidRPr="00524178">
        <w:t xml:space="preserve"> </w:t>
      </w:r>
    </w:p>
    <w:p w14:paraId="0B43E253" w14:textId="59FDCD7F" w:rsidR="005E2140" w:rsidRDefault="005E2140" w:rsidP="005E2140">
      <w:pPr>
        <w:pStyle w:val="MAWPHeadingStyleLevel4"/>
      </w:pPr>
      <w:r w:rsidRPr="009B4719">
        <w:t>Cross-Cutting activities</w:t>
      </w:r>
    </w:p>
    <w:p w14:paraId="464E3A8E" w14:textId="77777777" w:rsidR="005E2140" w:rsidRPr="00FB3355" w:rsidRDefault="005E2140" w:rsidP="005E2140">
      <w:pPr>
        <w:pStyle w:val="MAWP-Bodytext"/>
      </w:pPr>
      <w:r>
        <w:t>M</w:t>
      </w:r>
      <w:r w:rsidRPr="00FB3355">
        <w:t xml:space="preserve">ass-market commercialisation of hydrogen-based technologies presents a number of systemic (or horizontal) challenges that need to be addressed to effectively kick-start a hydrogen ecosystem of significant scale throughout the EU in the coming decade. </w:t>
      </w:r>
    </w:p>
    <w:p w14:paraId="42294076" w14:textId="77777777" w:rsidR="005E2140" w:rsidRPr="00FB3355" w:rsidRDefault="005E2140" w:rsidP="005E2140">
      <w:pPr>
        <w:pStyle w:val="MAWP-Bodytext"/>
      </w:pPr>
      <w:r w:rsidRPr="00FB3355">
        <w:t>Cross-cutting activit</w:t>
      </w:r>
      <w:r>
        <w:t>ies are</w:t>
      </w:r>
      <w:r w:rsidRPr="00FB3355">
        <w:t xml:space="preserve"> structured around three focus areas: (i) Sustainability; (ii) Education and public awareness; and (iii) Safety, pre-normative research and regulations, codes and standards.</w:t>
      </w:r>
    </w:p>
    <w:p w14:paraId="26545F6F" w14:textId="78C176FF" w:rsidR="005E2140" w:rsidRPr="00F116BD" w:rsidRDefault="005E2140" w:rsidP="005E2140">
      <w:pPr>
        <w:pStyle w:val="MAWPHeadingStyleLevel4"/>
      </w:pPr>
      <w:r w:rsidRPr="00F116BD">
        <w:t>Hydrogen Valleys</w:t>
      </w:r>
    </w:p>
    <w:p w14:paraId="0DDDE804" w14:textId="77777777" w:rsidR="005E2140" w:rsidRPr="00F116BD" w:rsidRDefault="005E2140" w:rsidP="005E2140">
      <w:pPr>
        <w:pStyle w:val="MAWP-Bodytext"/>
      </w:pPr>
      <w:r w:rsidRPr="00F116BD">
        <w:t>Since 2014, FCH JU has pursued the concept of hydrogen territories, which have evolved into the most recent concept of Hydrogen Valleys. A Hydrogen Valley is a defined geographical area, city, region or industrial area where several hydrogen applications are combined together and integrated within an FCH ecosystem. The idea is to demonstrate how all the different parts of the use of hydrogen as an energy vector fit together in an integrated system approach. This concept has gained momentum and is now one of the main priorities of industry and the</w:t>
      </w:r>
      <w:r>
        <w:t xml:space="preserve"> European Commission</w:t>
      </w:r>
      <w:r w:rsidRPr="00F116BD">
        <w:t xml:space="preserve"> </w:t>
      </w:r>
      <w:r>
        <w:t>(</w:t>
      </w:r>
      <w:r w:rsidRPr="00F116BD">
        <w:t>EC</w:t>
      </w:r>
      <w:r>
        <w:t>)</w:t>
      </w:r>
      <w:r w:rsidRPr="00F116BD">
        <w:t xml:space="preserve"> for scaling-up hydrogen deployments and creating interconnected hydrogen ecosystems across Europe. </w:t>
      </w:r>
    </w:p>
    <w:p w14:paraId="575D38C4" w14:textId="30FF0A20" w:rsidR="005E2140" w:rsidRDefault="005E2140" w:rsidP="005E2140">
      <w:pPr>
        <w:pStyle w:val="MAWPHeadingStyleLevel4"/>
      </w:pPr>
      <w:r w:rsidRPr="008C5E70">
        <w:t>Hydrogen Supply Chains</w:t>
      </w:r>
    </w:p>
    <w:p w14:paraId="706144CB" w14:textId="210463C6" w:rsidR="005E2140" w:rsidRPr="001C67A0" w:rsidRDefault="005E2140" w:rsidP="005E2140">
      <w:pPr>
        <w:pStyle w:val="MAWP-Bodytext"/>
      </w:pPr>
      <w:r w:rsidRPr="001C67A0">
        <w:t>Hydrogen technologies and systems have been recently identified by the European Commission as an emerging and strategic value chain for Europe.</w:t>
      </w:r>
      <w:r w:rsidRPr="00FA1882">
        <w:rPr>
          <w:vertAlign w:val="superscript"/>
        </w:rPr>
        <w:footnoteReference w:id="7"/>
      </w:r>
      <w:r w:rsidRPr="001C67A0">
        <w:t xml:space="preserve"> </w:t>
      </w:r>
      <w:r w:rsidR="00680728">
        <w:t>A</w:t>
      </w:r>
      <w:r w:rsidRPr="001C67A0">
        <w:t xml:space="preserve"> set of actions </w:t>
      </w:r>
      <w:r w:rsidR="00680728">
        <w:t xml:space="preserve">are foreseen </w:t>
      </w:r>
      <w:r w:rsidRPr="001C67A0">
        <w:t xml:space="preserve">aiming at strengthening the overall supply chain of hydrogen technologies, from processing the raw materials into specialised materials (e.g. electro-catalysts), production of components and sub-system to system integration. The supply chain is complemented by the wider view of the value chain approach vis-à-vis creation of jobs, added value to economy and industry competitiveness. </w:t>
      </w:r>
    </w:p>
    <w:p w14:paraId="5E99239E" w14:textId="43344045" w:rsidR="005E2140" w:rsidRDefault="005E2140" w:rsidP="005E2140">
      <w:pPr>
        <w:pStyle w:val="MAWPHeadingStyleLevel4"/>
      </w:pPr>
      <w:r w:rsidRPr="005A1367">
        <w:t>Strategic Research Challenges</w:t>
      </w:r>
    </w:p>
    <w:p w14:paraId="33F8589D" w14:textId="4E3156C4" w:rsidR="005E2140" w:rsidRPr="0071074F" w:rsidRDefault="005E2140" w:rsidP="005E2140">
      <w:pPr>
        <w:pStyle w:val="MAWP-Bodytext"/>
      </w:pPr>
      <w:r w:rsidRPr="0071074F">
        <w:t xml:space="preserve">To ensure a continuous generation of early stage research knowledge, the above actions will be supplemented by multidisciplinary investigations, gathering expertise at different technology </w:t>
      </w:r>
      <w:r w:rsidRPr="0071074F">
        <w:lastRenderedPageBreak/>
        <w:t>scale (materials, component, cell, stack and system). All the generated knowledge needs also to be combined in such a way to allow further comprehensive interpretations. The proposed approach considers gathering, with a long-term vision and covering the whole Clean Hydrogen JU activities, the needed capabilities and expertise from European Research and Technology Organisations (RTO).</w:t>
      </w:r>
    </w:p>
    <w:p w14:paraId="1EF45E9F" w14:textId="77777777" w:rsidR="005E2140" w:rsidRPr="005E2140" w:rsidRDefault="005E2140" w:rsidP="005E2140">
      <w:pPr>
        <w:pStyle w:val="MAWPHeadingStyleLevel4"/>
        <w:rPr>
          <w:b/>
          <w:bCs w:val="0"/>
        </w:rPr>
      </w:pPr>
      <w:bookmarkStart w:id="7" w:name="_Ref93441362"/>
      <w:bookmarkStart w:id="8" w:name="_Toc93612710"/>
      <w:r w:rsidRPr="005E2140">
        <w:rPr>
          <w:b/>
          <w:bCs w:val="0"/>
        </w:rPr>
        <w:t>Other activities</w:t>
      </w:r>
      <w:bookmarkEnd w:id="7"/>
      <w:bookmarkEnd w:id="8"/>
    </w:p>
    <w:p w14:paraId="3FD64A3C" w14:textId="112E1C66" w:rsidR="005E2140" w:rsidRDefault="005E2140" w:rsidP="005E2140">
      <w:pPr>
        <w:pStyle w:val="MAWP-Bodytext"/>
      </w:pPr>
      <w:r>
        <w:t>Although the financial support to research and innovation actions is the main tool of the JU to achieve its objectives, it is not sufficient. A number of additional activities are necessary to fulfil its objectives</w:t>
      </w:r>
      <w:r w:rsidR="001914E0">
        <w:t>, as follows:</w:t>
      </w:r>
    </w:p>
    <w:p w14:paraId="1AEAA9D4" w14:textId="77777777" w:rsidR="005E2140" w:rsidRDefault="005E2140" w:rsidP="005E2140">
      <w:pPr>
        <w:pStyle w:val="MAWPHeadingStyleLevel4"/>
      </w:pPr>
      <w:r>
        <w:t>Activities related to Synergies</w:t>
      </w:r>
    </w:p>
    <w:p w14:paraId="2B3D1900" w14:textId="4A67CB7C" w:rsidR="005E2140" w:rsidRDefault="005E2140" w:rsidP="005E2140">
      <w:pPr>
        <w:pStyle w:val="MAWP-Bodytext"/>
      </w:pPr>
      <w:r>
        <w:t xml:space="preserve">In line with the SBA, the JU will develop close </w:t>
      </w:r>
      <w:r w:rsidRPr="00C72ED0">
        <w:t>cooperation and ensure coordination with other European partnerships, including by dedicating, where appropriate, a part of the joint undertaking’s budget to joint calls</w:t>
      </w:r>
      <w:r>
        <w:t>.</w:t>
      </w:r>
      <w:r w:rsidR="001914E0">
        <w:t xml:space="preserve"> </w:t>
      </w:r>
      <w:r>
        <w:t>Moreover, it will seek and maximise synergies with and, where appropriate, possibilities for further funding from relevant activities and programmes at Union, national and regional level</w:t>
      </w:r>
      <w:r w:rsidR="001914E0">
        <w:t>.</w:t>
      </w:r>
    </w:p>
    <w:p w14:paraId="61F4EEEA" w14:textId="77777777" w:rsidR="005E2140" w:rsidRDefault="005E2140" w:rsidP="005E2140">
      <w:pPr>
        <w:pStyle w:val="MAWPHeadingStyleLevel4"/>
        <w:rPr>
          <w:rFonts w:eastAsiaTheme="majorEastAsia"/>
          <w:lang w:bidi="ar-SA"/>
        </w:rPr>
      </w:pPr>
      <w:r>
        <w:rPr>
          <w:rFonts w:eastAsiaTheme="majorEastAsia"/>
          <w:lang w:bidi="ar-SA"/>
        </w:rPr>
        <w:t xml:space="preserve">Activities related to </w:t>
      </w:r>
      <w:r w:rsidRPr="006315C3">
        <w:rPr>
          <w:rFonts w:eastAsiaTheme="majorEastAsia"/>
          <w:lang w:bidi="ar-SA"/>
        </w:rPr>
        <w:t xml:space="preserve">Regulations, Codes and Standards </w:t>
      </w:r>
    </w:p>
    <w:p w14:paraId="67283892" w14:textId="24BAA97B" w:rsidR="005E2140" w:rsidRPr="00B364CB" w:rsidRDefault="005E2140" w:rsidP="005E2140">
      <w:pPr>
        <w:pStyle w:val="MAWP-Bodytext"/>
      </w:pPr>
      <w:r w:rsidRPr="00B364CB">
        <w:t xml:space="preserve">The </w:t>
      </w:r>
      <w:r>
        <w:t xml:space="preserve">Clean Hydrogen </w:t>
      </w:r>
      <w:r w:rsidRPr="00B364CB">
        <w:t xml:space="preserve">JU will contribute to supporting the implementation of hydrogen-specific regulatory and enabling frameworks by a strategic and coordinated approach to RCS issues within the Programme, which will mostly be implemented through Pre-Normative Research </w:t>
      </w:r>
      <w:r>
        <w:t xml:space="preserve">(PNR) </w:t>
      </w:r>
      <w:r w:rsidRPr="00B364CB">
        <w:t xml:space="preserve">activities. </w:t>
      </w:r>
      <w:r>
        <w:t xml:space="preserve">Moreover, </w:t>
      </w:r>
      <w:r w:rsidRPr="00B364CB">
        <w:rPr>
          <w:lang w:eastAsia="en-US"/>
        </w:rPr>
        <w:t xml:space="preserve">a RCS </w:t>
      </w:r>
      <w:r>
        <w:rPr>
          <w:lang w:eastAsia="en-US"/>
        </w:rPr>
        <w:t xml:space="preserve">Strategy Coordination (RCS SC) </w:t>
      </w:r>
      <w:r w:rsidRPr="00B364CB">
        <w:rPr>
          <w:lang w:eastAsia="en-US"/>
        </w:rPr>
        <w:t>Task Force will be set up</w:t>
      </w:r>
      <w:r>
        <w:rPr>
          <w:lang w:eastAsia="en-US"/>
        </w:rPr>
        <w:t xml:space="preserve"> to better coordinate these activities. </w:t>
      </w:r>
    </w:p>
    <w:p w14:paraId="0D0F2E01" w14:textId="77777777" w:rsidR="005E2140" w:rsidRDefault="005E2140" w:rsidP="005E2140">
      <w:pPr>
        <w:pStyle w:val="MAWPHeadingStyleLevel4"/>
      </w:pPr>
      <w:r>
        <w:t>Activities related to European Hydrogen Safety</w:t>
      </w:r>
    </w:p>
    <w:p w14:paraId="1A64A499" w14:textId="77777777" w:rsidR="005E2140" w:rsidRDefault="005E2140" w:rsidP="005E2140">
      <w:pPr>
        <w:pStyle w:val="MAWP-Bodytext"/>
      </w:pPr>
      <w:r w:rsidRPr="00B103A2">
        <w:t xml:space="preserve">Independently of the research and innovation actions addressing hydrogen safety issues, </w:t>
      </w:r>
      <w:r>
        <w:t xml:space="preserve">the Clean Hydrogen JU will retain and further reinforce the European Hydrogen Safety Panel (EHSP), aiming to </w:t>
      </w:r>
      <w:r w:rsidRPr="00915B58">
        <w:t>support the development and deployment of inherently safer hydrogen systems and infrastructur</w:t>
      </w:r>
      <w:r>
        <w:t xml:space="preserve">e. </w:t>
      </w:r>
    </w:p>
    <w:p w14:paraId="5CB6476F" w14:textId="77777777" w:rsidR="005E2140" w:rsidRDefault="005E2140" w:rsidP="005E2140">
      <w:pPr>
        <w:pStyle w:val="MAWPHeadingStyleLevel4"/>
      </w:pPr>
      <w:r>
        <w:t>Activities related to Sustainability and Circularity</w:t>
      </w:r>
    </w:p>
    <w:p w14:paraId="30AAAF07" w14:textId="719F8A6C" w:rsidR="005E2140" w:rsidRDefault="00867B48" w:rsidP="005E2140">
      <w:pPr>
        <w:pStyle w:val="MAWP-Bodytext"/>
      </w:pPr>
      <w:r>
        <w:t xml:space="preserve">The </w:t>
      </w:r>
      <w:r w:rsidR="005E2140">
        <w:t xml:space="preserve">Clean Hydrogen JU will set up a </w:t>
      </w:r>
      <w:r>
        <w:t xml:space="preserve">European Hydrogen </w:t>
      </w:r>
      <w:r w:rsidR="005E2140">
        <w:t xml:space="preserve">Sustainability and Circularity Panel </w:t>
      </w:r>
      <w:r w:rsidR="005E2140" w:rsidRPr="0043532C">
        <w:t>(</w:t>
      </w:r>
      <w:r>
        <w:t>EH</w:t>
      </w:r>
      <w:r w:rsidR="005E2140" w:rsidRPr="0043532C">
        <w:t xml:space="preserve">S&amp;CP) </w:t>
      </w:r>
      <w:r w:rsidR="005E2140">
        <w:t xml:space="preserve">at the Programme level which will act as </w:t>
      </w:r>
      <w:r w:rsidR="005E2140" w:rsidRPr="008C0A7F">
        <w:t>a focal point or “advisor” to the Programme</w:t>
      </w:r>
      <w:r w:rsidR="005E2140">
        <w:t xml:space="preserve"> in these matters </w:t>
      </w:r>
      <w:r w:rsidR="005E2140" w:rsidRPr="008C0A7F">
        <w:t>in an independent, coordinated and</w:t>
      </w:r>
      <w:r w:rsidR="005E2140">
        <w:t xml:space="preserve"> </w:t>
      </w:r>
      <w:r w:rsidR="005E2140" w:rsidRPr="008C0A7F">
        <w:t>consolidated way</w:t>
      </w:r>
      <w:r w:rsidR="005E2140">
        <w:t xml:space="preserve">. </w:t>
      </w:r>
    </w:p>
    <w:p w14:paraId="47EA48A3" w14:textId="77777777" w:rsidR="005E2140" w:rsidRPr="00C432A5" w:rsidRDefault="005E2140" w:rsidP="005E2140">
      <w:pPr>
        <w:pStyle w:val="MAWPHeadingStyleLevel4"/>
      </w:pPr>
      <w:r w:rsidRPr="00C432A5">
        <w:t>Activities related to knowledge management</w:t>
      </w:r>
    </w:p>
    <w:p w14:paraId="27A2ADB9" w14:textId="54648900" w:rsidR="005E2140" w:rsidRPr="00053478" w:rsidRDefault="005E2140" w:rsidP="005E2140">
      <w:pPr>
        <w:pStyle w:val="MAWP-Bodytext"/>
      </w:pPr>
      <w:r w:rsidRPr="00053478">
        <w:t>The main goals of the Clean Hydrogen JU knowledge activities will be to support the collection and diffusion of high quality new knowledge and support evidence-based implementation of Union policies</w:t>
      </w:r>
      <w:r w:rsidR="00867B48">
        <w:t xml:space="preserve">, while monitoring </w:t>
      </w:r>
      <w:r w:rsidRPr="00053478">
        <w:t>progress towards the achievement of the objectives of the Clean Hydrogen JU</w:t>
      </w:r>
      <w:r>
        <w:t>.</w:t>
      </w:r>
    </w:p>
    <w:p w14:paraId="48284705" w14:textId="77777777" w:rsidR="005E2140" w:rsidRDefault="005E2140" w:rsidP="005E2140">
      <w:pPr>
        <w:pStyle w:val="MAWPHeadingStyleLevel4"/>
      </w:pPr>
      <w:r>
        <w:t>Activities related to SMEs</w:t>
      </w:r>
    </w:p>
    <w:p w14:paraId="4C39652E" w14:textId="77777777" w:rsidR="005E2140" w:rsidRPr="005E2140" w:rsidRDefault="005E2140" w:rsidP="005E2140">
      <w:pPr>
        <w:pStyle w:val="MAWP-Bodytext"/>
      </w:pPr>
      <w:r w:rsidRPr="005E2140">
        <w:t>The Clean Hydrogen JU will continue to rely on the innovativeness of SMEs. To do this, it will need to deal with two of the largest obstacles that SMEs must overcome, the need to raise financing, especially in the early stages of growth, and to kick-start sales and thereby gain valuable field experience.</w:t>
      </w:r>
    </w:p>
    <w:p w14:paraId="73798203" w14:textId="77777777" w:rsidR="005E2140" w:rsidRDefault="005E2140" w:rsidP="005E2140">
      <w:pPr>
        <w:pStyle w:val="MAWPHeadingStyleLevel4"/>
      </w:pPr>
      <w:r>
        <w:t>Activities related to international cooperation</w:t>
      </w:r>
    </w:p>
    <w:p w14:paraId="177DA44E" w14:textId="77777777" w:rsidR="005E2140" w:rsidRDefault="005E2140" w:rsidP="005E2140">
      <w:pPr>
        <w:pStyle w:val="MAWP-Bodytext"/>
      </w:pPr>
      <w:r>
        <w:lastRenderedPageBreak/>
        <w:t>T</w:t>
      </w:r>
      <w:r w:rsidRPr="007218B6">
        <w:t xml:space="preserve">he Clean Hydrogen JU will build on the actions undertaken by its predecessor and expand them accordingly, in order to support the European Commission in the implementation of its international cooperation agenda in research and innovation. </w:t>
      </w:r>
    </w:p>
    <w:p w14:paraId="216838C1" w14:textId="77777777" w:rsidR="005E2140" w:rsidRDefault="005E2140" w:rsidP="005E2140">
      <w:pPr>
        <w:pStyle w:val="MAWPHeadingStyleLevel4"/>
      </w:pPr>
      <w:r>
        <w:t>Activities related to Communication</w:t>
      </w:r>
    </w:p>
    <w:p w14:paraId="365607A0" w14:textId="77777777" w:rsidR="005E2140" w:rsidRPr="00D20544" w:rsidRDefault="005E2140" w:rsidP="005E2140">
      <w:pPr>
        <w:pStyle w:val="MAWP-Bodytext"/>
      </w:pPr>
      <w:r w:rsidRPr="00D20544">
        <w:t xml:space="preserve">The </w:t>
      </w:r>
      <w:r>
        <w:t>JU</w:t>
      </w:r>
      <w:r w:rsidRPr="00D20544">
        <w:t xml:space="preserve"> will undertake a number of communication activities with the objective to promote the development of the hydrogen technologies sector, build public awareness and acceptance of the hydrogen technologies and ensure communication towards and between stakeholders. </w:t>
      </w:r>
    </w:p>
    <w:p w14:paraId="41FFC8B3" w14:textId="4F387ABF" w:rsidR="00DB0722" w:rsidRPr="005E2140" w:rsidRDefault="00DB0722" w:rsidP="00DB0722">
      <w:pPr>
        <w:pStyle w:val="MAWPHeadingStyleLevel4"/>
        <w:rPr>
          <w:b/>
          <w:bCs w:val="0"/>
        </w:rPr>
      </w:pPr>
      <w:r>
        <w:rPr>
          <w:b/>
          <w:bCs w:val="0"/>
        </w:rPr>
        <w:t>Programme Implementation and Governance</w:t>
      </w:r>
    </w:p>
    <w:p w14:paraId="54636D0D" w14:textId="2CF11CF9" w:rsidR="005E2140" w:rsidRDefault="00DB0722" w:rsidP="00DA1447">
      <w:pPr>
        <w:pStyle w:val="MAWP-Bodytext"/>
      </w:pPr>
      <w:r w:rsidRPr="00B364CB">
        <w:t xml:space="preserve">The budget of the Clean Hydrogen JU shall be formed of contributions from the Union and its members other than the Union – namely Hydrogen Europe and Hydrogen Europe Research.  </w:t>
      </w:r>
      <w:r>
        <w:t>The</w:t>
      </w:r>
      <w:r w:rsidRPr="00637F43">
        <w:t xml:space="preserve"> financial contribution from the </w:t>
      </w:r>
      <w:r w:rsidRPr="00CA0B29">
        <w:t>Union</w:t>
      </w:r>
      <w:r>
        <w:t xml:space="preserve"> </w:t>
      </w:r>
      <w:r w:rsidR="00710BDE">
        <w:t xml:space="preserve">to cover administrative and operational costs of the Clean Hydrogen JU shall be </w:t>
      </w:r>
      <w:r>
        <w:t xml:space="preserve">1 billion euro, with the private members </w:t>
      </w:r>
      <w:r w:rsidR="00710BDE">
        <w:t xml:space="preserve">contributing at least the same amount. </w:t>
      </w:r>
      <w:r w:rsidRPr="00CA0B29">
        <w:t xml:space="preserve">In order to achieve its objectives, the Clean Hydrogen JU shall provide financial support mainly in the form of grants </w:t>
      </w:r>
      <w:r w:rsidR="00710BDE">
        <w:t xml:space="preserve">for research and innovation activities </w:t>
      </w:r>
      <w:r w:rsidRPr="00CA0B29">
        <w:t>to participants</w:t>
      </w:r>
      <w:r w:rsidR="00710BDE">
        <w:t>,</w:t>
      </w:r>
      <w:r w:rsidRPr="00CA0B29">
        <w:t xml:space="preserve"> following open and competitive Calls for proposals. </w:t>
      </w:r>
    </w:p>
    <w:p w14:paraId="7D9CEF07" w14:textId="7729DA2D" w:rsidR="00DA1447" w:rsidRDefault="00710BDE" w:rsidP="00DA1447">
      <w:pPr>
        <w:pStyle w:val="MAWP-Bodytext"/>
      </w:pPr>
      <w:r>
        <w:t xml:space="preserve">In order to manage and implement </w:t>
      </w:r>
      <w:r w:rsidR="00DA1447">
        <w:t>its</w:t>
      </w:r>
      <w:r>
        <w:t xml:space="preserve"> budget, the JU will retain a similar structure to the one of the FCH 2 JU</w:t>
      </w:r>
      <w:r w:rsidR="00DA1447">
        <w:t>. The</w:t>
      </w:r>
      <w:r>
        <w:t xml:space="preserve"> Governing Board</w:t>
      </w:r>
      <w:r w:rsidR="00DA1447">
        <w:t xml:space="preserve"> will be the decision-making body of the JU that decides on the long-term strategic orientation of the partnership, as well as its annual priorities. The Executive Director shall be the chief executive responsible for the day-to-day management of the joint undertaking in accordance with the decisions of the GB and, operating under his responsibility, the Programme Office will execute all the necessary tasks for the implementation of the mandate of the Clean Hydrogen JU. The Member States and associated countries will be represented through the States Representative Group, while the public and private stakeholders active in the field of hydrogen will also be able to provide input on the strategic priorities</w:t>
      </w:r>
      <w:r w:rsidR="00291325">
        <w:t xml:space="preserve"> of the JU via the Stakeholders Group. </w:t>
      </w:r>
      <w:r w:rsidR="00DA1447">
        <w:t xml:space="preserve"> </w:t>
      </w:r>
    </w:p>
    <w:p w14:paraId="7CDCD11E" w14:textId="08A34145" w:rsidR="00206A4C" w:rsidRDefault="00206A4C" w:rsidP="00206A4C">
      <w:pPr>
        <w:pStyle w:val="Bodytext-Bullets"/>
        <w:numPr>
          <w:ilvl w:val="0"/>
          <w:numId w:val="0"/>
        </w:numPr>
      </w:pPr>
      <w:r>
        <w:t xml:space="preserve">The </w:t>
      </w:r>
      <w:r w:rsidRPr="006E5A6B">
        <w:t>Clean Hydrogen JU</w:t>
      </w:r>
      <w:r w:rsidRPr="007F12EE">
        <w:t xml:space="preserve"> </w:t>
      </w:r>
      <w:r w:rsidRPr="006E5A6B">
        <w:t>prepared a Strategy Map</w:t>
      </w:r>
      <w:r w:rsidR="008E15A8">
        <w:rPr>
          <w:rStyle w:val="FootnoteReference"/>
        </w:rPr>
        <w:footnoteReference w:id="8"/>
      </w:r>
      <w:r>
        <w:t xml:space="preserve"> in order to better map its objectives </w:t>
      </w:r>
      <w:r w:rsidR="008E15A8">
        <w:t xml:space="preserve">coming </w:t>
      </w:r>
      <w:r>
        <w:t>from the Single Basic Act and the Horizon Europe Regulation</w:t>
      </w:r>
      <w:r w:rsidR="008E15A8">
        <w:t xml:space="preserve"> and assist in preparing its programme implementation strategy. </w:t>
      </w:r>
      <w:r>
        <w:t>The Strategy Map</w:t>
      </w:r>
      <w:r w:rsidRPr="006E5A6B">
        <w:t xml:space="preserve"> link</w:t>
      </w:r>
      <w:r>
        <w:t>s</w:t>
      </w:r>
      <w:r w:rsidRPr="006E5A6B">
        <w:t xml:space="preserve"> the resources of the </w:t>
      </w:r>
      <w:r>
        <w:t>JU</w:t>
      </w:r>
      <w:r w:rsidRPr="006E5A6B">
        <w:t xml:space="preserve"> and the actions taken (operational objectives / indicators) towards concrete outcomes (specific objectives / indicators) and directly to one (or more) of the general objectives and intended impacts of the Clean Hydrogen JU, which would contribute in turn to one or more high-level objectives of the Union. </w:t>
      </w:r>
    </w:p>
    <w:p w14:paraId="5AEAFE9C" w14:textId="19135347" w:rsidR="00291325" w:rsidRDefault="00291325" w:rsidP="00291325">
      <w:pPr>
        <w:pStyle w:val="MAWP-Bodytext"/>
        <w:rPr>
          <w:color w:val="auto"/>
        </w:rPr>
      </w:pPr>
      <w:r>
        <w:t>To facilitate the tracking of progress towards the objectives</w:t>
      </w:r>
      <w:r>
        <w:rPr>
          <w:color w:val="auto"/>
        </w:rPr>
        <w:t xml:space="preserve">, </w:t>
      </w:r>
      <w:r w:rsidRPr="00B364CB">
        <w:rPr>
          <w:color w:val="auto"/>
        </w:rPr>
        <w:t xml:space="preserve">the </w:t>
      </w:r>
      <w:r>
        <w:t xml:space="preserve">Clean Hydrogen </w:t>
      </w:r>
      <w:r w:rsidRPr="00B364CB">
        <w:rPr>
          <w:color w:val="auto"/>
        </w:rPr>
        <w:t xml:space="preserve">JU </w:t>
      </w:r>
      <w:r w:rsidR="00914CC8">
        <w:rPr>
          <w:color w:val="auto"/>
        </w:rPr>
        <w:t>has</w:t>
      </w:r>
      <w:r>
        <w:rPr>
          <w:color w:val="auto"/>
        </w:rPr>
        <w:t xml:space="preserve"> set up a monitoring framework that will allow it to continuously monitor </w:t>
      </w:r>
      <w:r w:rsidRPr="00B364CB">
        <w:rPr>
          <w:color w:val="auto"/>
        </w:rPr>
        <w:t xml:space="preserve">its management activities and perform periodic reviews of the outputs, results and impacts of its projects, implemented in accordance with the Horizon Europe Regulation. </w:t>
      </w:r>
    </w:p>
    <w:p w14:paraId="5708FA11" w14:textId="77777777" w:rsidR="00361EDF" w:rsidRDefault="00361EDF" w:rsidP="00361EDF">
      <w:pPr>
        <w:pStyle w:val="MAWP-Bodytext"/>
        <w:rPr>
          <w:color w:val="auto"/>
        </w:rPr>
      </w:pPr>
      <w:r>
        <w:rPr>
          <w:color w:val="auto"/>
          <w:lang w:eastAsia="en-US"/>
        </w:rPr>
        <w:t xml:space="preserve">The successful implementation of all the above require a modern and effective administration. For this reason, Clean Hydrogen JU aims for an effective management of human resources in order to optimise the capacity to deliver on the </w:t>
      </w:r>
      <w:r>
        <w:t xml:space="preserve">Clean Hydrogen </w:t>
      </w:r>
      <w:r>
        <w:rPr>
          <w:color w:val="auto"/>
          <w:lang w:eastAsia="en-US"/>
        </w:rPr>
        <w:t xml:space="preserve">JU’s objectives and core business. The </w:t>
      </w:r>
      <w:r>
        <w:t xml:space="preserve">Clean Hydrogen </w:t>
      </w:r>
      <w:r>
        <w:rPr>
          <w:color w:val="auto"/>
          <w:lang w:eastAsia="en-US"/>
        </w:rPr>
        <w:t>JU relies on a performance culture in which staff is motivated and can deliver work of a consistently high quality, adding value.</w:t>
      </w:r>
      <w:r>
        <w:rPr>
          <w:color w:val="auto"/>
        </w:rPr>
        <w:t xml:space="preserve"> The </w:t>
      </w:r>
      <w:r>
        <w:t xml:space="preserve">Clean Hydrogen </w:t>
      </w:r>
      <w:r>
        <w:rPr>
          <w:color w:val="auto"/>
        </w:rPr>
        <w:t xml:space="preserve">JU will ensure its organisational structure and staff allocation is adapted to its needs and priorities, allocating staff efficiently taking into account the talent and potential of staff and workload </w:t>
      </w:r>
      <w:r>
        <w:rPr>
          <w:color w:val="auto"/>
        </w:rPr>
        <w:lastRenderedPageBreak/>
        <w:t>issues.</w:t>
      </w:r>
    </w:p>
    <w:p w14:paraId="0E6C3D8B" w14:textId="4C114AB7" w:rsidR="00361EDF" w:rsidRDefault="00361EDF" w:rsidP="00361EDF">
      <w:pPr>
        <w:pStyle w:val="MAWP-Bodytext"/>
        <w:rPr>
          <w:color w:val="auto"/>
        </w:rPr>
      </w:pPr>
      <w:r>
        <w:rPr>
          <w:color w:val="auto"/>
        </w:rPr>
        <w:t>The above will be complemented by sound financial management and cost-effective controls, which give the necessary guarantees concerning the legality and regularity of underlying transactions. In line with the Commission’s Digital Strategy, the JU continue its transition to the new digital era, on the basis of paperless procedures, improved access and use of data and IT systems permitting the efficient collaboration of staff independent of their location. Finally, the Clean Hydrogen JU will strive to improve its environmental impact in all its actions and will actively promote measures to reduce the related day-to-day impact of the administration and its work.</w:t>
      </w:r>
    </w:p>
    <w:p w14:paraId="156E78F4" w14:textId="77777777" w:rsidR="00914CC8" w:rsidRPr="00B364CB" w:rsidRDefault="00914CC8" w:rsidP="00291325">
      <w:pPr>
        <w:pStyle w:val="MAWP-Bodytext"/>
        <w:rPr>
          <w:color w:val="auto"/>
        </w:rPr>
      </w:pPr>
    </w:p>
    <w:p w14:paraId="13C24EBF" w14:textId="77777777" w:rsidR="00291325" w:rsidRDefault="00291325" w:rsidP="00DA1447">
      <w:pPr>
        <w:pStyle w:val="MAWP-Bodytext"/>
      </w:pPr>
    </w:p>
    <w:p w14:paraId="0E9EF0F8" w14:textId="6B7D91E2" w:rsidR="00DA1447" w:rsidRDefault="00DA1447" w:rsidP="00DA1447">
      <w:pPr>
        <w:pStyle w:val="MAWP-Bodytext"/>
      </w:pPr>
    </w:p>
    <w:p w14:paraId="43D1F007" w14:textId="77777777" w:rsidR="00710BDE" w:rsidRDefault="00710BDE" w:rsidP="000A238B">
      <w:pPr>
        <w:pStyle w:val="MAWP-Bodytext"/>
      </w:pPr>
    </w:p>
    <w:p w14:paraId="25502212" w14:textId="77777777" w:rsidR="00710BDE" w:rsidRPr="00B364CB" w:rsidRDefault="00710BDE" w:rsidP="000A238B">
      <w:pPr>
        <w:pStyle w:val="MAWP-Bodytext"/>
      </w:pPr>
    </w:p>
    <w:p w14:paraId="67E92F1B" w14:textId="6590485C" w:rsidR="000E5107" w:rsidRPr="00B364CB" w:rsidRDefault="000E5107">
      <w:pPr>
        <w:rPr>
          <w:rFonts w:eastAsia="Arial" w:cs="Arial"/>
          <w:szCs w:val="32"/>
        </w:rPr>
      </w:pPr>
      <w:r w:rsidRPr="00B364CB">
        <w:br w:type="page"/>
      </w:r>
    </w:p>
    <w:p w14:paraId="386ADF1A" w14:textId="77777777" w:rsidR="002A6D3E" w:rsidRPr="00B364CB" w:rsidRDefault="002A6D3E" w:rsidP="00C52896">
      <w:pPr>
        <w:pStyle w:val="Heading11"/>
        <w:keepNext/>
        <w:keepLines/>
        <w:numPr>
          <w:ilvl w:val="0"/>
          <w:numId w:val="1"/>
        </w:numPr>
        <w:shd w:val="clear" w:color="auto" w:fill="auto"/>
        <w:tabs>
          <w:tab w:val="left" w:pos="1134"/>
        </w:tabs>
        <w:spacing w:after="240" w:line="276" w:lineRule="auto"/>
        <w:jc w:val="left"/>
        <w:rPr>
          <w:rStyle w:val="MAWPTitle"/>
          <w:lang w:val="en-GB"/>
        </w:rPr>
      </w:pPr>
      <w:bookmarkStart w:id="9" w:name="_Toc52118918"/>
      <w:bookmarkStart w:id="10" w:name="_Toc64640537"/>
      <w:bookmarkStart w:id="11" w:name="_Toc93907305"/>
      <w:r w:rsidRPr="00B364CB">
        <w:rPr>
          <w:rStyle w:val="MAWPTitle"/>
          <w:lang w:val="en-GB"/>
        </w:rPr>
        <w:lastRenderedPageBreak/>
        <w:t>Introduction</w:t>
      </w:r>
      <w:bookmarkEnd w:id="9"/>
      <w:bookmarkEnd w:id="10"/>
      <w:bookmarkEnd w:id="11"/>
    </w:p>
    <w:p w14:paraId="24B87C1A" w14:textId="7C52B1D6" w:rsidR="00F218CD" w:rsidRPr="00B364CB" w:rsidRDefault="00F218CD" w:rsidP="004A1B65">
      <w:pPr>
        <w:pStyle w:val="MAWP-Bodytext"/>
      </w:pPr>
      <w:r w:rsidRPr="00B364CB">
        <w:t xml:space="preserve">This document represents the </w:t>
      </w:r>
      <w:r w:rsidR="00BB3511">
        <w:t>Strategic Research and Innovation Agenda (SRIA</w:t>
      </w:r>
      <w:r w:rsidR="00A03DCB">
        <w:rPr>
          <w:rStyle w:val="FootnoteReference"/>
        </w:rPr>
        <w:footnoteReference w:id="9"/>
      </w:r>
      <w:r w:rsidR="00BB3511">
        <w:t>)</w:t>
      </w:r>
      <w:r w:rsidRPr="00B364CB">
        <w:t xml:space="preserve"> 2021-2027 of the </w:t>
      </w:r>
      <w:r w:rsidR="00405F45" w:rsidRPr="00B364CB">
        <w:t>Clean Hydrogen</w:t>
      </w:r>
      <w:r w:rsidRPr="00B364CB">
        <w:t xml:space="preserve"> Joint Undertaking (</w:t>
      </w:r>
      <w:r w:rsidR="00844744" w:rsidRPr="00B364CB">
        <w:t xml:space="preserve">hereon also </w:t>
      </w:r>
      <w:r w:rsidR="00B649E3">
        <w:t xml:space="preserve">Clean Hydrogen </w:t>
      </w:r>
      <w:r w:rsidRPr="00B364CB">
        <w:t>JU</w:t>
      </w:r>
      <w:r w:rsidR="00833E84">
        <w:rPr>
          <w:rStyle w:val="FootnoteReference"/>
        </w:rPr>
        <w:footnoteReference w:id="10"/>
      </w:r>
      <w:r w:rsidR="0082236F" w:rsidRPr="00B364CB">
        <w:t>)</w:t>
      </w:r>
      <w:r w:rsidR="00B207A6">
        <w:t xml:space="preserve">. The </w:t>
      </w:r>
      <w:r w:rsidR="00703971">
        <w:t xml:space="preserve">overall goal of the Clean Hydrogen JU </w:t>
      </w:r>
      <w:r w:rsidR="00B207A6">
        <w:t>is to</w:t>
      </w:r>
      <w:r w:rsidRPr="00B364CB">
        <w:t xml:space="preserve"> support research and innovation (R&amp;I) activities </w:t>
      </w:r>
      <w:r w:rsidR="00043A24" w:rsidRPr="004B7947">
        <w:rPr>
          <w:noProof/>
          <w:lang w:val="en-IE"/>
        </w:rPr>
        <w:t>in the Union</w:t>
      </w:r>
      <w:r w:rsidR="00043A24">
        <w:t xml:space="preserve"> </w:t>
      </w:r>
      <w:r w:rsidR="00B207A6">
        <w:t xml:space="preserve">in </w:t>
      </w:r>
      <w:r w:rsidR="00B207A6" w:rsidRPr="004B7947">
        <w:rPr>
          <w:noProof/>
          <w:lang w:val="en-IE"/>
        </w:rPr>
        <w:t>clean hydrogen solutions</w:t>
      </w:r>
      <w:r w:rsidR="00B207A6">
        <w:rPr>
          <w:noProof/>
          <w:lang w:val="en-IE"/>
        </w:rPr>
        <w:t xml:space="preserve"> and technologies</w:t>
      </w:r>
      <w:r w:rsidR="00B207A6" w:rsidRPr="004B7947">
        <w:rPr>
          <w:noProof/>
          <w:lang w:val="en-IE"/>
        </w:rPr>
        <w:t xml:space="preserve">, </w:t>
      </w:r>
      <w:r w:rsidRPr="00BF0053">
        <w:t>under EU’s new funding programme for research and innovation</w:t>
      </w:r>
      <w:r w:rsidRPr="00B364CB">
        <w:t>, Horizon Europe</w:t>
      </w:r>
      <w:r w:rsidR="00A5568F">
        <w:t>, established by the Horizon Europe Regulation</w:t>
      </w:r>
      <w:r w:rsidR="002D3B12">
        <w:rPr>
          <w:rStyle w:val="FootnoteReference"/>
        </w:rPr>
        <w:footnoteReference w:id="11"/>
      </w:r>
      <w:r w:rsidR="00B207A6">
        <w:t>, and in synergy with other EU initiatives and programmes</w:t>
      </w:r>
      <w:r w:rsidRPr="00B364CB">
        <w:t xml:space="preserve">. </w:t>
      </w:r>
      <w:r w:rsidR="00F33E68">
        <w:t xml:space="preserve">The Clean Hydrogen </w:t>
      </w:r>
      <w:r w:rsidRPr="00B364CB">
        <w:t xml:space="preserve">JU is the continuation of the successful Fuel Cell and Hydrogen Joint Undertakings (FCH JU and FCH 2 JU), under FP7 and Horizon 2020 </w:t>
      </w:r>
      <w:r w:rsidR="00755AB8" w:rsidRPr="00B364CB">
        <w:t xml:space="preserve">(H2020) </w:t>
      </w:r>
      <w:r w:rsidRPr="00B364CB">
        <w:t xml:space="preserve">respectively. </w:t>
      </w:r>
    </w:p>
    <w:p w14:paraId="547DB4BB" w14:textId="77777777" w:rsidR="00F218CD" w:rsidRPr="00B364CB" w:rsidRDefault="00F218CD" w:rsidP="006802D3">
      <w:pPr>
        <w:pStyle w:val="Subtitle"/>
      </w:pPr>
      <w:bookmarkStart w:id="12" w:name="_Toc52118919"/>
      <w:bookmarkStart w:id="13" w:name="_Toc64640538"/>
      <w:bookmarkStart w:id="14" w:name="_Toc93907306"/>
      <w:r w:rsidRPr="00B364CB">
        <w:t>The European Green Deal and the climate neutrality ambition of Europe</w:t>
      </w:r>
      <w:bookmarkEnd w:id="12"/>
      <w:bookmarkEnd w:id="13"/>
      <w:bookmarkEnd w:id="14"/>
    </w:p>
    <w:p w14:paraId="59107B1E" w14:textId="161C9A6F" w:rsidR="009A38C7" w:rsidRDefault="009A38C7" w:rsidP="009A38C7">
      <w:pPr>
        <w:pStyle w:val="MAWP-Bodytext"/>
        <w:rPr>
          <w:lang w:eastAsia="en-US"/>
        </w:rPr>
      </w:pPr>
      <w:r>
        <w:rPr>
          <w:lang w:eastAsia="en-US"/>
        </w:rPr>
        <w:t>As part of the sustainable development a</w:t>
      </w:r>
      <w:r w:rsidRPr="00827078">
        <w:rPr>
          <w:lang w:eastAsia="en-US"/>
        </w:rPr>
        <w:t>genda,</w:t>
      </w:r>
      <w:r>
        <w:rPr>
          <w:lang w:eastAsia="en-US"/>
        </w:rPr>
        <w:t xml:space="preserve"> </w:t>
      </w:r>
      <w:r w:rsidRPr="00827078">
        <w:rPr>
          <w:lang w:eastAsia="en-US"/>
        </w:rPr>
        <w:t>the "2030 Agenda"</w:t>
      </w:r>
      <w:r w:rsidRPr="004328CC">
        <w:rPr>
          <w:vertAlign w:val="superscript"/>
        </w:rPr>
        <w:footnoteReference w:id="12"/>
      </w:r>
      <w:r w:rsidR="00516716">
        <w:rPr>
          <w:lang w:eastAsia="en-US"/>
        </w:rPr>
        <w:t xml:space="preserve"> as summarised in the 17 Sustainable Development Goals (SDGs)</w:t>
      </w:r>
      <w:r w:rsidR="006146BC" w:rsidRPr="004328CC">
        <w:rPr>
          <w:vertAlign w:val="superscript"/>
        </w:rPr>
        <w:footnoteReference w:id="13"/>
      </w:r>
      <w:r>
        <w:rPr>
          <w:lang w:eastAsia="en-US"/>
        </w:rPr>
        <w:t xml:space="preserve">, </w:t>
      </w:r>
      <w:r w:rsidRPr="00B64EC8">
        <w:rPr>
          <w:lang w:eastAsia="en-US"/>
        </w:rPr>
        <w:t xml:space="preserve">all countries </w:t>
      </w:r>
      <w:r>
        <w:rPr>
          <w:lang w:eastAsia="en-US"/>
        </w:rPr>
        <w:t xml:space="preserve">are committed </w:t>
      </w:r>
      <w:r w:rsidRPr="00B64EC8">
        <w:rPr>
          <w:lang w:eastAsia="en-US"/>
        </w:rPr>
        <w:t xml:space="preserve">to develop strategies </w:t>
      </w:r>
      <w:r w:rsidR="00516716">
        <w:rPr>
          <w:lang w:eastAsia="en-US"/>
        </w:rPr>
        <w:t>to address the global challenge for sustainable development. The aim is to support</w:t>
      </w:r>
      <w:r w:rsidRPr="00B64EC8">
        <w:rPr>
          <w:lang w:eastAsia="en-US"/>
        </w:rPr>
        <w:t xml:space="preserve"> economic growth</w:t>
      </w:r>
      <w:r w:rsidR="00516716">
        <w:rPr>
          <w:lang w:eastAsia="en-US"/>
        </w:rPr>
        <w:t xml:space="preserve">, while addressing in parallel </w:t>
      </w:r>
      <w:r w:rsidRPr="00B64EC8">
        <w:rPr>
          <w:lang w:eastAsia="en-US"/>
        </w:rPr>
        <w:t xml:space="preserve">a range of social needs </w:t>
      </w:r>
      <w:r w:rsidR="00516716">
        <w:rPr>
          <w:lang w:eastAsia="en-US"/>
        </w:rPr>
        <w:t xml:space="preserve">and </w:t>
      </w:r>
      <w:r w:rsidRPr="00B64EC8">
        <w:rPr>
          <w:lang w:eastAsia="en-US"/>
        </w:rPr>
        <w:t xml:space="preserve">tackling climate change and environmental </w:t>
      </w:r>
      <w:r>
        <w:rPr>
          <w:lang w:eastAsia="en-US"/>
        </w:rPr>
        <w:t>sustainability</w:t>
      </w:r>
      <w:r w:rsidRPr="00B64EC8">
        <w:rPr>
          <w:lang w:eastAsia="en-US"/>
        </w:rPr>
        <w:t>.</w:t>
      </w:r>
      <w:r>
        <w:rPr>
          <w:lang w:eastAsia="en-US"/>
        </w:rPr>
        <w:t xml:space="preserve"> </w:t>
      </w:r>
    </w:p>
    <w:p w14:paraId="262454D5" w14:textId="02EC855C" w:rsidR="009A38C7" w:rsidRPr="00B364CB" w:rsidRDefault="009A38C7" w:rsidP="004A1B65">
      <w:pPr>
        <w:pStyle w:val="MAWP-Bodytext"/>
      </w:pPr>
      <w:bookmarkStart w:id="15" w:name="_Hlk93678595"/>
      <w:r>
        <w:rPr>
          <w:lang w:eastAsia="en-US"/>
        </w:rPr>
        <w:t xml:space="preserve">The EU remains committed to the 2030 Agenda, by setting and implementing an ambitious policy programme to deliver on sustainability in the EU and beyond. </w:t>
      </w:r>
      <w:bookmarkStart w:id="16" w:name="_Hlk93678679"/>
      <w:bookmarkEnd w:id="15"/>
      <w:r w:rsidR="00516716">
        <w:rPr>
          <w:lang w:eastAsia="en-US"/>
        </w:rPr>
        <w:t>As part of its policy agenda, o</w:t>
      </w:r>
      <w:r w:rsidR="00F218CD" w:rsidRPr="00B364CB">
        <w:t xml:space="preserve">n 11 December 2019 the European Commission </w:t>
      </w:r>
      <w:r w:rsidR="00755AB8" w:rsidRPr="00B364CB">
        <w:t>(</w:t>
      </w:r>
      <w:r w:rsidR="0024501A" w:rsidRPr="00B364CB">
        <w:t xml:space="preserve">also Commission or </w:t>
      </w:r>
      <w:r w:rsidR="00755AB8" w:rsidRPr="00B364CB">
        <w:t>EC</w:t>
      </w:r>
      <w:r w:rsidR="00516716">
        <w:t xml:space="preserve"> in the text</w:t>
      </w:r>
      <w:r w:rsidR="00755AB8" w:rsidRPr="00B364CB">
        <w:t xml:space="preserve">) </w:t>
      </w:r>
      <w:r w:rsidR="00F218CD" w:rsidRPr="00B364CB">
        <w:t>presented the European Green Deal</w:t>
      </w:r>
      <w:bookmarkStart w:id="17" w:name="_Ref52131615"/>
      <w:r w:rsidR="00F218CD" w:rsidRPr="00B364CB">
        <w:rPr>
          <w:vertAlign w:val="superscript"/>
        </w:rPr>
        <w:footnoteReference w:id="14"/>
      </w:r>
      <w:bookmarkEnd w:id="17"/>
      <w:r w:rsidR="00F218CD" w:rsidRPr="00B364CB">
        <w:t>, a new growth strategy for Europe aiming to transform the Union into a modern, resource-efficient and competitive economy.</w:t>
      </w:r>
      <w:r w:rsidR="00516716">
        <w:t xml:space="preserve"> The implementation of the Green Deal would set the </w:t>
      </w:r>
      <w:r w:rsidRPr="00991CB0">
        <w:rPr>
          <w:lang w:eastAsia="en-US"/>
        </w:rPr>
        <w:t>EU on a course to become a sustainable climate-neutral and circular economy by 2050</w:t>
      </w:r>
      <w:r>
        <w:rPr>
          <w:lang w:eastAsia="en-US"/>
        </w:rPr>
        <w:t>.</w:t>
      </w:r>
    </w:p>
    <w:bookmarkEnd w:id="16"/>
    <w:p w14:paraId="5BE3EEFE" w14:textId="52274E8E" w:rsidR="00F218CD" w:rsidRDefault="00C11E1A" w:rsidP="004A1B65">
      <w:pPr>
        <w:pStyle w:val="MAWP-Bodytext"/>
      </w:pPr>
      <w:r w:rsidRPr="00B364CB">
        <w:t>At</w:t>
      </w:r>
      <w:r w:rsidR="00F218CD" w:rsidRPr="00B364CB">
        <w:t xml:space="preserve"> the core of the European Green Deal lies the need to fight climate change. The Intergovernmental Panel on Climate Change (IPCC) estimated that in order to be on a pathway to limit temperature increase to 1.5 °C by the end of the century, net-zero CO</w:t>
      </w:r>
      <w:r w:rsidR="00F218CD" w:rsidRPr="00B364CB">
        <w:rPr>
          <w:vertAlign w:val="subscript"/>
        </w:rPr>
        <w:t>2</w:t>
      </w:r>
      <w:r w:rsidR="00F218CD" w:rsidRPr="00B364CB">
        <w:t xml:space="preserve"> emissions at global level need to be achieved around 2050 and neutrality for all other greenhouse gases somewhat later in the century. This would require the EU to become climate neutral by 2050</w:t>
      </w:r>
      <w:bookmarkStart w:id="18" w:name="_Ref52131648"/>
      <w:r w:rsidR="00F218CD" w:rsidRPr="00B364CB">
        <w:t>.</w:t>
      </w:r>
      <w:r w:rsidR="00F218CD" w:rsidRPr="00B364CB">
        <w:rPr>
          <w:rStyle w:val="FootnoteReference"/>
        </w:rPr>
        <w:footnoteReference w:id="15"/>
      </w:r>
      <w:bookmarkEnd w:id="18"/>
      <w:r w:rsidR="00F218CD" w:rsidRPr="00B364CB">
        <w:rPr>
          <w:vertAlign w:val="superscript"/>
        </w:rPr>
        <w:t xml:space="preserve"> </w:t>
      </w:r>
      <w:r w:rsidR="00F218CD" w:rsidRPr="00B364CB">
        <w:t xml:space="preserve">Both the European Parliament and the European Council </w:t>
      </w:r>
      <w:r w:rsidR="0024501A" w:rsidRPr="00B364CB">
        <w:t xml:space="preserve">(also referred to as Parliament and Council, respectively) </w:t>
      </w:r>
      <w:r w:rsidR="00F218CD" w:rsidRPr="00B364CB">
        <w:t>have endorsed the long-term EU climate-neutrality objective</w:t>
      </w:r>
      <w:r w:rsidR="0060038A" w:rsidRPr="00B364CB">
        <w:t>.</w:t>
      </w:r>
      <w:r w:rsidR="00844744" w:rsidRPr="00B364CB">
        <w:rPr>
          <w:rStyle w:val="FootnoteReference"/>
        </w:rPr>
        <w:footnoteReference w:id="16"/>
      </w:r>
      <w:r w:rsidR="00844744" w:rsidRPr="00B364CB">
        <w:rPr>
          <w:vertAlign w:val="superscript"/>
        </w:rPr>
        <w:t xml:space="preserve">, </w:t>
      </w:r>
      <w:r w:rsidR="00844744" w:rsidRPr="00B364CB">
        <w:rPr>
          <w:rStyle w:val="FootnoteReference"/>
        </w:rPr>
        <w:footnoteReference w:id="17"/>
      </w:r>
      <w:r w:rsidR="0060038A" w:rsidRPr="00B364CB">
        <w:t xml:space="preserve"> </w:t>
      </w:r>
      <w:r w:rsidR="00F218CD" w:rsidRPr="00B364CB">
        <w:t xml:space="preserve">On 4 March 2020, a European Climate Law was proposed by the </w:t>
      </w:r>
      <w:r w:rsidR="00755AB8" w:rsidRPr="00B364CB">
        <w:t>Commission</w:t>
      </w:r>
      <w:r w:rsidR="00F218CD" w:rsidRPr="00B364CB">
        <w:t>, capturing the climate-neutrality objective in EU law. At the same time, it underlined the need to review the Union’s targets for 2030 and define a trajectory compatible with the climate neutrality objective by 2050. To this end, the Commission adopted on September 2020 the 2030 Climate Target Plan</w:t>
      </w:r>
      <w:bookmarkStart w:id="19" w:name="_Ref52131624"/>
      <w:r w:rsidR="00F218CD" w:rsidRPr="00B364CB">
        <w:t>,</w:t>
      </w:r>
      <w:r w:rsidR="00F218CD" w:rsidRPr="00B364CB">
        <w:rPr>
          <w:rStyle w:val="FootnoteReference"/>
        </w:rPr>
        <w:footnoteReference w:id="18"/>
      </w:r>
      <w:bookmarkEnd w:id="19"/>
      <w:r w:rsidR="00F218CD" w:rsidRPr="00B364CB">
        <w:t xml:space="preserve"> </w:t>
      </w:r>
      <w:r w:rsidR="00F218CD" w:rsidRPr="00B364CB">
        <w:lastRenderedPageBreak/>
        <w:t>proposing the increase of the greenhouse gas emissions reduction ambition for 2030, from 40% to at least 55%, setting Europe on a cost-effective path for climate neutrality by 2050.</w:t>
      </w:r>
    </w:p>
    <w:p w14:paraId="034CD617" w14:textId="77777777" w:rsidR="00752658" w:rsidRDefault="000D79F8" w:rsidP="000D79F8">
      <w:pPr>
        <w:pStyle w:val="MAWP-Bodytext"/>
      </w:pPr>
      <w:r>
        <w:t>On 28 June 2021 the ambitious Commission proposal</w:t>
      </w:r>
      <w:r w:rsidR="00752658">
        <w:t>s</w:t>
      </w:r>
      <w:r>
        <w:t xml:space="preserve"> were adopted at EU level, writing into law the goal</w:t>
      </w:r>
      <w:r w:rsidR="00752658">
        <w:t>s</w:t>
      </w:r>
      <w:r>
        <w:t xml:space="preserve"> set out in the European Green Deal. </w:t>
      </w:r>
      <w:r w:rsidR="00752658">
        <w:t>The first European Climate Law</w:t>
      </w:r>
      <w:r w:rsidR="00752658">
        <w:rPr>
          <w:rStyle w:val="FootnoteReference"/>
        </w:rPr>
        <w:footnoteReference w:id="19"/>
      </w:r>
      <w:r w:rsidR="00752658">
        <w:t xml:space="preserve"> not only sets</w:t>
      </w:r>
      <w:r>
        <w:t xml:space="preserve"> the goal of climate-neutrality and </w:t>
      </w:r>
      <w:r w:rsidR="00752658">
        <w:t>the</w:t>
      </w:r>
      <w:r>
        <w:t xml:space="preserve"> aspirational goal for EU to strive to achieve negative emissions after 2050, </w:t>
      </w:r>
      <w:r w:rsidR="00752658">
        <w:t>but</w:t>
      </w:r>
      <w:r>
        <w:t xml:space="preserve"> also </w:t>
      </w:r>
      <w:r w:rsidR="00752658">
        <w:t xml:space="preserve">includes </w:t>
      </w:r>
      <w:r>
        <w:t xml:space="preserve">a binding EU climate target of a reduction of net greenhouse gas emissions (emissions after deduction of removals) of at least 55% by 2030 compared to 1990. </w:t>
      </w:r>
    </w:p>
    <w:p w14:paraId="575ED1EA" w14:textId="4EACD5D7" w:rsidR="00043A24" w:rsidRDefault="00752658" w:rsidP="000D79F8">
      <w:pPr>
        <w:pStyle w:val="MAWP-Bodytext"/>
      </w:pPr>
      <w:bookmarkStart w:id="20" w:name="_Hlk93678721"/>
      <w:r>
        <w:t>To achieve these ambitious goals,</w:t>
      </w:r>
      <w:r w:rsidR="005F60C5">
        <w:t xml:space="preserve"> </w:t>
      </w:r>
      <w:r w:rsidR="000D79F8">
        <w:t xml:space="preserve">the European Commission adopted </w:t>
      </w:r>
      <w:bookmarkEnd w:id="20"/>
      <w:r w:rsidR="000D79F8">
        <w:t xml:space="preserve">on 14 July 2021 </w:t>
      </w:r>
      <w:r w:rsidR="005F60C5">
        <w:t xml:space="preserve">the ‘Fit for 55’ </w:t>
      </w:r>
      <w:r w:rsidR="000D79F8">
        <w:t>package</w:t>
      </w:r>
      <w:r>
        <w:rPr>
          <w:rStyle w:val="FootnoteReference"/>
        </w:rPr>
        <w:footnoteReference w:id="20"/>
      </w:r>
      <w:r w:rsidR="000D79F8">
        <w:t xml:space="preserve"> of </w:t>
      </w:r>
      <w:r w:rsidR="005F60C5">
        <w:t xml:space="preserve">policy </w:t>
      </w:r>
      <w:r w:rsidR="000D79F8">
        <w:t xml:space="preserve">proposals to make the EU's climate, energy, land use, transport and taxation policies fit for this target. </w:t>
      </w:r>
      <w:r w:rsidR="005F60C5">
        <w:t xml:space="preserve">It is a broad package, containing 13 different proposals </w:t>
      </w:r>
      <w:bookmarkStart w:id="21" w:name="_Hlk93678756"/>
      <w:r w:rsidR="005F60C5">
        <w:t>approaching the goal of emission reductions from many different angles, with both targeted and horizontal policy measures</w:t>
      </w:r>
      <w:bookmarkEnd w:id="21"/>
      <w:r w:rsidR="00043A24">
        <w:t>:</w:t>
      </w:r>
    </w:p>
    <w:p w14:paraId="4E460D40" w14:textId="67074B42" w:rsidR="00043A24" w:rsidRDefault="005F60C5" w:rsidP="002256F6">
      <w:pPr>
        <w:pStyle w:val="MAWP-Bodytext"/>
        <w:numPr>
          <w:ilvl w:val="0"/>
          <w:numId w:val="63"/>
        </w:numPr>
      </w:pPr>
      <w:r>
        <w:t>Increasing renewable energy, energy efficiency and member states’ non-ETS targets</w:t>
      </w:r>
      <w:r w:rsidR="009366FA">
        <w:t>;</w:t>
      </w:r>
    </w:p>
    <w:p w14:paraId="20129236" w14:textId="2B325456" w:rsidR="00043A24" w:rsidRDefault="009366FA" w:rsidP="002256F6">
      <w:pPr>
        <w:pStyle w:val="MAWP-Bodytext"/>
        <w:numPr>
          <w:ilvl w:val="0"/>
          <w:numId w:val="63"/>
        </w:numPr>
      </w:pPr>
      <w:r>
        <w:t>S</w:t>
      </w:r>
      <w:r w:rsidR="005F60C5">
        <w:t>trengthening the EU emission trading system (EU ETS), including creating a new ETS for buildings and road transport</w:t>
      </w:r>
      <w:r w:rsidR="0042606E">
        <w:t xml:space="preserve"> (ETS-2)</w:t>
      </w:r>
      <w:r w:rsidR="00043A24">
        <w:t>;</w:t>
      </w:r>
      <w:r w:rsidR="005F60C5">
        <w:t xml:space="preserve"> </w:t>
      </w:r>
    </w:p>
    <w:p w14:paraId="0926F6B0" w14:textId="77777777" w:rsidR="009366FA" w:rsidRDefault="005F60C5" w:rsidP="002256F6">
      <w:pPr>
        <w:pStyle w:val="MAWP-Bodytext"/>
        <w:numPr>
          <w:ilvl w:val="0"/>
          <w:numId w:val="63"/>
        </w:numPr>
      </w:pPr>
      <w:r>
        <w:t>Restructuring energy taxation in Europe</w:t>
      </w:r>
      <w:r w:rsidR="009366FA">
        <w:t>,</w:t>
      </w:r>
      <w:r>
        <w:t xml:space="preserve"> including the introduction of a carbon border adjustment mechanism</w:t>
      </w:r>
      <w:r w:rsidR="009366FA">
        <w:t>;</w:t>
      </w:r>
    </w:p>
    <w:p w14:paraId="6EAC8329" w14:textId="77777777" w:rsidR="009366FA" w:rsidRDefault="009366FA" w:rsidP="002256F6">
      <w:pPr>
        <w:pStyle w:val="MAWP-Bodytext"/>
        <w:numPr>
          <w:ilvl w:val="0"/>
          <w:numId w:val="63"/>
        </w:numPr>
      </w:pPr>
      <w:r>
        <w:t>R</w:t>
      </w:r>
      <w:r w:rsidR="005F60C5">
        <w:t>evising the CO2 emission standards for new cars</w:t>
      </w:r>
      <w:r>
        <w:t>;</w:t>
      </w:r>
    </w:p>
    <w:p w14:paraId="696D3C3C" w14:textId="77777777" w:rsidR="009366FA" w:rsidRDefault="00B95A82" w:rsidP="002256F6">
      <w:pPr>
        <w:pStyle w:val="MAWP-Bodytext"/>
        <w:numPr>
          <w:ilvl w:val="0"/>
          <w:numId w:val="63"/>
        </w:numPr>
      </w:pPr>
      <w:r>
        <w:t xml:space="preserve">Accelerating </w:t>
      </w:r>
      <w:r w:rsidRPr="00B95A82">
        <w:t xml:space="preserve">the development of </w:t>
      </w:r>
      <w:r>
        <w:t>alternative fuel infrastructure, while at the same time promoting the use of sustainable fuels in Aviation and Maritime</w:t>
      </w:r>
      <w:r w:rsidR="009366FA">
        <w:t>;</w:t>
      </w:r>
    </w:p>
    <w:p w14:paraId="2713523D" w14:textId="1EACBC71" w:rsidR="00752658" w:rsidRDefault="00B95A82" w:rsidP="002256F6">
      <w:pPr>
        <w:pStyle w:val="MAWP-Bodytext"/>
        <w:numPr>
          <w:ilvl w:val="0"/>
          <w:numId w:val="63"/>
        </w:numPr>
      </w:pPr>
      <w:r>
        <w:t>Creating a social climate fund and acknowledging the importance of forests and land use in achieving our climate goals.</w:t>
      </w:r>
    </w:p>
    <w:p w14:paraId="785241D5" w14:textId="762A2367" w:rsidR="000D79F8" w:rsidRDefault="000D79F8" w:rsidP="004A1B65">
      <w:pPr>
        <w:pStyle w:val="MAWP-Bodytext"/>
      </w:pPr>
      <w:bookmarkStart w:id="22" w:name="_Hlk93678767"/>
      <w:r>
        <w:t>In th</w:t>
      </w:r>
      <w:r w:rsidR="009366FA">
        <w:t>is</w:t>
      </w:r>
      <w:r>
        <w:t xml:space="preserve"> set of proposals the role of clean energy technologies and carriers is prominent, </w:t>
      </w:r>
      <w:r w:rsidR="00B95A82">
        <w:t>b</w:t>
      </w:r>
      <w:r w:rsidR="009366FA">
        <w:t>ecoming i</w:t>
      </w:r>
      <w:r w:rsidR="00B95A82">
        <w:t xml:space="preserve">n essence the </w:t>
      </w:r>
      <w:r>
        <w:t>enablers for achieving EU’s ambitious goal</w:t>
      </w:r>
      <w:r w:rsidR="00B95A82">
        <w:t>s</w:t>
      </w:r>
      <w:r>
        <w:t>.</w:t>
      </w:r>
    </w:p>
    <w:bookmarkEnd w:id="22"/>
    <w:p w14:paraId="264EBBF7" w14:textId="0F5007A8" w:rsidR="00EC000C" w:rsidRDefault="002B0B3D" w:rsidP="004A1B65">
      <w:pPr>
        <w:pStyle w:val="MAWP-Bodytext"/>
        <w:rPr>
          <w:sz w:val="23"/>
          <w:szCs w:val="23"/>
        </w:rPr>
      </w:pPr>
      <w:r>
        <w:t>The Fit-for-55 package</w:t>
      </w:r>
      <w:r w:rsidR="00EC000C">
        <w:t xml:space="preserve"> was complemented by a second package in December, </w:t>
      </w:r>
      <w:r>
        <w:t xml:space="preserve">the </w:t>
      </w:r>
      <w:r w:rsidRPr="002B0B3D">
        <w:t>gas markets and hydrogen package</w:t>
      </w:r>
      <w:r>
        <w:t>.</w:t>
      </w:r>
      <w:r>
        <w:rPr>
          <w:rStyle w:val="FootnoteReference"/>
        </w:rPr>
        <w:footnoteReference w:id="21"/>
      </w:r>
      <w:r>
        <w:t xml:space="preserve"> </w:t>
      </w:r>
      <w:r w:rsidR="00EC000C">
        <w:t>The package consists of the Regulation and the Directive on common rules on the internal markets for renewable and natural gases and in hydrogen</w:t>
      </w:r>
      <w:r w:rsidR="00EC000C">
        <w:rPr>
          <w:sz w:val="23"/>
          <w:szCs w:val="23"/>
        </w:rPr>
        <w:t xml:space="preserve">. The main scope of this massive redrafting is to </w:t>
      </w:r>
      <w:r w:rsidR="00EC000C" w:rsidRPr="002B0B3D">
        <w:rPr>
          <w:sz w:val="23"/>
          <w:szCs w:val="23"/>
        </w:rPr>
        <w:t>enable the creation of a European hydrogen market</w:t>
      </w:r>
      <w:r>
        <w:rPr>
          <w:sz w:val="23"/>
          <w:szCs w:val="23"/>
        </w:rPr>
        <w:t>,</w:t>
      </w:r>
      <w:r w:rsidR="00EC000C" w:rsidRPr="002B0B3D">
        <w:rPr>
          <w:sz w:val="23"/>
          <w:szCs w:val="23"/>
        </w:rPr>
        <w:t xml:space="preserve"> which would be fully regulated like the current gas and electricity market from 2030 onwards.</w:t>
      </w:r>
    </w:p>
    <w:p w14:paraId="52546A4D" w14:textId="77777777" w:rsidR="00F218CD" w:rsidRPr="00B364CB" w:rsidRDefault="00F218CD" w:rsidP="006802D3">
      <w:pPr>
        <w:pStyle w:val="MAWPsubtitle2"/>
      </w:pPr>
      <w:bookmarkStart w:id="23" w:name="_Toc52118920"/>
      <w:bookmarkStart w:id="24" w:name="_Toc64640539"/>
      <w:bookmarkStart w:id="25" w:name="_Toc93907307"/>
      <w:r w:rsidRPr="00B364CB">
        <w:t>The role of hydrogen technologies</w:t>
      </w:r>
      <w:bookmarkEnd w:id="23"/>
      <w:bookmarkEnd w:id="24"/>
      <w:bookmarkEnd w:id="25"/>
    </w:p>
    <w:p w14:paraId="0B7EF89F" w14:textId="1E87822B" w:rsidR="00F218CD" w:rsidRPr="00B364CB" w:rsidRDefault="00F218CD" w:rsidP="00317709">
      <w:pPr>
        <w:pStyle w:val="MAWP-Bodytext"/>
      </w:pPr>
      <w:r w:rsidRPr="00B364CB">
        <w:t xml:space="preserve">Fighting climate change will require a deep energy transition. The energy sector – comprising the use of energy for power generation, transportation, heating and manufacturing – is responsible for more than 70% of the global GHG emissions. </w:t>
      </w:r>
      <w:bookmarkStart w:id="26" w:name="_Hlk83892138"/>
      <w:r w:rsidRPr="00B364CB">
        <w:t xml:space="preserve">Achieving climate neutrality would require us to substantially restrict the use of fossil fuels in the energy sector, replacing them with renewable energy sources and other climate neutral or low carbon fuels, </w:t>
      </w:r>
      <w:r w:rsidR="00C11E1A" w:rsidRPr="00B364CB">
        <w:t>as much as</w:t>
      </w:r>
      <w:r w:rsidRPr="00B364CB">
        <w:t xml:space="preserve"> </w:t>
      </w:r>
      <w:r w:rsidRPr="00B364CB">
        <w:lastRenderedPageBreak/>
        <w:t>possible</w:t>
      </w:r>
      <w:bookmarkEnd w:id="26"/>
      <w:r w:rsidRPr="00B364CB">
        <w:t xml:space="preserve">. </w:t>
      </w:r>
    </w:p>
    <w:p w14:paraId="2114ADC7" w14:textId="2425098A" w:rsidR="00F218CD" w:rsidRPr="00B364CB" w:rsidRDefault="00F218CD" w:rsidP="00317709">
      <w:pPr>
        <w:pStyle w:val="MAWP-Bodytext"/>
      </w:pPr>
      <w:r w:rsidRPr="00B364CB">
        <w:t xml:space="preserve">As a direct consequence, the share of EU renewable electricity production </w:t>
      </w:r>
      <w:r w:rsidR="002A4695">
        <w:t>and other</w:t>
      </w:r>
      <w:r w:rsidR="00D142E1">
        <w:t xml:space="preserve"> decarbonised energy carriers </w:t>
      </w:r>
      <w:r w:rsidR="007E19BC">
        <w:t xml:space="preserve">are </w:t>
      </w:r>
      <w:r w:rsidRPr="00B364CB">
        <w:t xml:space="preserve">set to </w:t>
      </w:r>
      <w:r w:rsidR="00B05732">
        <w:t xml:space="preserve">gradually replace </w:t>
      </w:r>
      <w:r w:rsidR="001C58A2">
        <w:t xml:space="preserve">all current </w:t>
      </w:r>
      <w:r w:rsidR="00C633A1">
        <w:t>fossil uses</w:t>
      </w:r>
      <w:r w:rsidR="00C466EA">
        <w:t>.</w:t>
      </w:r>
      <w:r w:rsidRPr="00B364CB">
        <w:t xml:space="preserve"> Such an accomplishment would largely decarbonise electricity from the grid in 2030 and turn it climate neutral by 2050. This would also present a significant opportunity to make the demand sectors of our economy climate neutral (buildings, transport, and industry)</w:t>
      </w:r>
      <w:r w:rsidR="00B816F5">
        <w:t>.</w:t>
      </w:r>
    </w:p>
    <w:p w14:paraId="315B5FBE" w14:textId="4E254D94" w:rsidR="00F218CD" w:rsidRPr="00B364CB" w:rsidRDefault="00F218CD" w:rsidP="00317709">
      <w:pPr>
        <w:pStyle w:val="MAWP-Bodytext"/>
      </w:pPr>
      <w:r w:rsidRPr="00B364CB">
        <w:t>Nevertheless, energy transformation comes together with a number of challenges that need to be addressed. The significant deployment of renewable energy sources in the power sector will require also the deployment of energy storage and smart grid solutions capable to address its variable generation profile. At the same time, although electrification based on today’s technology perspectives seems to be</w:t>
      </w:r>
      <w:r w:rsidR="00405F45" w:rsidRPr="00B364CB">
        <w:t xml:space="preserve"> </w:t>
      </w:r>
      <w:r w:rsidR="0082236F" w:rsidRPr="00B364CB">
        <w:t>seen</w:t>
      </w:r>
      <w:r w:rsidRPr="00B364CB">
        <w:t xml:space="preserve"> </w:t>
      </w:r>
      <w:r w:rsidR="00D36390">
        <w:t>an increasingly</w:t>
      </w:r>
      <w:r w:rsidRPr="00B364CB">
        <w:t xml:space="preserve"> cost-efficient solution for </w:t>
      </w:r>
      <w:r w:rsidR="00CA6E83">
        <w:t>some</w:t>
      </w:r>
      <w:r w:rsidR="00CA6E83" w:rsidRPr="00B364CB">
        <w:t xml:space="preserve"> </w:t>
      </w:r>
      <w:r w:rsidRPr="00B364CB">
        <w:t>sectors, this does not hold true for all</w:t>
      </w:r>
      <w:r w:rsidR="009366FA">
        <w:t xml:space="preserve">. </w:t>
      </w:r>
    </w:p>
    <w:p w14:paraId="1974DB8F" w14:textId="4A2C87CF" w:rsidR="00F218CD" w:rsidRPr="00B364CB" w:rsidRDefault="00F218CD" w:rsidP="00317709">
      <w:pPr>
        <w:pStyle w:val="MAWP-Bodytext"/>
      </w:pPr>
      <w:r w:rsidRPr="00B364CB">
        <w:t xml:space="preserve">Across different examined alternatives complementing electrification, </w:t>
      </w:r>
      <w:r w:rsidR="0060038A" w:rsidRPr="00B364CB">
        <w:t xml:space="preserve">almost </w:t>
      </w:r>
      <w:r w:rsidRPr="00B364CB">
        <w:t>all recent economic analyses indicate that hydrogen is an energy carrier that can play a critical role in filling the gap and addressing these challenges. Hydrogen can be used as a feedstock, a fuel, an energy carrier and an energy storage medium, and thus has many possible applications across industry, transport, power and buildings sectors. Most importantly, when produced sustainably, it does not emit CO</w:t>
      </w:r>
      <w:r w:rsidRPr="00B364CB">
        <w:rPr>
          <w:vertAlign w:val="subscript"/>
        </w:rPr>
        <w:t>2</w:t>
      </w:r>
      <w:r w:rsidRPr="00B364CB">
        <w:t xml:space="preserve"> and does not pollute the air when used. It is therefore an important part of the overall solution to meet the 2050 climate neutrality goal of the European Green Deal.</w:t>
      </w:r>
      <w:r w:rsidR="004A61E4" w:rsidRPr="004A61E4">
        <w:t xml:space="preserve"> </w:t>
      </w:r>
    </w:p>
    <w:p w14:paraId="0A3EED9E" w14:textId="77777777" w:rsidR="005D27AA" w:rsidRDefault="00624F9A" w:rsidP="00317709">
      <w:pPr>
        <w:pStyle w:val="MAWP-Bodytext"/>
      </w:pPr>
      <w:r w:rsidRPr="00B364CB">
        <w:t xml:space="preserve">Complementing </w:t>
      </w:r>
      <w:r w:rsidR="00F218CD" w:rsidRPr="00B364CB">
        <w:t>other storage applications, including hydro pumps and batteries, as well as smart grid applications, it can act as a vector for seasonal storage of renewable energy. At the same time, low-carbon hydrogen</w:t>
      </w:r>
      <w:r w:rsidR="00F218CD" w:rsidRPr="00B364CB">
        <w:rPr>
          <w:rStyle w:val="FootnoteReference"/>
          <w:b/>
          <w:lang w:eastAsia="en-US"/>
        </w:rPr>
        <w:t xml:space="preserve"> </w:t>
      </w:r>
      <w:r w:rsidR="00F218CD" w:rsidRPr="00B364CB">
        <w:t xml:space="preserve">can be used to replace fossil fuels in hard to abate sectors and complement renewable energy sources in the effort to transform our economy. </w:t>
      </w:r>
      <w:r w:rsidR="009366FA">
        <w:t>Furthermore, there is also considerable potential to repurpose the current gas infrastructure to carry and store this hydrogen</w:t>
      </w:r>
      <w:r w:rsidR="005D27AA">
        <w:t xml:space="preserve">, helping </w:t>
      </w:r>
      <w:r w:rsidR="005D27AA" w:rsidRPr="005D27AA">
        <w:t xml:space="preserve">achieve </w:t>
      </w:r>
      <w:r w:rsidR="005D27AA">
        <w:t xml:space="preserve">EU’s </w:t>
      </w:r>
      <w:r w:rsidR="005D27AA" w:rsidRPr="005D27AA">
        <w:t xml:space="preserve">climate goals much faster </w:t>
      </w:r>
      <w:r w:rsidR="005D27AA">
        <w:t xml:space="preserve">and more economically </w:t>
      </w:r>
      <w:r w:rsidR="005D27AA" w:rsidRPr="005D27AA">
        <w:t xml:space="preserve">using existing infrastructure. </w:t>
      </w:r>
    </w:p>
    <w:p w14:paraId="0E2E2744" w14:textId="433F6D10" w:rsidR="000D772B" w:rsidRPr="00B364CB" w:rsidRDefault="005D27AA" w:rsidP="00317709">
      <w:pPr>
        <w:pStyle w:val="MAWP-Bodytext"/>
      </w:pPr>
      <w:r>
        <w:t>I</w:t>
      </w:r>
      <w:r w:rsidR="00F218CD" w:rsidRPr="00B364CB">
        <w:t>n its strategic vision for a climate-neutral EU presented by the European Commission on 28 November 2018, the share of hydrogen in Europe’s energy mix is projected to grow from the current less than 2% to 13-14% by 2050. The projections were confirmed in the recent impact assessment for the 2030 Climate Target Plan</w:t>
      </w:r>
      <w:r w:rsidR="00844744" w:rsidRPr="00B364CB">
        <w:rPr>
          <w:rStyle w:val="FootnoteReference"/>
        </w:rPr>
        <w:footnoteReference w:id="22"/>
      </w:r>
      <w:r w:rsidR="00F218CD" w:rsidRPr="00B364CB">
        <w:t xml:space="preserve">, </w:t>
      </w:r>
      <w:r w:rsidR="005B0F09">
        <w:t xml:space="preserve">as well as the impact assessments supporting the various policy proposals of the ‘Fit for 55’ package, </w:t>
      </w:r>
      <w:r w:rsidR="00F218CD" w:rsidRPr="00B364CB">
        <w:t>where the policy scenarios considered</w:t>
      </w:r>
      <w:r w:rsidR="008D1C1C" w:rsidRPr="00B364CB">
        <w:t xml:space="preserve"> project</w:t>
      </w:r>
      <w:r w:rsidR="00F218CD" w:rsidRPr="00B364CB">
        <w:t xml:space="preserve"> a ramp up of the installed electrolyser capacity between 37-66 GW by 2035, while for 2050 all policy scenarios project the share for hydrogen in final energy consumption </w:t>
      </w:r>
      <w:r w:rsidR="004C4F26" w:rsidRPr="00B364CB">
        <w:t xml:space="preserve">to be at least </w:t>
      </w:r>
      <w:r w:rsidR="00F218CD" w:rsidRPr="00B364CB">
        <w:t>9% across policy scenarios</w:t>
      </w:r>
      <w:r w:rsidR="00844744" w:rsidRPr="00B364CB">
        <w:t>.</w:t>
      </w:r>
      <w:r w:rsidR="001D2317">
        <w:t xml:space="preserve"> The Fit-For-55 package also considers a 50% target (by 2030) for RFNBOs (</w:t>
      </w:r>
      <w:r>
        <w:t>which include renewable</w:t>
      </w:r>
      <w:r w:rsidR="001D2317">
        <w:t xml:space="preserve"> </w:t>
      </w:r>
      <w:r>
        <w:t>h</w:t>
      </w:r>
      <w:r w:rsidR="001D2317">
        <w:t>ydrogen) in industry and a target of at least 2.6% in transport.</w:t>
      </w:r>
      <w:r w:rsidR="00D15E70">
        <w:t xml:space="preserve"> Blending hydrogen with natural gas in the pipelines is facilited in the gas and hydrogen markets package, by allowing </w:t>
      </w:r>
      <w:r w:rsidR="00D15E70" w:rsidRPr="00D15E70">
        <w:t xml:space="preserve">blends of up to 5% hydrogen volume into natural gas flows </w:t>
      </w:r>
      <w:r w:rsidR="00D15E70">
        <w:t xml:space="preserve">to </w:t>
      </w:r>
      <w:r w:rsidR="00D15E70" w:rsidRPr="00D15E70">
        <w:t>be accepted and facilitated at cross-border points from October 202</w:t>
      </w:r>
      <w:r w:rsidR="00D15E70">
        <w:t>5.</w:t>
      </w:r>
      <w:r w:rsidR="00D15E70">
        <w:rPr>
          <w:rStyle w:val="FootnoteReference"/>
        </w:rPr>
        <w:footnoteReference w:id="23"/>
      </w:r>
    </w:p>
    <w:p w14:paraId="323F1016" w14:textId="4B1B0E47" w:rsidR="00F218CD" w:rsidRPr="00B364CB" w:rsidRDefault="00F218CD" w:rsidP="00317709">
      <w:pPr>
        <w:pStyle w:val="MAWP-Bodytext"/>
      </w:pPr>
      <w:bookmarkStart w:id="27" w:name="_Hlk93678948"/>
      <w:r w:rsidRPr="00B364CB">
        <w:t xml:space="preserve">In order for hydrogen to claim this position in the energy mix, it will require among others the improvement of its competitiveness against other energy carriers, research and innovation into </w:t>
      </w:r>
      <w:r w:rsidRPr="00B364CB">
        <w:lastRenderedPageBreak/>
        <w:t xml:space="preserve">breakthrough technologies and an infrastructure network that can bring it to </w:t>
      </w:r>
      <w:r w:rsidR="005D27AA">
        <w:t>a geographically spread</w:t>
      </w:r>
      <w:r w:rsidRPr="00B364CB">
        <w:t xml:space="preserve"> market</w:t>
      </w:r>
      <w:r w:rsidR="00871E54">
        <w:t>.</w:t>
      </w:r>
    </w:p>
    <w:p w14:paraId="3858E054" w14:textId="77777777" w:rsidR="00F218CD" w:rsidRPr="00B364CB" w:rsidRDefault="00F218CD" w:rsidP="006802D3">
      <w:pPr>
        <w:pStyle w:val="MAWPsubtitle2"/>
      </w:pPr>
      <w:bookmarkStart w:id="28" w:name="_Toc52118921"/>
      <w:bookmarkStart w:id="29" w:name="_Toc64640540"/>
      <w:bookmarkStart w:id="30" w:name="_Toc93907308"/>
      <w:bookmarkEnd w:id="27"/>
      <w:r w:rsidRPr="00B364CB">
        <w:t>The EU hydrogen strategy for a climate-neutral Europe</w:t>
      </w:r>
      <w:bookmarkEnd w:id="28"/>
      <w:bookmarkEnd w:id="29"/>
      <w:bookmarkEnd w:id="30"/>
    </w:p>
    <w:p w14:paraId="44A2C32B" w14:textId="77777777" w:rsidR="00F218CD" w:rsidRPr="00B364CB" w:rsidRDefault="00F218CD" w:rsidP="00317709">
      <w:pPr>
        <w:pStyle w:val="MAWP-Bodytext"/>
      </w:pPr>
      <w:r w:rsidRPr="00B364CB">
        <w:t>On 8 July 2020, the Commission adopted the Energy System Integration</w:t>
      </w:r>
      <w:r w:rsidRPr="00B364CB">
        <w:rPr>
          <w:rStyle w:val="FootnoteReference"/>
        </w:rPr>
        <w:footnoteReference w:id="24"/>
      </w:r>
      <w:r w:rsidRPr="00B364CB">
        <w:t xml:space="preserve"> and Hydrogen Strategies</w:t>
      </w:r>
      <w:bookmarkStart w:id="31" w:name="_Ref52131523"/>
      <w:r w:rsidRPr="00B364CB">
        <w:rPr>
          <w:rStyle w:val="FootnoteReference"/>
        </w:rPr>
        <w:footnoteReference w:id="25"/>
      </w:r>
      <w:bookmarkEnd w:id="31"/>
      <w:r w:rsidRPr="00B364CB">
        <w:t xml:space="preserve">. Together they aim to address a vision on how to accelerate the transition towards a more integrated and clean energy system, in support of a climate neutral economy. </w:t>
      </w:r>
    </w:p>
    <w:p w14:paraId="33261B7E" w14:textId="77777777" w:rsidR="00F218CD" w:rsidRPr="00B364CB" w:rsidRDefault="00F218CD" w:rsidP="00317709">
      <w:pPr>
        <w:pStyle w:val="MAWP-Bodytext"/>
      </w:pPr>
      <w:r w:rsidRPr="00B364CB">
        <w:t>The Energy System Integration Strategy addresses the planning and operation of the energy system “as a whole”, across multiple energy carriers, infrastructures, and consumption sectors. The Strategy sets out 38 actions to implement the necessary reforms, including legal, financial and research and development actions. The strategy is built on three complementary and mutually reinforcing elements:</w:t>
      </w:r>
    </w:p>
    <w:p w14:paraId="57F98691" w14:textId="77777777" w:rsidR="00F218CD" w:rsidRPr="00B364CB" w:rsidRDefault="00F218CD" w:rsidP="00317709">
      <w:pPr>
        <w:pStyle w:val="MAWPBodyTextNumbered"/>
      </w:pPr>
      <w:r w:rsidRPr="00B364CB">
        <w:t>A more circular energy system.</w:t>
      </w:r>
    </w:p>
    <w:p w14:paraId="1AAC41B1" w14:textId="77777777" w:rsidR="00F218CD" w:rsidRPr="00B364CB" w:rsidRDefault="00F218CD" w:rsidP="00317709">
      <w:pPr>
        <w:pStyle w:val="MAWPBodyTextNumbered"/>
      </w:pPr>
      <w:r w:rsidRPr="00B364CB">
        <w:t>The use of cleaner electricity produced from renewable sources.</w:t>
      </w:r>
    </w:p>
    <w:p w14:paraId="5D60F50C" w14:textId="77777777" w:rsidR="00F218CD" w:rsidRPr="00B364CB" w:rsidRDefault="00F218CD" w:rsidP="00317709">
      <w:pPr>
        <w:pStyle w:val="MAWPBodyTextNumbered"/>
      </w:pPr>
      <w:r w:rsidRPr="00B364CB">
        <w:t>The promotion of renewable and low-carbon fuels, including hydrogen, for sectors that are hard to decarbonise.</w:t>
      </w:r>
    </w:p>
    <w:p w14:paraId="6BA5ADB7" w14:textId="129EAAAD" w:rsidR="00F218CD" w:rsidRPr="00B364CB" w:rsidRDefault="0082236F" w:rsidP="00317709">
      <w:pPr>
        <w:pStyle w:val="MAWP-Bodytext"/>
      </w:pPr>
      <w:r w:rsidRPr="00B364CB">
        <w:t>Recognising</w:t>
      </w:r>
      <w:r w:rsidR="00F218CD" w:rsidRPr="00B364CB">
        <w:t xml:space="preserve"> the complexity of the hydrogen value chain and the need to act on different areas in order to promote low-carbon hydrogen, the Commission also </w:t>
      </w:r>
      <w:r w:rsidR="004C4F26" w:rsidRPr="00B364CB">
        <w:t xml:space="preserve">adopted </w:t>
      </w:r>
      <w:r w:rsidR="00F218CD" w:rsidRPr="00B364CB">
        <w:t xml:space="preserve">a Hydrogen Strategy, complementing the Energy System Integration Strategy. Its aim is to identify means to unlock the potential of renewable hydrogen, by </w:t>
      </w:r>
      <w:r w:rsidRPr="00B364CB">
        <w:t>decarbonising</w:t>
      </w:r>
      <w:r w:rsidR="00F218CD" w:rsidRPr="00B364CB">
        <w:t xml:space="preserve"> hydrogen production and expanding the use of low-carbon hydrogen in hard to </w:t>
      </w:r>
      <w:r w:rsidRPr="00B364CB">
        <w:t>decarbonise</w:t>
      </w:r>
      <w:r w:rsidR="00F218CD" w:rsidRPr="00B364CB">
        <w:t xml:space="preserve"> sectors, where it can replace fossil fuels.   </w:t>
      </w:r>
    </w:p>
    <w:p w14:paraId="4E0635F3" w14:textId="77777777" w:rsidR="00F218CD" w:rsidRPr="00B364CB" w:rsidRDefault="00F218CD" w:rsidP="00317709">
      <w:pPr>
        <w:pStyle w:val="MAWP-Bodytext"/>
      </w:pPr>
      <w:r w:rsidRPr="00B364CB">
        <w:t>Building on the Commission’s New Industrial Strategy for Europe</w:t>
      </w:r>
      <w:r w:rsidRPr="00B364CB">
        <w:rPr>
          <w:rStyle w:val="FootnoteReference"/>
        </w:rPr>
        <w:footnoteReference w:id="26"/>
      </w:r>
      <w:r w:rsidRPr="00B364CB">
        <w:t xml:space="preserve"> and the Recovery Plan for Europe</w:t>
      </w:r>
      <w:r w:rsidRPr="00B364CB">
        <w:rPr>
          <w:rStyle w:val="FootnoteReference"/>
        </w:rPr>
        <w:footnoteReference w:id="27"/>
      </w:r>
      <w:r w:rsidRPr="00B364CB">
        <w:t xml:space="preserve">, the Strategy sets out a vision of how the EU can turn hydrogen into a viable solution to decarbonise different sectors over time. Most notably, it sets the ambitious goal of installing at least 6 GW of renewable hydrogen electrolysers in the EU by 2024 to produce 1 million tons of hydrogen and 40 GW of renewable hydrogen electrolysers by 2030 to produce 10 million tons of hydrogen. </w:t>
      </w:r>
    </w:p>
    <w:p w14:paraId="5F50777A" w14:textId="0923A2EE" w:rsidR="00F218CD" w:rsidRPr="00B364CB" w:rsidRDefault="00F218CD" w:rsidP="00317709">
      <w:pPr>
        <w:pStyle w:val="MAWP-Bodytext"/>
      </w:pPr>
      <w:r w:rsidRPr="00B364CB">
        <w:t>T</w:t>
      </w:r>
      <w:r w:rsidR="00BA3925">
        <w:t>hrough t</w:t>
      </w:r>
      <w:r w:rsidRPr="00B364CB">
        <w:t xml:space="preserve">he Hydrogen Strategy a first </w:t>
      </w:r>
      <w:r w:rsidR="00BA3925">
        <w:t>attempt</w:t>
      </w:r>
      <w:r w:rsidR="00BA3925" w:rsidRPr="00B364CB">
        <w:t xml:space="preserve"> </w:t>
      </w:r>
      <w:r w:rsidRPr="00B364CB">
        <w:t xml:space="preserve">to </w:t>
      </w:r>
      <w:r w:rsidR="00BA3925">
        <w:t>define</w:t>
      </w:r>
      <w:r w:rsidR="00BA3925" w:rsidRPr="00B364CB">
        <w:t xml:space="preserve"> </w:t>
      </w:r>
      <w:r w:rsidRPr="00B364CB">
        <w:t>the different types of hydrogen</w:t>
      </w:r>
      <w:r w:rsidR="00BA3925">
        <w:t xml:space="preserve"> is made</w:t>
      </w:r>
      <w:r w:rsidRPr="00B364CB">
        <w:t>, based on their means of production.</w:t>
      </w:r>
      <w:r w:rsidRPr="00B364CB">
        <w:rPr>
          <w:vertAlign w:val="superscript"/>
        </w:rPr>
        <w:t xml:space="preserve"> </w:t>
      </w:r>
      <w:r w:rsidRPr="00B364CB">
        <w:t>This document uses to the largest extent the terminology proposed in the Hydrogen Strategy</w:t>
      </w:r>
      <w:r w:rsidR="001E6E4E" w:rsidRPr="00B364CB">
        <w:rPr>
          <w:rStyle w:val="FootnoteReference"/>
        </w:rPr>
        <w:footnoteReference w:id="28"/>
      </w:r>
      <w:r w:rsidRPr="00B364CB">
        <w:t>:</w:t>
      </w:r>
    </w:p>
    <w:p w14:paraId="6417B7AA" w14:textId="77777777" w:rsidR="00317709" w:rsidRPr="00B364CB" w:rsidRDefault="00317709" w:rsidP="002256F6">
      <w:pPr>
        <w:pStyle w:val="MAWP-Bodytext"/>
        <w:numPr>
          <w:ilvl w:val="0"/>
          <w:numId w:val="11"/>
        </w:numPr>
      </w:pPr>
      <w:r w:rsidRPr="00B364CB">
        <w:rPr>
          <w:i/>
        </w:rPr>
        <w:t>Renewable hydrogen</w:t>
      </w:r>
      <w:r w:rsidRPr="00B364CB">
        <w:t xml:space="preserve"> refers to either electricity-based hydrogen produced through the electrolysis of water and with the electricity stemming from renewable sources or through the reforming of biogas or biochemical conversion of biomass.</w:t>
      </w:r>
    </w:p>
    <w:p w14:paraId="2D04791C" w14:textId="77777777" w:rsidR="00F218CD" w:rsidRPr="00B364CB" w:rsidRDefault="00F218CD" w:rsidP="002256F6">
      <w:pPr>
        <w:pStyle w:val="MAWP-Bodytext"/>
        <w:numPr>
          <w:ilvl w:val="0"/>
          <w:numId w:val="11"/>
        </w:numPr>
      </w:pPr>
      <w:r w:rsidRPr="00B364CB">
        <w:rPr>
          <w:i/>
        </w:rPr>
        <w:lastRenderedPageBreak/>
        <w:t>Electricity-based hydrogen</w:t>
      </w:r>
      <w:r w:rsidRPr="00B364CB">
        <w:t xml:space="preserve"> refers to hydrogen produced through electrolysis, regardless of the electricity source.</w:t>
      </w:r>
    </w:p>
    <w:p w14:paraId="62384048" w14:textId="77777777" w:rsidR="00F218CD" w:rsidRPr="00B364CB" w:rsidRDefault="00F218CD" w:rsidP="002256F6">
      <w:pPr>
        <w:pStyle w:val="MAWP-Bodytext"/>
        <w:numPr>
          <w:ilvl w:val="0"/>
          <w:numId w:val="11"/>
        </w:numPr>
      </w:pPr>
      <w:r w:rsidRPr="00B364CB">
        <w:rPr>
          <w:i/>
        </w:rPr>
        <w:t>Fossil-based hydrogen</w:t>
      </w:r>
      <w:r w:rsidRPr="00B364CB">
        <w:t xml:space="preserve"> refers to hydrogen produced through a variety of processes using fossil fuels as feedstock, mainly the reforming of natural gas or the gasification of coal. </w:t>
      </w:r>
    </w:p>
    <w:p w14:paraId="2306F109" w14:textId="77777777" w:rsidR="00F218CD" w:rsidRPr="00B364CB" w:rsidRDefault="00F218CD" w:rsidP="002256F6">
      <w:pPr>
        <w:pStyle w:val="MAWP-Bodytext"/>
        <w:numPr>
          <w:ilvl w:val="0"/>
          <w:numId w:val="11"/>
        </w:numPr>
      </w:pPr>
      <w:r w:rsidRPr="00B364CB">
        <w:rPr>
          <w:i/>
        </w:rPr>
        <w:t>Fossil-based hydrogen with carbon capture</w:t>
      </w:r>
      <w:r w:rsidRPr="00B364CB">
        <w:t xml:space="preserve"> is a subpart of fossil-based hydrogen, but where greenhouse gases emitted as part of the hydrogen production process are captured. </w:t>
      </w:r>
    </w:p>
    <w:p w14:paraId="5C59A8CE" w14:textId="421D26D8" w:rsidR="00F218CD" w:rsidRPr="00B364CB" w:rsidRDefault="00F218CD" w:rsidP="002256F6">
      <w:pPr>
        <w:pStyle w:val="MAWP-Bodytext"/>
        <w:numPr>
          <w:ilvl w:val="0"/>
          <w:numId w:val="11"/>
        </w:numPr>
      </w:pPr>
      <w:r w:rsidRPr="00B364CB">
        <w:rPr>
          <w:i/>
        </w:rPr>
        <w:t>Low-carbon hydrogen</w:t>
      </w:r>
      <w:r w:rsidR="009A394B">
        <w:rPr>
          <w:rStyle w:val="FootnoteReference"/>
          <w:i/>
        </w:rPr>
        <w:footnoteReference w:id="29"/>
      </w:r>
      <w:r w:rsidRPr="00B364CB">
        <w:t xml:space="preserve"> encompasses fossil-based hydrogen with carbon capture and </w:t>
      </w:r>
      <w:r w:rsidR="00E17A65">
        <w:t xml:space="preserve">low-carbon </w:t>
      </w:r>
      <w:r w:rsidRPr="00B364CB">
        <w:t>electricity-based hydrogen.</w:t>
      </w:r>
    </w:p>
    <w:p w14:paraId="76ADCC10" w14:textId="4D57344A" w:rsidR="00F218CD" w:rsidRPr="00B364CB" w:rsidRDefault="00F218CD" w:rsidP="00317709">
      <w:pPr>
        <w:pStyle w:val="MAWP-Bodytext"/>
      </w:pPr>
      <w:r w:rsidRPr="00B364CB">
        <w:t xml:space="preserve">The Hydrogen Strategy identifies as the priority for </w:t>
      </w:r>
      <w:r w:rsidR="004C4F26" w:rsidRPr="00B364CB">
        <w:t xml:space="preserve">the </w:t>
      </w:r>
      <w:r w:rsidRPr="00B364CB">
        <w:t>EU to develop renewable hydrogen, produced using mainly wind</w:t>
      </w:r>
      <w:r w:rsidR="00B62411">
        <w:t>, hydro</w:t>
      </w:r>
      <w:r w:rsidRPr="00B364CB">
        <w:t xml:space="preserve"> and solar energy. This should be the main form of hydrogen in the long-term, towards 2050, supported by the very high shares of renewable electricity. In the mid-term, other forms of low-carbon hydrogen will also be needed, both to support the uptake of hydrogen as energy carrier and feedstock, and to replace most polluting forms of producing hydrogen. </w:t>
      </w:r>
    </w:p>
    <w:p w14:paraId="047A6ADE" w14:textId="77777777" w:rsidR="00F218CD" w:rsidRPr="00B364CB" w:rsidRDefault="00F218CD" w:rsidP="00317709">
      <w:pPr>
        <w:pStyle w:val="MAWP-Bodytext"/>
      </w:pPr>
      <w:r w:rsidRPr="00B364CB">
        <w:t>The Hydrogen Strategy describes a roadmap with three phases of development:</w:t>
      </w:r>
    </w:p>
    <w:p w14:paraId="67626D3C" w14:textId="77777777" w:rsidR="00F218CD" w:rsidRPr="00B364CB" w:rsidRDefault="00F218CD" w:rsidP="00317709">
      <w:pPr>
        <w:pStyle w:val="MAWPHeadingStyleLevel4"/>
      </w:pPr>
      <w:r w:rsidRPr="00B364CB">
        <w:t>1st phase: 2020-2024 (activation)</w:t>
      </w:r>
    </w:p>
    <w:p w14:paraId="4605858A" w14:textId="42BC3867" w:rsidR="00F218CD" w:rsidRPr="00B364CB" w:rsidRDefault="00F218CD" w:rsidP="002256F6">
      <w:pPr>
        <w:pStyle w:val="MAWP-Bodytext"/>
        <w:numPr>
          <w:ilvl w:val="0"/>
          <w:numId w:val="12"/>
        </w:numPr>
      </w:pPr>
      <w:r w:rsidRPr="00B364CB">
        <w:t xml:space="preserve">Install at least 6 GW of renewable hydrogen electrolysers to </w:t>
      </w:r>
      <w:r w:rsidR="0082236F" w:rsidRPr="00B364CB">
        <w:t>decarbonise</w:t>
      </w:r>
      <w:r w:rsidRPr="00B364CB">
        <w:t xml:space="preserve"> existing hydrogen production, producing 1 Mt of renewable hydrogen in the EU;</w:t>
      </w:r>
    </w:p>
    <w:p w14:paraId="5CE0EACE" w14:textId="77777777" w:rsidR="00F218CD" w:rsidRPr="00B364CB" w:rsidRDefault="00F218CD" w:rsidP="002256F6">
      <w:pPr>
        <w:pStyle w:val="MAWP-Bodytext"/>
        <w:numPr>
          <w:ilvl w:val="0"/>
          <w:numId w:val="12"/>
        </w:numPr>
      </w:pPr>
      <w:r w:rsidRPr="00B364CB">
        <w:t>Scaling up of manufacturing of electrolysers;</w:t>
      </w:r>
    </w:p>
    <w:p w14:paraId="3B9CBB5A" w14:textId="77777777" w:rsidR="00F218CD" w:rsidRPr="00B364CB" w:rsidRDefault="00F218CD" w:rsidP="002256F6">
      <w:pPr>
        <w:pStyle w:val="MAWP-Bodytext"/>
        <w:numPr>
          <w:ilvl w:val="0"/>
          <w:numId w:val="12"/>
        </w:numPr>
      </w:pPr>
      <w:r w:rsidRPr="00B364CB">
        <w:t>Planning of transmission and carbon capture infrastructure;</w:t>
      </w:r>
    </w:p>
    <w:p w14:paraId="06CC2F5C" w14:textId="77777777" w:rsidR="00F218CD" w:rsidRPr="00B364CB" w:rsidRDefault="00F218CD" w:rsidP="002256F6">
      <w:pPr>
        <w:pStyle w:val="MAWP-Bodytext"/>
        <w:numPr>
          <w:ilvl w:val="0"/>
          <w:numId w:val="12"/>
        </w:numPr>
      </w:pPr>
      <w:r w:rsidRPr="00B364CB">
        <w:t>Setting up the regulatory and enabling framework for a hydrogen market.</w:t>
      </w:r>
    </w:p>
    <w:p w14:paraId="624190B8" w14:textId="77777777" w:rsidR="00F218CD" w:rsidRPr="00B364CB" w:rsidRDefault="00F218CD" w:rsidP="00317709">
      <w:pPr>
        <w:pStyle w:val="MAWPHeadingStyleLevel4"/>
      </w:pPr>
      <w:r w:rsidRPr="00B364CB">
        <w:t>2</w:t>
      </w:r>
      <w:r w:rsidRPr="00B364CB">
        <w:rPr>
          <w:vertAlign w:val="superscript"/>
        </w:rPr>
        <w:t>nd</w:t>
      </w:r>
      <w:r w:rsidRPr="00B364CB">
        <w:t xml:space="preserve"> phase: 2025-2030 (upscaling)</w:t>
      </w:r>
    </w:p>
    <w:p w14:paraId="0859DACF" w14:textId="77777777" w:rsidR="00F218CD" w:rsidRPr="00B364CB" w:rsidRDefault="00F218CD" w:rsidP="002256F6">
      <w:pPr>
        <w:pStyle w:val="MAWP-Bodytext"/>
        <w:numPr>
          <w:ilvl w:val="0"/>
          <w:numId w:val="13"/>
        </w:numPr>
      </w:pPr>
      <w:r w:rsidRPr="00B364CB">
        <w:t>Install at least 40 GW of renewable hydrogen electrolysers, producing 10 Mt of renewable hydrogen in the EU;</w:t>
      </w:r>
    </w:p>
    <w:p w14:paraId="7A2BE341" w14:textId="77777777" w:rsidR="00F218CD" w:rsidRPr="00B364CB" w:rsidRDefault="00F218CD" w:rsidP="002256F6">
      <w:pPr>
        <w:pStyle w:val="MAWP-Bodytext"/>
        <w:numPr>
          <w:ilvl w:val="0"/>
          <w:numId w:val="13"/>
        </w:numPr>
      </w:pPr>
      <w:r w:rsidRPr="00B364CB">
        <w:t>Increasing cost-competitiveness of renewable hydrogen;</w:t>
      </w:r>
    </w:p>
    <w:p w14:paraId="00BA2D54" w14:textId="5548AC6F" w:rsidR="00F218CD" w:rsidRPr="00B364CB" w:rsidRDefault="00F218CD" w:rsidP="002256F6">
      <w:pPr>
        <w:pStyle w:val="MAWP-Bodytext"/>
        <w:numPr>
          <w:ilvl w:val="0"/>
          <w:numId w:val="13"/>
        </w:numPr>
      </w:pPr>
      <w:r w:rsidRPr="00B364CB">
        <w:t xml:space="preserve">New application for hydrogen, including </w:t>
      </w:r>
      <w:r w:rsidR="00C63845" w:rsidRPr="00B364CB">
        <w:t>steel making</w:t>
      </w:r>
      <w:r w:rsidRPr="00B364CB">
        <w:t>, trucks, rail and maritime transport applications.</w:t>
      </w:r>
    </w:p>
    <w:p w14:paraId="0169949C" w14:textId="77777777" w:rsidR="00F218CD" w:rsidRPr="00B364CB" w:rsidRDefault="00F218CD" w:rsidP="002256F6">
      <w:pPr>
        <w:pStyle w:val="MAWP-Bodytext"/>
        <w:numPr>
          <w:ilvl w:val="0"/>
          <w:numId w:val="13"/>
        </w:numPr>
      </w:pPr>
      <w:r w:rsidRPr="00B364CB">
        <w:t>Electricity-based hydrogen offering flexibility services to the power system;</w:t>
      </w:r>
    </w:p>
    <w:p w14:paraId="4A76D4C7" w14:textId="730A85B8" w:rsidR="00F218CD" w:rsidRPr="00B364CB" w:rsidRDefault="00F218CD" w:rsidP="002256F6">
      <w:pPr>
        <w:pStyle w:val="MAWP-Bodytext"/>
        <w:numPr>
          <w:ilvl w:val="0"/>
          <w:numId w:val="13"/>
        </w:numPr>
      </w:pPr>
      <w:r w:rsidRPr="00B364CB">
        <w:t>Retrofitting of existing fossil-fuel production with carbon capture;</w:t>
      </w:r>
    </w:p>
    <w:p w14:paraId="4BCDACCC" w14:textId="77777777" w:rsidR="00F218CD" w:rsidRPr="00B364CB" w:rsidRDefault="00F218CD" w:rsidP="002256F6">
      <w:pPr>
        <w:pStyle w:val="MAWP-Bodytext"/>
        <w:numPr>
          <w:ilvl w:val="0"/>
          <w:numId w:val="13"/>
        </w:numPr>
      </w:pPr>
      <w:r w:rsidRPr="00B364CB">
        <w:t>Emergence of EU-wide logistical and transportation infrastructure for hydrogen;</w:t>
      </w:r>
    </w:p>
    <w:p w14:paraId="2C6AD8D0" w14:textId="77777777" w:rsidR="00F218CD" w:rsidRPr="00B364CB" w:rsidRDefault="00F218CD" w:rsidP="002256F6">
      <w:pPr>
        <w:pStyle w:val="MAWP-Bodytext"/>
        <w:numPr>
          <w:ilvl w:val="0"/>
          <w:numId w:val="13"/>
        </w:numPr>
      </w:pPr>
      <w:r w:rsidRPr="00B364CB">
        <w:t>Development of Hydrogen Valleys;</w:t>
      </w:r>
    </w:p>
    <w:p w14:paraId="1A0C8113" w14:textId="77777777" w:rsidR="00F218CD" w:rsidRPr="00B364CB" w:rsidRDefault="00F218CD" w:rsidP="002256F6">
      <w:pPr>
        <w:pStyle w:val="MAWP-Bodytext"/>
        <w:numPr>
          <w:ilvl w:val="0"/>
          <w:numId w:val="13"/>
        </w:numPr>
      </w:pPr>
      <w:r w:rsidRPr="00B364CB">
        <w:t>Financial support to stimulate investments;</w:t>
      </w:r>
    </w:p>
    <w:p w14:paraId="6CC083C0" w14:textId="77777777" w:rsidR="00F218CD" w:rsidRPr="00B364CB" w:rsidRDefault="00F218CD" w:rsidP="002256F6">
      <w:pPr>
        <w:pStyle w:val="MAWP-Bodytext"/>
        <w:numPr>
          <w:ilvl w:val="0"/>
          <w:numId w:val="13"/>
        </w:numPr>
      </w:pPr>
      <w:r w:rsidRPr="00B364CB">
        <w:t>Completion of an open and competitive EU hydrogen market.</w:t>
      </w:r>
    </w:p>
    <w:p w14:paraId="308B5264" w14:textId="77777777" w:rsidR="00F218CD" w:rsidRPr="00B364CB" w:rsidRDefault="00F218CD" w:rsidP="00317709">
      <w:pPr>
        <w:pStyle w:val="MAWPHeadingStyleLevel4"/>
      </w:pPr>
      <w:r w:rsidRPr="00B364CB">
        <w:lastRenderedPageBreak/>
        <w:t>3</w:t>
      </w:r>
      <w:r w:rsidRPr="00B364CB">
        <w:rPr>
          <w:vertAlign w:val="superscript"/>
        </w:rPr>
        <w:t>rd</w:t>
      </w:r>
      <w:r w:rsidRPr="00B364CB">
        <w:t xml:space="preserve"> phase: 2031-2050 (market uptake)</w:t>
      </w:r>
    </w:p>
    <w:p w14:paraId="6BE480B2" w14:textId="402CB01A" w:rsidR="00F218CD" w:rsidRPr="00B364CB" w:rsidRDefault="00F218CD" w:rsidP="002256F6">
      <w:pPr>
        <w:pStyle w:val="MAWP-Bodytext"/>
        <w:numPr>
          <w:ilvl w:val="0"/>
          <w:numId w:val="13"/>
        </w:numPr>
      </w:pPr>
      <w:r w:rsidRPr="00B364CB">
        <w:t xml:space="preserve">Low carbon hydrogen technologies reaching maturity, able to be deployed at large scale to reach all hard to </w:t>
      </w:r>
      <w:r w:rsidR="0082236F" w:rsidRPr="00B364CB">
        <w:t>decarbonise</w:t>
      </w:r>
      <w:r w:rsidRPr="00B364CB">
        <w:t xml:space="preserve"> sectors.</w:t>
      </w:r>
    </w:p>
    <w:p w14:paraId="382A199C" w14:textId="77777777" w:rsidR="00F218CD" w:rsidRPr="00B364CB" w:rsidRDefault="00F218CD" w:rsidP="00317709">
      <w:pPr>
        <w:pStyle w:val="MAWP-Bodytext"/>
      </w:pPr>
      <w:r w:rsidRPr="00B364CB">
        <w:t xml:space="preserve">Achieving the above targets will require significant research and innovation efforts, in particular for the second and third phases of the roadmap. </w:t>
      </w:r>
    </w:p>
    <w:p w14:paraId="422553B5" w14:textId="66E82BCD" w:rsidR="00F218CD" w:rsidRPr="00B364CB" w:rsidRDefault="00F218CD" w:rsidP="00317709">
      <w:pPr>
        <w:pStyle w:val="MAWP-Bodytext"/>
      </w:pPr>
      <w:r w:rsidRPr="00B364CB">
        <w:t xml:space="preserve">On the generation side, there is a need to </w:t>
      </w:r>
      <w:r w:rsidR="00F87E6A">
        <w:t xml:space="preserve">optimise and develop </w:t>
      </w:r>
      <w:r w:rsidR="00143191">
        <w:t xml:space="preserve">specific renewable assets </w:t>
      </w:r>
      <w:r w:rsidR="00387B78">
        <w:t xml:space="preserve">for the renewable hydrogen </w:t>
      </w:r>
      <w:r w:rsidR="00252CB3">
        <w:t xml:space="preserve">production and to </w:t>
      </w:r>
      <w:r w:rsidRPr="00B364CB">
        <w:t>upscale electrolysers</w:t>
      </w:r>
      <w:r w:rsidR="00626907">
        <w:t xml:space="preserve"> in order</w:t>
      </w:r>
      <w:r w:rsidR="00BC58C0">
        <w:t xml:space="preserve"> to increase </w:t>
      </w:r>
      <w:r w:rsidR="00A5579C">
        <w:t xml:space="preserve">competitiveness </w:t>
      </w:r>
      <w:r w:rsidR="006164D4">
        <w:t>compared to fossil-based hydrogen</w:t>
      </w:r>
      <w:r w:rsidRPr="00B364CB">
        <w:t xml:space="preserve">, but also develop solutions which are currently at a lower technology readiness level. On the distribution side, further developments are needed in relation to the distribution, storage and dispensing of hydrogen in large volumes and possibly over long distances. Finally, on the demand side, large scale end-use applications need to be further developed, notably in industry and in heavy transport. </w:t>
      </w:r>
    </w:p>
    <w:p w14:paraId="2D091F05" w14:textId="77777777" w:rsidR="00F218CD" w:rsidRPr="00B364CB" w:rsidRDefault="00F218CD" w:rsidP="00317709">
      <w:pPr>
        <w:pStyle w:val="MAWP-Bodytext"/>
      </w:pPr>
      <w:r w:rsidRPr="00B364CB">
        <w:t>Pre-normative research, including the safety dimension, should be tailored to assist deployment plans and enable improved, harmonised standards. Reliable methodologies have to be developed for assessing the environmental impacts of hydrogen technologies and their associated value chains, including their full life-cycle greenhouse gas emissions and sustainability. Coordinated EU research and innovation support is also needed for large-scale high-impact projects across the entire hydrogen value chain.</w:t>
      </w:r>
    </w:p>
    <w:p w14:paraId="51F7DB9B" w14:textId="77777777" w:rsidR="00F218CD" w:rsidRPr="00B364CB" w:rsidRDefault="00F218CD" w:rsidP="00317709">
      <w:pPr>
        <w:pStyle w:val="MAWP-Bodytext"/>
      </w:pPr>
      <w:r w:rsidRPr="00B364CB">
        <w:t>The Commission aims to address these challenges through its coordinated research and innovation support.</w:t>
      </w:r>
    </w:p>
    <w:p w14:paraId="27F0F7A1" w14:textId="77777777" w:rsidR="00881AA7" w:rsidRDefault="00F218CD" w:rsidP="00881AA7">
      <w:pPr>
        <w:pStyle w:val="MAWP-Bodytext"/>
      </w:pPr>
      <w:r w:rsidRPr="00B364CB">
        <w:t>On 11 December 2020</w:t>
      </w:r>
      <w:r w:rsidR="00626907">
        <w:t>,</w:t>
      </w:r>
      <w:r w:rsidRPr="00B364CB">
        <w:t xml:space="preserve"> the Council adopted conclusions on steps to be taken towards creating a hydrogen market for Europe</w:t>
      </w:r>
      <w:r w:rsidR="0060038A" w:rsidRPr="00B364CB">
        <w:t>.</w:t>
      </w:r>
      <w:r w:rsidR="00844744" w:rsidRPr="00B364CB">
        <w:rPr>
          <w:rStyle w:val="FootnoteReference"/>
        </w:rPr>
        <w:footnoteReference w:id="30"/>
      </w:r>
      <w:r w:rsidRPr="00B364CB">
        <w:t xml:space="preserve"> The conclusions gave political guidance to the implementation of the EU Hydrogen Strategy presented by the European Commission on 8 July 2020. In its conclusions, the Council recognised the important role </w:t>
      </w:r>
      <w:r w:rsidR="004C4F26" w:rsidRPr="00B364CB">
        <w:t xml:space="preserve">of </w:t>
      </w:r>
      <w:r w:rsidRPr="00B364CB">
        <w:t>hydrogen, especially from renewable sources, and the need for the hydrogen market to be significantly scaled up</w:t>
      </w:r>
      <w:r w:rsidR="00626907">
        <w:t xml:space="preserve">, asking </w:t>
      </w:r>
      <w:r w:rsidRPr="00B364CB">
        <w:t xml:space="preserve">the Commission to further elaborate and </w:t>
      </w:r>
      <w:r w:rsidR="004C4F26" w:rsidRPr="00B364CB">
        <w:t xml:space="preserve">implement </w:t>
      </w:r>
      <w:r w:rsidRPr="00B364CB">
        <w:t>the EU Hydrogen Strategy. The pathway towards the roadmap’s objectives should use joint programmes, be cost-efficient and prioritise energy efficiency and electrification from renewable sources. The Council also sees the need to develop an ambitious hydrogen roadmap and strategy for climate neutrality in the end-use sectors, which makes use of flexible policies.</w:t>
      </w:r>
      <w:r w:rsidR="00626907">
        <w:t xml:space="preserve"> </w:t>
      </w:r>
    </w:p>
    <w:p w14:paraId="2CB0AC84" w14:textId="41523C6A" w:rsidR="00F218CD" w:rsidRDefault="00626907" w:rsidP="00881AA7">
      <w:pPr>
        <w:pStyle w:val="MAWP-Bodytext"/>
      </w:pPr>
      <w:r>
        <w:t>On 19 May 2021, the European Parliament also adopted a resolution</w:t>
      </w:r>
      <w:r>
        <w:rPr>
          <w:rStyle w:val="FootnoteReference"/>
        </w:rPr>
        <w:footnoteReference w:id="31"/>
      </w:r>
      <w:r>
        <w:t xml:space="preserve"> </w:t>
      </w:r>
      <w:r w:rsidR="00881AA7">
        <w:t>on the European Strategy for Hydrogen. The Member of the Parliament requested for incentives to encourage demand and to create a European hydrogen market and fast deployment of hydrogen infrastructure. They also emphasized the need to phase out fossil-based hydrogen as soon as possible, while certification should be applied to all hydrogen imports, similar to EU-produced hydrogen. Finally, they requested to assess the possibility of repurposing existing gas pipelines for the transport and underground storage of hydrogen.</w:t>
      </w:r>
    </w:p>
    <w:p w14:paraId="6679AF1A" w14:textId="59D8E8C9" w:rsidR="000D772B" w:rsidRDefault="000D772B" w:rsidP="000D772B">
      <w:pPr>
        <w:pStyle w:val="MAWP-Bodytext"/>
      </w:pPr>
      <w:r>
        <w:t xml:space="preserve">As </w:t>
      </w:r>
      <w:r w:rsidR="00C50E41">
        <w:t>the</w:t>
      </w:r>
      <w:r>
        <w:t xml:space="preserve"> first step in the implementation of the EU Hydrogen Strategy, the ‘Fit for 55’ package contains a number of measures aiming to promote the production and use of hydrogen and hydrogen based fuels in the different sectors of the economy. The revised Renewable Energy </w:t>
      </w:r>
      <w:r>
        <w:lastRenderedPageBreak/>
        <w:t>Directive</w:t>
      </w:r>
      <w:r w:rsidR="004E2903">
        <w:rPr>
          <w:rStyle w:val="FootnoteReference"/>
        </w:rPr>
        <w:footnoteReference w:id="32"/>
      </w:r>
      <w:r>
        <w:t xml:space="preserve"> proposes the extension of the EU-wide certification system for renewable fuels to include hydrogen, as well as </w:t>
      </w:r>
      <w:r w:rsidR="004E2903">
        <w:t xml:space="preserve">targets for transport and industry that include renewable hydrogen consumption. </w:t>
      </w:r>
      <w:r w:rsidR="00CB1CDA">
        <w:t>Additional financial incentives for hydrogen are foreseen by the revision of the EU ETS proposal,</w:t>
      </w:r>
      <w:r w:rsidR="0008224C">
        <w:rPr>
          <w:rStyle w:val="FootnoteReference"/>
        </w:rPr>
        <w:footnoteReference w:id="33"/>
      </w:r>
      <w:r w:rsidR="00CB1CDA">
        <w:t xml:space="preserve"> which shall </w:t>
      </w:r>
      <w:r w:rsidR="0008224C">
        <w:t xml:space="preserve">extend to maritime, </w:t>
      </w:r>
      <w:r w:rsidR="004D025B">
        <w:t xml:space="preserve">establish emissions trading for transport and buildings; and </w:t>
      </w:r>
      <w:r w:rsidR="00CB1CDA">
        <w:t xml:space="preserve">include electrolytic hydrogen under </w:t>
      </w:r>
      <w:r w:rsidR="004D025B">
        <w:t>ETS,</w:t>
      </w:r>
      <w:r w:rsidR="00CB1CDA">
        <w:t xml:space="preserve"> thus making low carbon hydrogen eligible for free allowances</w:t>
      </w:r>
      <w:r w:rsidR="004D025B">
        <w:t>. Further incentives shall be given</w:t>
      </w:r>
      <w:r w:rsidR="00CB1CDA">
        <w:t xml:space="preserve"> through the preferential taxes for t</w:t>
      </w:r>
      <w:r w:rsidR="004D025B">
        <w:t xml:space="preserve">he use of low carbon hydrogen, </w:t>
      </w:r>
      <w:r w:rsidR="00CB1CDA">
        <w:t>foreseen in the revision of the Energy Taxation Directive</w:t>
      </w:r>
      <w:r w:rsidR="004D025B">
        <w:t>.</w:t>
      </w:r>
      <w:r w:rsidR="0008224C">
        <w:rPr>
          <w:rStyle w:val="FootnoteReference"/>
        </w:rPr>
        <w:footnoteReference w:id="34"/>
      </w:r>
      <w:r w:rsidR="00CB1CDA">
        <w:t xml:space="preserve"> </w:t>
      </w:r>
      <w:r w:rsidR="00C50E41">
        <w:t xml:space="preserve">Hydrogen is promoted specifically in the transport sector by </w:t>
      </w:r>
      <w:r w:rsidR="0083272E">
        <w:t>three additional</w:t>
      </w:r>
      <w:r w:rsidR="00C50E41">
        <w:t xml:space="preserve"> targeted proposals</w:t>
      </w:r>
      <w:r w:rsidR="0083272E">
        <w:t xml:space="preserve">: </w:t>
      </w:r>
      <w:r w:rsidR="00C50E41">
        <w:t xml:space="preserve">the </w:t>
      </w:r>
      <w:r w:rsidR="0083272E">
        <w:t xml:space="preserve">more stringent </w:t>
      </w:r>
      <w:r w:rsidR="00C50E41">
        <w:t>CO</w:t>
      </w:r>
      <w:r w:rsidR="00C50E41">
        <w:rPr>
          <w:vertAlign w:val="subscript"/>
        </w:rPr>
        <w:t>2</w:t>
      </w:r>
      <w:r w:rsidR="00C50E41">
        <w:t xml:space="preserve"> standards for Cars and Vans</w:t>
      </w:r>
      <w:r w:rsidR="004D025B">
        <w:t>;</w:t>
      </w:r>
      <w:r w:rsidR="0083272E">
        <w:rPr>
          <w:rStyle w:val="FootnoteReference"/>
        </w:rPr>
        <w:footnoteReference w:id="35"/>
      </w:r>
      <w:r w:rsidR="00C50E41">
        <w:t xml:space="preserve"> the revision of the Alternative Fuel Infrastructure Regulation</w:t>
      </w:r>
      <w:r w:rsidR="0083272E">
        <w:rPr>
          <w:rStyle w:val="FootnoteReference"/>
        </w:rPr>
        <w:footnoteReference w:id="36"/>
      </w:r>
      <w:r w:rsidR="0083272E">
        <w:t>, requiring one hydrogen refuelling station available every 150 km along the TEN-T core network and in every urban nodes by 2030</w:t>
      </w:r>
      <w:r w:rsidR="004D025B">
        <w:t>;</w:t>
      </w:r>
      <w:r w:rsidR="00C50E41">
        <w:t xml:space="preserve"> and the </w:t>
      </w:r>
      <w:r w:rsidR="0083272E">
        <w:t>FuelEU Maritime proposal</w:t>
      </w:r>
      <w:r w:rsidR="0083272E">
        <w:rPr>
          <w:rStyle w:val="FootnoteReference"/>
        </w:rPr>
        <w:footnoteReference w:id="37"/>
      </w:r>
      <w:r w:rsidR="0083272E">
        <w:t xml:space="preserve"> promoting strongly low carbon hydrogen and hydrogen-based fuels (including methanol and ammonia).</w:t>
      </w:r>
    </w:p>
    <w:p w14:paraId="7F2C9255" w14:textId="4540E1D7" w:rsidR="00AB0FCA" w:rsidRDefault="00AB0FCA" w:rsidP="00AB0FCA">
      <w:pPr>
        <w:pStyle w:val="MAWP-Bodytext"/>
      </w:pPr>
      <w:r w:rsidRPr="00AB0FCA">
        <w:t xml:space="preserve">The proposals in the new Gas Markets Decarbonisation package </w:t>
      </w:r>
      <w:r>
        <w:t xml:space="preserve">address a number of issues associated with gas markets and networks, most notably ensuring that the necessary hydrogen infrastructure and contestable hydrogen markets are in place to serve the expected rising supply and demand. References to hydrogen have been introduced all over the gas Regulation and Directive, so that provisions for gas markets apply also for the hydrogen market (including the introduction of hydrogen network operators, hydrogen terminals and hydrogen storage facilities). Barriers for blended hydrogen are removed, in order to boost hydrogen’s role in the gas market. </w:t>
      </w:r>
    </w:p>
    <w:p w14:paraId="364FFB1A" w14:textId="295BA52E" w:rsidR="00D15E70" w:rsidRPr="00C50E41" w:rsidRDefault="00AB0FCA" w:rsidP="00AB0FCA">
      <w:pPr>
        <w:pStyle w:val="MAWP-Bodytext"/>
      </w:pPr>
      <w:r>
        <w:t xml:space="preserve">The Commission also places a focus on network planning, including a push for gas network operators to include information on infrastructure that can or will be decommissioned and could potentially be repurposed to transport hydrogen. Finally, a certification scheme will be introduced to confirm whether the gas brought on the market is renewable or low-carbon. The European Commission has now added a definition for low carbon gases and fuels under the same certification scheme as renewable gases. </w:t>
      </w:r>
    </w:p>
    <w:p w14:paraId="10D70A50" w14:textId="77777777" w:rsidR="00F218CD" w:rsidRPr="00B364CB" w:rsidRDefault="00F218CD" w:rsidP="006802D3">
      <w:pPr>
        <w:pStyle w:val="Subtitle"/>
      </w:pPr>
      <w:bookmarkStart w:id="32" w:name="_Toc52118922"/>
      <w:bookmarkStart w:id="33" w:name="_Toc64640541"/>
      <w:bookmarkStart w:id="34" w:name="_Toc93907309"/>
      <w:r w:rsidRPr="00B364CB">
        <w:t>The R&amp;I support of hydrogen activities of the European Union</w:t>
      </w:r>
      <w:bookmarkEnd w:id="32"/>
      <w:bookmarkEnd w:id="33"/>
      <w:bookmarkEnd w:id="34"/>
    </w:p>
    <w:p w14:paraId="24B3680B" w14:textId="463CD6B2" w:rsidR="00F218CD" w:rsidRPr="00B364CB" w:rsidRDefault="00F218CD" w:rsidP="00317709">
      <w:pPr>
        <w:pStyle w:val="MAWP-Bodytext"/>
      </w:pPr>
      <w:r w:rsidRPr="00B364CB">
        <w:t xml:space="preserve">The EU has </w:t>
      </w:r>
      <w:r w:rsidR="00562B81">
        <w:t xml:space="preserve">been </w:t>
      </w:r>
      <w:r w:rsidRPr="00B364CB">
        <w:t>support</w:t>
      </w:r>
      <w:r w:rsidR="00562B81">
        <w:t>ing</w:t>
      </w:r>
      <w:r w:rsidRPr="00B364CB">
        <w:t xml:space="preserve"> research and innovation on hydrogen for many years, starting through traditional collaborative projects, and subsequently mainly with the </w:t>
      </w:r>
      <w:r w:rsidR="0024501A" w:rsidRPr="00B364CB">
        <w:t>FCH JU</w:t>
      </w:r>
      <w:r w:rsidRPr="00B364CB">
        <w:t xml:space="preserve"> established in 2008. </w:t>
      </w:r>
    </w:p>
    <w:p w14:paraId="11AB44B1" w14:textId="77777777" w:rsidR="00F218CD" w:rsidRPr="00B364CB" w:rsidRDefault="00F218CD" w:rsidP="00317709">
      <w:pPr>
        <w:pStyle w:val="MAWP-Bodytext"/>
      </w:pPr>
      <w:r w:rsidRPr="00B364CB">
        <w:t xml:space="preserve">The early EU Framework Programmes (FP) supported research and development in fuel cells and hydrogen technologies with increasing funding levels over time. Nevertheless, these efforts were fragmented and uncoordinated across the different FP sub-programmes. Recognising this issue, the European Commission facilitated the creation of a European Hydrogen and Fuel Cell </w:t>
      </w:r>
      <w:r w:rsidRPr="00B364CB">
        <w:lastRenderedPageBreak/>
        <w:t>Technology platform (HFP) (2004-2007), bringing together all interested stakeholders. This process confirmed that a coherent, long-term approach at EU level is essential for achieving critical mass in terms of scale, excellence and potential for innovation.</w:t>
      </w:r>
    </w:p>
    <w:p w14:paraId="7276F3D8" w14:textId="4D191082" w:rsidR="00F218CD" w:rsidRPr="00B364CB" w:rsidRDefault="00F218CD" w:rsidP="00317709">
      <w:pPr>
        <w:pStyle w:val="MAWP-Bodytext"/>
      </w:pPr>
      <w:r w:rsidRPr="00B364CB">
        <w:t>In May 2008, the Council adopted a Regulation</w:t>
      </w:r>
      <w:r w:rsidRPr="00B364CB">
        <w:rPr>
          <w:rStyle w:val="FootnoteReference"/>
        </w:rPr>
        <w:footnoteReference w:id="38"/>
      </w:r>
      <w:r w:rsidRPr="00B364CB">
        <w:t xml:space="preserve"> setting up a Joint Undertaking for Fuel Cells and Hydrogen. The aim of FCH JU under FP7 was to accelerate the development and deployment of fuel cell and hydrogen technologies by executing an integrated European programme of Research Technology and Development activities for the period 2007-2013. </w:t>
      </w:r>
    </w:p>
    <w:p w14:paraId="5875927D" w14:textId="77777777" w:rsidR="00F218CD" w:rsidRPr="00B364CB" w:rsidRDefault="00F218CD" w:rsidP="00317709">
      <w:pPr>
        <w:pStyle w:val="MAWP-Bodytext"/>
      </w:pPr>
      <w:r w:rsidRPr="00B364CB">
        <w:t xml:space="preserve">The programme entered its second phase, with FCH 2 JU, in Horizon 2020. FCH 2 JU was a public-private partnership with three members: the industry grouping Hydrogen Europe, the research grouping Hydrogen Europe Research and the European Commission. The focus was on accelerating the commercialisation of fuel cells and hydrogen technologies to ensure a world leading, competitive European FCH industry while increasing jobs. </w:t>
      </w:r>
    </w:p>
    <w:p w14:paraId="3181AA57" w14:textId="77777777" w:rsidR="00F218CD" w:rsidRPr="00B364CB" w:rsidRDefault="00F218CD" w:rsidP="00317709">
      <w:pPr>
        <w:pStyle w:val="MAWP-Bodytext"/>
      </w:pPr>
      <w:r w:rsidRPr="00B364CB">
        <w:t xml:space="preserve">These efforts have enabled several technologies to come close to maturity, alongside the development of high-profile projects in promising applications, and to achieve EU global leadership for future technologies, notably on electrolysers, hydrogen refuelling stations and megawatt-scale fuel cells. EU funded projects also allowed improvement in the understanding of the applicable regulation for boosting the production and utilisation of hydrogen in the EU. </w:t>
      </w:r>
    </w:p>
    <w:p w14:paraId="567098C8" w14:textId="77777777" w:rsidR="00F218CD" w:rsidRPr="00B364CB" w:rsidRDefault="00F218CD" w:rsidP="00317709">
      <w:pPr>
        <w:pStyle w:val="MAWP-Bodytext"/>
      </w:pPr>
      <w:r w:rsidRPr="00B364CB">
        <w:t xml:space="preserve">Nevertheless, these developments are far from sufficient to meet the increased ambition reflected in the Hydrogen Strategy. Therefore, the Commission plans to carry out a set of actions targeting research, innovation, and relevant international cooperation, supporting the energy and climate policy objectives. </w:t>
      </w:r>
    </w:p>
    <w:p w14:paraId="38A20DF1" w14:textId="76710B14" w:rsidR="00F218CD" w:rsidRPr="00B364CB" w:rsidRDefault="00F218CD" w:rsidP="00317709">
      <w:pPr>
        <w:pStyle w:val="MAWP-Bodytext"/>
      </w:pPr>
      <w:r w:rsidRPr="00B364CB">
        <w:t xml:space="preserve">On one hand, it </w:t>
      </w:r>
      <w:r w:rsidR="00881AA7">
        <w:t xml:space="preserve">can </w:t>
      </w:r>
      <w:r w:rsidRPr="00B364CB">
        <w:t xml:space="preserve">provide financial support through the </w:t>
      </w:r>
      <w:r w:rsidR="0024501A" w:rsidRPr="00B364CB">
        <w:t xml:space="preserve">EU </w:t>
      </w:r>
      <w:r w:rsidRPr="00B364CB">
        <w:t>ETS Innovation Fund, to facilitate first-of-a-kind demonstration of innovative hydrogen-based technologies, and through targeted support to build the necessary capacity for preparation of financially sound and viable hydrogen projects.</w:t>
      </w:r>
    </w:p>
    <w:p w14:paraId="3BFDB5DC" w14:textId="27A5C19D" w:rsidR="00F218CD" w:rsidRPr="00B364CB" w:rsidRDefault="00F218CD" w:rsidP="00317709">
      <w:pPr>
        <w:pStyle w:val="MAWP-Bodytext"/>
      </w:pPr>
      <w:bookmarkStart w:id="35" w:name="_Hlk93679048"/>
      <w:r w:rsidRPr="00B364CB">
        <w:t>On the other hand, and focusing more on research and innovation rather than deployment, the Council and the Parliament adopted a regulation</w:t>
      </w:r>
      <w:bookmarkStart w:id="36" w:name="_Ref55247054"/>
      <w:r w:rsidRPr="00B364CB">
        <w:t xml:space="preserve"> establishing the Joint Undertakings under Horizon Europe (hereon Single Basic Act</w:t>
      </w:r>
      <w:r w:rsidR="00844744" w:rsidRPr="00B364CB">
        <w:t xml:space="preserve"> or SBA</w:t>
      </w:r>
      <w:r w:rsidRPr="00B364CB">
        <w:t>),</w:t>
      </w:r>
      <w:bookmarkStart w:id="37" w:name="_Ref63266428"/>
      <w:r w:rsidRPr="00B364CB">
        <w:rPr>
          <w:rStyle w:val="FootnoteReference"/>
        </w:rPr>
        <w:footnoteReference w:id="39"/>
      </w:r>
      <w:bookmarkEnd w:id="36"/>
      <w:bookmarkEnd w:id="37"/>
      <w:r w:rsidRPr="00B364CB">
        <w:rPr>
          <w:vertAlign w:val="superscript"/>
        </w:rPr>
        <w:t xml:space="preserve"> </w:t>
      </w:r>
      <w:r w:rsidRPr="00B364CB">
        <w:t>including the establishment of the Clean Hydrogen Joint Undertaking, the continuation of FCH 2 JU</w:t>
      </w:r>
      <w:r w:rsidR="00844744" w:rsidRPr="00B364CB">
        <w:t xml:space="preserve">. The </w:t>
      </w:r>
      <w:r w:rsidR="00243F56">
        <w:t xml:space="preserve">Clean Hydrogen </w:t>
      </w:r>
      <w:r w:rsidRPr="00B364CB">
        <w:t>JU will have the leading role in research activities related to hydrogen</w:t>
      </w:r>
      <w:r w:rsidR="007801E3">
        <w:rPr>
          <w:noProof/>
          <w:lang w:val="en-IE"/>
        </w:rPr>
        <w:t>.</w:t>
      </w:r>
      <w:r w:rsidR="007801E3">
        <w:t xml:space="preserve"> </w:t>
      </w:r>
      <w:bookmarkStart w:id="38" w:name="_Hlk93679057"/>
      <w:bookmarkEnd w:id="35"/>
      <w:r w:rsidR="007801E3" w:rsidRPr="007801E3">
        <w:t>Since hydrogen can be deployed as a fuel, energy carrier and for storing energy it is essential that the clean hydrogen partnership establishes structured collaboration with many other European partnerships, notably for end-use.</w:t>
      </w:r>
      <w:r w:rsidR="007801E3">
        <w:t xml:space="preserve"> </w:t>
      </w:r>
      <w:bookmarkEnd w:id="38"/>
      <w:r w:rsidR="007801E3">
        <w:t>However,</w:t>
      </w:r>
      <w:r w:rsidRPr="00B364CB">
        <w:t xml:space="preserve"> hydrogen related research will also be supported by other </w:t>
      </w:r>
      <w:r w:rsidR="002B7AE5">
        <w:t>p</w:t>
      </w:r>
      <w:r w:rsidRPr="00B364CB">
        <w:t xml:space="preserve">artnerships and EU Funds under direct supervision of the </w:t>
      </w:r>
      <w:r w:rsidR="00844744" w:rsidRPr="00B364CB">
        <w:t>European Commission</w:t>
      </w:r>
      <w:r w:rsidRPr="00B364CB">
        <w:t>, as well as collaborative research and innovation actions of Horizon Europe</w:t>
      </w:r>
      <w:r w:rsidR="00ED44CF">
        <w:t xml:space="preserve"> and </w:t>
      </w:r>
      <w:r w:rsidR="007801E3">
        <w:t xml:space="preserve">other EU </w:t>
      </w:r>
      <w:r w:rsidR="00ED44CF">
        <w:t>programmes</w:t>
      </w:r>
      <w:r w:rsidRPr="00B364CB">
        <w:t>. Moreover, low technology readiness levels for hydrogen may</w:t>
      </w:r>
      <w:r w:rsidR="00A96A83" w:rsidRPr="00B364CB">
        <w:t xml:space="preserve"> also</w:t>
      </w:r>
      <w:r w:rsidRPr="00B364CB">
        <w:t xml:space="preserve"> be supported through calls for applications of the European Research Council. Finally, intergovernmental coordination of EU Member States and other States under the</w:t>
      </w:r>
      <w:r w:rsidR="00D8348C" w:rsidRPr="00B364CB">
        <w:t xml:space="preserve"> UN Conference of the Parties (</w:t>
      </w:r>
      <w:r w:rsidRPr="00B364CB">
        <w:t>COP</w:t>
      </w:r>
      <w:r w:rsidR="00D8348C" w:rsidRPr="00B364CB">
        <w:t>)</w:t>
      </w:r>
      <w:r w:rsidRPr="00B364CB">
        <w:t xml:space="preserve"> agenda, has led to emergence of </w:t>
      </w:r>
      <w:r w:rsidR="001D0AC1" w:rsidRPr="00B364CB">
        <w:t xml:space="preserve">a proposal for </w:t>
      </w:r>
      <w:r w:rsidRPr="00B364CB">
        <w:t xml:space="preserve">Mission Innovation 2.0 on hydrogen, where the European Commission </w:t>
      </w:r>
      <w:r w:rsidR="001D0AC1" w:rsidRPr="00B364CB">
        <w:t>is expected to co-lead with Australia, Chile, Germany and the United Kingdom a mission on</w:t>
      </w:r>
      <w:r w:rsidRPr="00B364CB">
        <w:t xml:space="preserve"> hydrogen.</w:t>
      </w:r>
      <w:r w:rsidR="007E3395" w:rsidRPr="00B364CB">
        <w:t xml:space="preserve"> </w:t>
      </w:r>
      <w:r w:rsidRPr="00B364CB">
        <w:t xml:space="preserve">Mission Innovation 2.0 will also aim at intergovernmental initiatives on research and </w:t>
      </w:r>
      <w:r w:rsidRPr="00B364CB">
        <w:lastRenderedPageBreak/>
        <w:t xml:space="preserve">innovation. To this end, a framework of co-operation aiming to benefit from the synergies across the different programmes has been set up, described in more detail in Section </w:t>
      </w:r>
      <w:r w:rsidRPr="00B364CB">
        <w:fldChar w:fldCharType="begin"/>
      </w:r>
      <w:r w:rsidRPr="00B364CB">
        <w:instrText xml:space="preserve"> REF _Ref55249571 \n \h </w:instrText>
      </w:r>
      <w:r w:rsidR="00317709" w:rsidRPr="00B364CB">
        <w:instrText xml:space="preserve"> \* MERGEFORMAT </w:instrText>
      </w:r>
      <w:r w:rsidRPr="00B364CB">
        <w:fldChar w:fldCharType="separate"/>
      </w:r>
      <w:r w:rsidR="00331EBC">
        <w:t>4.1</w:t>
      </w:r>
      <w:r w:rsidRPr="00B364CB">
        <w:fldChar w:fldCharType="end"/>
      </w:r>
      <w:r w:rsidRPr="00B364CB">
        <w:t xml:space="preserve">.  </w:t>
      </w:r>
    </w:p>
    <w:p w14:paraId="0F369490" w14:textId="69C2E7C3" w:rsidR="00F218CD" w:rsidRPr="00B364CB" w:rsidRDefault="00844744" w:rsidP="00317709">
      <w:pPr>
        <w:pStyle w:val="MAWP-Bodytext"/>
      </w:pPr>
      <w:r w:rsidRPr="00B364CB">
        <w:t xml:space="preserve">The </w:t>
      </w:r>
      <w:r w:rsidR="00243F56">
        <w:t xml:space="preserve">Clean Hydrogen </w:t>
      </w:r>
      <w:r w:rsidR="00F218CD" w:rsidRPr="00B364CB">
        <w:t xml:space="preserve">JU is set up in the form of an </w:t>
      </w:r>
      <w:r w:rsidR="0082236F" w:rsidRPr="00B364CB">
        <w:t>institutionalised</w:t>
      </w:r>
      <w:r w:rsidR="00F218CD" w:rsidRPr="00B364CB">
        <w:t xml:space="preserve"> partnership under the Research and Innovation Framework Programme Horizon Europe. </w:t>
      </w:r>
      <w:r w:rsidRPr="00B364CB">
        <w:t>Its</w:t>
      </w:r>
      <w:r w:rsidR="00F218CD" w:rsidRPr="00B364CB">
        <w:t xml:space="preserve"> main focus will be on renewable hydrogen production, </w:t>
      </w:r>
      <w:r w:rsidR="001D0AC1" w:rsidRPr="00B364CB">
        <w:t>as well as</w:t>
      </w:r>
      <w:r w:rsidR="00F218CD" w:rsidRPr="00B364CB">
        <w:t xml:space="preserve"> hydrogen transmission, distribution and storage, alongside selected fuel cell end-use technologies.</w:t>
      </w:r>
      <w:r w:rsidR="00F218CD" w:rsidRPr="00B364CB">
        <w:rPr>
          <w:b/>
        </w:rPr>
        <w:t xml:space="preserve"> </w:t>
      </w:r>
    </w:p>
    <w:p w14:paraId="3BEE1169" w14:textId="77777777" w:rsidR="00F218CD" w:rsidRPr="00B364CB" w:rsidRDefault="00F218CD" w:rsidP="00F218CD"/>
    <w:p w14:paraId="371EAC5B" w14:textId="1E517752" w:rsidR="00F218CD" w:rsidRPr="00B364CB" w:rsidRDefault="00405F45" w:rsidP="00F218CD">
      <w:pPr>
        <w:pStyle w:val="Heading11"/>
        <w:keepNext/>
        <w:keepLines/>
        <w:numPr>
          <w:ilvl w:val="0"/>
          <w:numId w:val="1"/>
        </w:numPr>
        <w:shd w:val="clear" w:color="auto" w:fill="auto"/>
        <w:tabs>
          <w:tab w:val="left" w:pos="426"/>
        </w:tabs>
        <w:spacing w:after="240" w:line="276" w:lineRule="auto"/>
        <w:jc w:val="left"/>
        <w:rPr>
          <w:rStyle w:val="MAWPTitle"/>
          <w:lang w:val="en-GB"/>
        </w:rPr>
      </w:pPr>
      <w:bookmarkStart w:id="39" w:name="_Toc64640542"/>
      <w:bookmarkStart w:id="40" w:name="_Toc93907310"/>
      <w:bookmarkStart w:id="41" w:name="_Toc52118923"/>
      <w:r w:rsidRPr="00B364CB">
        <w:rPr>
          <w:rStyle w:val="MAWPTitle"/>
          <w:lang w:val="en-GB"/>
        </w:rPr>
        <w:t>Clean Hydrogen</w:t>
      </w:r>
      <w:r w:rsidR="00F218CD" w:rsidRPr="00B364CB">
        <w:rPr>
          <w:rStyle w:val="MAWPTitle"/>
          <w:lang w:val="en-GB"/>
        </w:rPr>
        <w:t xml:space="preserve"> Joint Undertaking</w:t>
      </w:r>
      <w:bookmarkEnd w:id="39"/>
      <w:bookmarkEnd w:id="40"/>
      <w:r w:rsidR="00F218CD" w:rsidRPr="00B364CB">
        <w:rPr>
          <w:rStyle w:val="MAWPTitle"/>
          <w:lang w:val="en-GB"/>
        </w:rPr>
        <w:t xml:space="preserve"> </w:t>
      </w:r>
      <w:bookmarkEnd w:id="41"/>
    </w:p>
    <w:bookmarkStart w:id="42" w:name="_Toc52118924"/>
    <w:bookmarkStart w:id="43" w:name="_Toc64640543"/>
    <w:bookmarkStart w:id="44" w:name="_Toc93907311"/>
    <w:p w14:paraId="2EC6F647" w14:textId="365B3412" w:rsidR="00F218CD" w:rsidRPr="00DA27F7" w:rsidRDefault="00881AA7" w:rsidP="006802D3">
      <w:pPr>
        <w:pStyle w:val="Subtitle"/>
      </w:pPr>
      <w:r>
        <w:rPr>
          <w:noProof/>
          <w:lang w:eastAsia="en-GB" w:bidi="ar-SA"/>
        </w:rPr>
        <mc:AlternateContent>
          <mc:Choice Requires="wps">
            <w:drawing>
              <wp:anchor distT="45720" distB="45720" distL="114300" distR="114300" simplePos="0" relativeHeight="251660288" behindDoc="1" locked="0" layoutInCell="1" allowOverlap="1" wp14:anchorId="180F5E9F" wp14:editId="74498BC8">
                <wp:simplePos x="0" y="0"/>
                <wp:positionH relativeFrom="margin">
                  <wp:posOffset>1241425</wp:posOffset>
                </wp:positionH>
                <wp:positionV relativeFrom="paragraph">
                  <wp:posOffset>394335</wp:posOffset>
                </wp:positionV>
                <wp:extent cx="3393440" cy="1404620"/>
                <wp:effectExtent l="0" t="57150" r="130810" b="7556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1404620"/>
                        </a:xfrm>
                        <a:prstGeom prst="rect">
                          <a:avLst/>
                        </a:prstGeom>
                        <a:solidFill>
                          <a:srgbClr val="FFFFFF"/>
                        </a:solidFill>
                        <a:ln w="9525">
                          <a:solidFill>
                            <a:srgbClr val="000000"/>
                          </a:solidFill>
                          <a:miter lim="800000"/>
                          <a:headEnd/>
                          <a:tailEnd/>
                        </a:ln>
                        <a:effectLst>
                          <a:outerShdw blurRad="50800" dist="50800" algn="ctr" rotWithShape="0">
                            <a:srgbClr val="000000">
                              <a:alpha val="43137"/>
                            </a:srgbClr>
                          </a:outerShdw>
                        </a:effectLst>
                      </wps:spPr>
                      <wps:txbx>
                        <w:txbxContent>
                          <w:p w14:paraId="3A52E6FB" w14:textId="337742C0" w:rsidR="00F76020" w:rsidRPr="00E9156C" w:rsidRDefault="00F76020" w:rsidP="00525971">
                            <w:pPr>
                              <w:jc w:val="center"/>
                              <w:rPr>
                                <w:b/>
                                <w:bCs/>
                                <w:u w:val="single"/>
                              </w:rPr>
                            </w:pPr>
                            <w:r w:rsidRPr="00E9156C">
                              <w:rPr>
                                <w:b/>
                                <w:bCs/>
                                <w:u w:val="single"/>
                              </w:rPr>
                              <w:t>Clean Hydrogen JU Vision</w:t>
                            </w:r>
                          </w:p>
                          <w:p w14:paraId="594E53E6" w14:textId="21F882E7" w:rsidR="00F76020" w:rsidRPr="00E9156C" w:rsidRDefault="00F76020" w:rsidP="00525971">
                            <w:pPr>
                              <w:jc w:val="center"/>
                              <w:rPr>
                                <w:i/>
                              </w:rPr>
                            </w:pPr>
                          </w:p>
                          <w:p w14:paraId="55C2A7DE" w14:textId="69344C19" w:rsidR="00F76020" w:rsidRPr="00E9156C" w:rsidRDefault="00F76020" w:rsidP="00525971">
                            <w:pPr>
                              <w:jc w:val="center"/>
                              <w:rPr>
                                <w:i/>
                              </w:rPr>
                            </w:pPr>
                            <w:r w:rsidRPr="00E9156C">
                              <w:rPr>
                                <w:i/>
                              </w:rPr>
                              <w:t>Support</w:t>
                            </w:r>
                            <w:r>
                              <w:rPr>
                                <w:i/>
                              </w:rPr>
                              <w:t xml:space="preserve"> </w:t>
                            </w:r>
                            <w:r w:rsidRPr="00E9156C">
                              <w:rPr>
                                <w:i/>
                              </w:rPr>
                              <w:t xml:space="preserve">a sustainable hydrogen economy, contributing to EU’s climate goals </w:t>
                            </w:r>
                          </w:p>
                          <w:p w14:paraId="1AA9F93D" w14:textId="77777777" w:rsidR="00F76020" w:rsidRPr="00E9156C" w:rsidRDefault="00F76020" w:rsidP="00525971">
                            <w:pPr>
                              <w:jc w:val="center"/>
                            </w:pPr>
                          </w:p>
                          <w:p w14:paraId="4705FBC4" w14:textId="66836293" w:rsidR="00F76020" w:rsidRPr="00E9156C" w:rsidRDefault="00F76020" w:rsidP="00525971">
                            <w:pPr>
                              <w:jc w:val="center"/>
                              <w:rPr>
                                <w:b/>
                                <w:bCs/>
                                <w:u w:val="single"/>
                              </w:rPr>
                            </w:pPr>
                            <w:r w:rsidRPr="00E9156C">
                              <w:rPr>
                                <w:b/>
                                <w:bCs/>
                                <w:u w:val="single"/>
                              </w:rPr>
                              <w:t>Clean Hydrogen JU Mission</w:t>
                            </w:r>
                          </w:p>
                          <w:p w14:paraId="59699A1C" w14:textId="1B6C451F" w:rsidR="00F76020" w:rsidRPr="00E9156C" w:rsidRDefault="00F76020" w:rsidP="00525971">
                            <w:pPr>
                              <w:jc w:val="center"/>
                            </w:pPr>
                          </w:p>
                          <w:p w14:paraId="6C336A9B" w14:textId="52E17914" w:rsidR="00F76020" w:rsidRDefault="00F76020" w:rsidP="00525971">
                            <w:pPr>
                              <w:jc w:val="center"/>
                            </w:pPr>
                            <w:r w:rsidRPr="00E9156C">
                              <w:rPr>
                                <w:i/>
                              </w:rPr>
                              <w:t>Facilitate the transition to a greener EU society through the development of hydrogen technologies.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0F5E9F" id="_x0000_t202" coordsize="21600,21600" o:spt="202" path="m,l,21600r21600,l21600,xe">
                <v:stroke joinstyle="miter"/>
                <v:path gradientshapeok="t" o:connecttype="rect"/>
              </v:shapetype>
              <v:shape id="_x0000_s1026" type="#_x0000_t202" style="position:absolute;left:0;text-align:left;margin-left:97.75pt;margin-top:31.05pt;width:267.2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">
                <v:shadow on="t" color="black" opacity="28270f" offset="4pt,0"/>
                <v:textbox style="mso-fit-shape-to-text:t">
                  <w:txbxContent>
                    <w:p w14:paraId="3A52E6FB" w14:textId="337742C0" w:rsidR="00F76020" w:rsidRPr="00E9156C" w:rsidRDefault="00F76020" w:rsidP="00525971">
                      <w:pPr>
                        <w:jc w:val="center"/>
                        <w:rPr>
                          <w:b/>
                          <w:bCs/>
                          <w:u w:val="single"/>
                        </w:rPr>
                      </w:pPr>
                      <w:r w:rsidRPr="00E9156C">
                        <w:rPr>
                          <w:b/>
                          <w:bCs/>
                          <w:u w:val="single"/>
                        </w:rPr>
                        <w:t>Clean Hydrogen JU Vision</w:t>
                      </w:r>
                    </w:p>
                    <w:p w14:paraId="594E53E6" w14:textId="21F882E7" w:rsidR="00F76020" w:rsidRPr="00E9156C" w:rsidRDefault="00F76020" w:rsidP="00525971">
                      <w:pPr>
                        <w:jc w:val="center"/>
                        <w:rPr>
                          <w:i/>
                        </w:rPr>
                      </w:pPr>
                    </w:p>
                    <w:p w14:paraId="55C2A7DE" w14:textId="69344C19" w:rsidR="00F76020" w:rsidRPr="00E9156C" w:rsidRDefault="00F76020" w:rsidP="00525971">
                      <w:pPr>
                        <w:jc w:val="center"/>
                        <w:rPr>
                          <w:i/>
                        </w:rPr>
                      </w:pPr>
                      <w:r w:rsidRPr="00E9156C">
                        <w:rPr>
                          <w:i/>
                        </w:rPr>
                        <w:t>Support</w:t>
                      </w:r>
                      <w:r>
                        <w:rPr>
                          <w:i/>
                        </w:rPr>
                        <w:t xml:space="preserve"> </w:t>
                      </w:r>
                      <w:r w:rsidRPr="00E9156C">
                        <w:rPr>
                          <w:i/>
                        </w:rPr>
                        <w:t xml:space="preserve">a sustainable hydrogen economy, contributing to EU’s climate goals </w:t>
                      </w:r>
                    </w:p>
                    <w:p w14:paraId="1AA9F93D" w14:textId="77777777" w:rsidR="00F76020" w:rsidRPr="00E9156C" w:rsidRDefault="00F76020" w:rsidP="00525971">
                      <w:pPr>
                        <w:jc w:val="center"/>
                      </w:pPr>
                    </w:p>
                    <w:p w14:paraId="4705FBC4" w14:textId="66836293" w:rsidR="00F76020" w:rsidRPr="00E9156C" w:rsidRDefault="00F76020" w:rsidP="00525971">
                      <w:pPr>
                        <w:jc w:val="center"/>
                        <w:rPr>
                          <w:b/>
                          <w:bCs/>
                          <w:u w:val="single"/>
                        </w:rPr>
                      </w:pPr>
                      <w:r w:rsidRPr="00E9156C">
                        <w:rPr>
                          <w:b/>
                          <w:bCs/>
                          <w:u w:val="single"/>
                        </w:rPr>
                        <w:t>Clean Hydrogen JU Mission</w:t>
                      </w:r>
                    </w:p>
                    <w:p w14:paraId="59699A1C" w14:textId="1B6C451F" w:rsidR="00F76020" w:rsidRPr="00E9156C" w:rsidRDefault="00F76020" w:rsidP="00525971">
                      <w:pPr>
                        <w:jc w:val="center"/>
                      </w:pPr>
                    </w:p>
                    <w:p w14:paraId="6C336A9B" w14:textId="52E17914" w:rsidR="00F76020" w:rsidRDefault="00F76020" w:rsidP="00525971">
                      <w:pPr>
                        <w:jc w:val="center"/>
                      </w:pPr>
                      <w:r w:rsidRPr="00E9156C">
                        <w:rPr>
                          <w:i/>
                        </w:rPr>
                        <w:t>Facilitate the transition to a greener EU society through the development of hydrogen technologies.</w:t>
                      </w:r>
                    </w:p>
                  </w:txbxContent>
                </v:textbox>
                <w10:wrap type="topAndBottom" anchorx="margin"/>
              </v:shape>
            </w:pict>
          </mc:Fallback>
        </mc:AlternateContent>
      </w:r>
      <w:r w:rsidR="00F218CD" w:rsidRPr="00DA27F7">
        <w:t xml:space="preserve">Mission and vision of the </w:t>
      </w:r>
      <w:bookmarkEnd w:id="42"/>
      <w:r w:rsidR="00405F45" w:rsidRPr="00DA27F7">
        <w:t>Clean Hydrogen</w:t>
      </w:r>
      <w:r w:rsidR="00844744" w:rsidRPr="00DA27F7">
        <w:t xml:space="preserve"> Joint Undertaking</w:t>
      </w:r>
      <w:bookmarkEnd w:id="43"/>
      <w:bookmarkEnd w:id="44"/>
    </w:p>
    <w:p w14:paraId="21E2C5C1" w14:textId="734D6FA4" w:rsidR="00F218CD" w:rsidRPr="00DA27F7" w:rsidRDefault="00F218CD" w:rsidP="00317709">
      <w:pPr>
        <w:pStyle w:val="MAWP-Bodytext"/>
      </w:pPr>
      <w:r w:rsidRPr="00DA27F7">
        <w:t xml:space="preserve">The Clean Hydrogen </w:t>
      </w:r>
      <w:r w:rsidR="00243F56" w:rsidRPr="00DA27F7">
        <w:t>JU</w:t>
      </w:r>
      <w:r w:rsidRPr="00DA27F7">
        <w:t xml:space="preserve"> will contribute to the </w:t>
      </w:r>
      <w:r w:rsidR="001D0AC1" w:rsidRPr="00DA27F7">
        <w:t xml:space="preserve">European </w:t>
      </w:r>
      <w:r w:rsidRPr="00DA27F7">
        <w:t xml:space="preserve">climate neutrality goal by producing noticeable, quantifiable results towards the development and scaling up of hydrogen applications. This </w:t>
      </w:r>
      <w:r w:rsidR="0041526F">
        <w:t>will</w:t>
      </w:r>
      <w:r w:rsidRPr="00DA27F7">
        <w:t xml:space="preserve"> </w:t>
      </w:r>
      <w:r w:rsidR="001D0AC1" w:rsidRPr="00DA27F7">
        <w:t>help develop</w:t>
      </w:r>
      <w:r w:rsidRPr="00DA27F7">
        <w:t xml:space="preserve"> a number of hydrogen technologies, which are currently either not competitive or have a low technology readiness level, but are expected to contribute to the 2030 energy and climate targets and most importantly make possible climate neutrality by 2050.</w:t>
      </w:r>
    </w:p>
    <w:p w14:paraId="13C94D4A" w14:textId="0774800A" w:rsidR="00F218CD" w:rsidRPr="00525971" w:rsidRDefault="00F218CD" w:rsidP="00317709">
      <w:pPr>
        <w:pStyle w:val="MAWP-Bodytext"/>
      </w:pPr>
      <w:r w:rsidRPr="00DA27F7">
        <w:t xml:space="preserve">The focus of the research and innovation activities of </w:t>
      </w:r>
      <w:r w:rsidR="00103461" w:rsidRPr="00DA27F7">
        <w:t xml:space="preserve">the </w:t>
      </w:r>
      <w:r w:rsidR="00243F56" w:rsidRPr="00DA27F7">
        <w:t xml:space="preserve">Clean Hydrogen </w:t>
      </w:r>
      <w:r w:rsidRPr="00DA27F7">
        <w:t>JU will have a different scope compared to FCH 2 JU, shifting to</w:t>
      </w:r>
      <w:r w:rsidR="005A6C10">
        <w:t xml:space="preserve"> </w:t>
      </w:r>
      <w:r w:rsidRPr="00DA27F7">
        <w:t>areas related primarily to</w:t>
      </w:r>
      <w:r w:rsidR="005A6C10">
        <w:t xml:space="preserve"> </w:t>
      </w:r>
      <w:r w:rsidRPr="00DA27F7">
        <w:t xml:space="preserve">the production of </w:t>
      </w:r>
      <w:r w:rsidR="005A6C10">
        <w:t>clean</w:t>
      </w:r>
      <w:r w:rsidRPr="00DA27F7">
        <w:t xml:space="preserve"> hydrogen, as well as the distribution, storage and end use applications of </w:t>
      </w:r>
      <w:r w:rsidRPr="00064E9B">
        <w:t xml:space="preserve">low carbon hydrogen in hard to abate sectors. They will be guided to a large extent by EU’s Hydrogen Strategy and the policy developments in </w:t>
      </w:r>
      <w:r w:rsidR="001D0AC1" w:rsidRPr="00525971">
        <w:t xml:space="preserve">this </w:t>
      </w:r>
      <w:r w:rsidRPr="00525971">
        <w:t>context, contributing to its implementation.</w:t>
      </w:r>
    </w:p>
    <w:p w14:paraId="077780B1" w14:textId="77777777" w:rsidR="006E118D" w:rsidRDefault="00F218CD" w:rsidP="00317709">
      <w:pPr>
        <w:pStyle w:val="MAWP-Bodytext"/>
      </w:pPr>
      <w:r w:rsidRPr="00525971">
        <w:t>In particular th</w:t>
      </w:r>
      <w:r w:rsidR="00103461" w:rsidRPr="00525971">
        <w:t>e</w:t>
      </w:r>
      <w:r w:rsidRPr="00525971">
        <w:t xml:space="preserve"> </w:t>
      </w:r>
      <w:r w:rsidR="00243F56" w:rsidRPr="00525971">
        <w:t xml:space="preserve">Clean Hydrogen </w:t>
      </w:r>
      <w:r w:rsidR="00103461" w:rsidRPr="00525971">
        <w:t>JU</w:t>
      </w:r>
      <w:r w:rsidRPr="00525971">
        <w:t xml:space="preserve"> will aim to accelerate the development and deployment of </w:t>
      </w:r>
      <w:r w:rsidR="001D0AC1" w:rsidRPr="00525971">
        <w:t xml:space="preserve">the </w:t>
      </w:r>
      <w:r w:rsidRPr="00525971">
        <w:t xml:space="preserve">European value chain for </w:t>
      </w:r>
      <w:r w:rsidR="009753B7">
        <w:t xml:space="preserve">safe and sustainable </w:t>
      </w:r>
      <w:r w:rsidRPr="00525971">
        <w:t xml:space="preserve">clean hydrogen technologies, </w:t>
      </w:r>
      <w:r w:rsidR="00EE1FFD">
        <w:t xml:space="preserve">strengthening its competitiveness and </w:t>
      </w:r>
      <w:r w:rsidR="00EE1FFD" w:rsidRPr="00EE1FFD">
        <w:t>with a view to supporting notably SMEs, accelerating the market entry of innovative co</w:t>
      </w:r>
      <w:r w:rsidR="00EE1FFD">
        <w:t>mpetitive clean solutions. The final goal is to</w:t>
      </w:r>
      <w:r w:rsidR="00EE1FFD" w:rsidRPr="00EE1FFD">
        <w:t xml:space="preserve"> </w:t>
      </w:r>
      <w:r w:rsidRPr="00525971">
        <w:t>contribut</w:t>
      </w:r>
      <w:r w:rsidR="00EE1FFD">
        <w:t>e</w:t>
      </w:r>
      <w:r w:rsidRPr="00525971">
        <w:t xml:space="preserve"> to a sustainable, decarbonised and fully integrated</w:t>
      </w:r>
      <w:r w:rsidR="00A20CB0">
        <w:t xml:space="preserve"> EU</w:t>
      </w:r>
      <w:r w:rsidRPr="00525971">
        <w:t xml:space="preserve"> energy system, and to </w:t>
      </w:r>
      <w:r w:rsidR="001D0AC1" w:rsidRPr="00525971">
        <w:t xml:space="preserve">the </w:t>
      </w:r>
      <w:r w:rsidRPr="00525971">
        <w:t xml:space="preserve">EU’s Hydrogen Strategy, playing an important role in the implementation of </w:t>
      </w:r>
      <w:r w:rsidR="001D0AC1" w:rsidRPr="00525971">
        <w:t>its</w:t>
      </w:r>
      <w:r w:rsidRPr="00525971">
        <w:t xml:space="preserve"> roadmap</w:t>
      </w:r>
      <w:r w:rsidR="00EE1FFD">
        <w:t xml:space="preserve"> towards climate neutrality</w:t>
      </w:r>
      <w:r w:rsidRPr="00525971">
        <w:t>.</w:t>
      </w:r>
    </w:p>
    <w:p w14:paraId="2CA6D0FF" w14:textId="04935BA1" w:rsidR="00F218CD" w:rsidRPr="00B364CB" w:rsidRDefault="009753B7" w:rsidP="00317709">
      <w:pPr>
        <w:pStyle w:val="MAWP-Bodytext"/>
      </w:pPr>
      <w:r w:rsidRPr="00DD481A">
        <w:t>To this end, cross-cutting aspects like safety, circularity and sustainability will be embedded throughout the entire Clean Hydrogen JU Programme, guiding and underpin</w:t>
      </w:r>
      <w:r>
        <w:t xml:space="preserve">ning the activities undertaken </w:t>
      </w:r>
      <w:r w:rsidRPr="00DD481A">
        <w:t>within.</w:t>
      </w:r>
      <w:r>
        <w:t xml:space="preserve"> Concerning circularity and sustainability aspects, in particular, it is foreseen that activities</w:t>
      </w:r>
      <w:r w:rsidRPr="00B9729F">
        <w:t xml:space="preserve"> </w:t>
      </w:r>
      <w:r>
        <w:t xml:space="preserve">will </w:t>
      </w:r>
      <w:r w:rsidRPr="00B9729F">
        <w:t>not only address these aspects as part of the “post-development” assessment</w:t>
      </w:r>
      <w:r w:rsidR="006E118D">
        <w:t>,</w:t>
      </w:r>
      <w:r w:rsidRPr="00B9729F">
        <w:t xml:space="preserve"> but also for orientating</w:t>
      </w:r>
      <w:r>
        <w:t xml:space="preserve"> and</w:t>
      </w:r>
      <w:r w:rsidRPr="00B9729F">
        <w:t>/</w:t>
      </w:r>
      <w:r>
        <w:t>or</w:t>
      </w:r>
      <w:r w:rsidRPr="00B9729F">
        <w:t xml:space="preserve"> looking for solutions</w:t>
      </w:r>
      <w:r>
        <w:t xml:space="preserve"> and</w:t>
      </w:r>
      <w:r w:rsidRPr="00B9729F">
        <w:t>/</w:t>
      </w:r>
      <w:r>
        <w:t>or</w:t>
      </w:r>
      <w:r w:rsidRPr="00B9729F">
        <w:t xml:space="preserve"> taking decisions (e.g. materials selection) to develop a product, technology and/or a value </w:t>
      </w:r>
      <w:r>
        <w:t>chain in a more sustainable and</w:t>
      </w:r>
      <w:r w:rsidRPr="00B9729F">
        <w:t xml:space="preserve"> circular manner.</w:t>
      </w:r>
      <w:r w:rsidR="00EB756A" w:rsidRPr="00EB756A">
        <w:t xml:space="preserve"> </w:t>
      </w:r>
      <w:r w:rsidR="00EB756A">
        <w:t xml:space="preserve">In this sense, “Safety and circularity by design” will become essential aspects across the </w:t>
      </w:r>
      <w:r w:rsidR="00EB756A" w:rsidRPr="00DD481A">
        <w:t>Clean Hydrogen JU Programme</w:t>
      </w:r>
      <w:r w:rsidR="00EB756A">
        <w:t>.</w:t>
      </w:r>
    </w:p>
    <w:p w14:paraId="16AC9A8F" w14:textId="27EED2C4" w:rsidR="00F218CD" w:rsidRPr="00B364CB" w:rsidRDefault="00F218CD" w:rsidP="006802D3">
      <w:pPr>
        <w:pStyle w:val="Subtitle"/>
      </w:pPr>
      <w:bookmarkStart w:id="45" w:name="_Toc52118925"/>
      <w:bookmarkStart w:id="46" w:name="_Toc64640544"/>
      <w:bookmarkStart w:id="47" w:name="_Toc93907312"/>
      <w:r w:rsidRPr="00B364CB">
        <w:lastRenderedPageBreak/>
        <w:t xml:space="preserve">Objectives of the </w:t>
      </w:r>
      <w:r w:rsidR="00831A2C">
        <w:t xml:space="preserve">Clean Hydrogen </w:t>
      </w:r>
      <w:r w:rsidRPr="00B364CB">
        <w:t>JU</w:t>
      </w:r>
      <w:r w:rsidRPr="00B364CB" w:rsidDel="00BA019F">
        <w:t xml:space="preserve"> </w:t>
      </w:r>
      <w:r w:rsidRPr="00B364CB">
        <w:t>for 2021-2027</w:t>
      </w:r>
      <w:bookmarkEnd w:id="45"/>
      <w:bookmarkEnd w:id="46"/>
      <w:bookmarkEnd w:id="47"/>
      <w:r w:rsidRPr="00B364CB">
        <w:t xml:space="preserve">  </w:t>
      </w:r>
    </w:p>
    <w:p w14:paraId="2AAFD446" w14:textId="70515A07" w:rsidR="00A20CB0" w:rsidRDefault="00F218CD" w:rsidP="00317709">
      <w:pPr>
        <w:pStyle w:val="MAWP-Bodytext"/>
      </w:pPr>
      <w:r w:rsidRPr="00B364CB">
        <w:t xml:space="preserve">The </w:t>
      </w:r>
      <w:r w:rsidR="00243F56">
        <w:t xml:space="preserve">Clean Hydrogen </w:t>
      </w:r>
      <w:r w:rsidRPr="00B364CB">
        <w:t xml:space="preserve">JU </w:t>
      </w:r>
      <w:r w:rsidRPr="008E4155">
        <w:t xml:space="preserve">objectives are defined in articles 4, 5 and </w:t>
      </w:r>
      <w:r w:rsidR="008F5D85" w:rsidRPr="008E4155">
        <w:t>7</w:t>
      </w:r>
      <w:r w:rsidR="008F5D85">
        <w:t>3</w:t>
      </w:r>
      <w:r w:rsidR="008F5D85" w:rsidRPr="008E4155">
        <w:t xml:space="preserve"> </w:t>
      </w:r>
      <w:r w:rsidRPr="008E4155">
        <w:t>of the Single Basic Act</w:t>
      </w:r>
      <w:r w:rsidRPr="008E4155">
        <w:rPr>
          <w:vertAlign w:val="superscript"/>
        </w:rPr>
        <w:fldChar w:fldCharType="begin"/>
      </w:r>
      <w:r w:rsidRPr="008E4155">
        <w:rPr>
          <w:vertAlign w:val="superscript"/>
        </w:rPr>
        <w:instrText xml:space="preserve"> NOTEREF _Ref63266428 \h  \* MERGEFORMAT </w:instrText>
      </w:r>
      <w:r w:rsidRPr="008E4155">
        <w:rPr>
          <w:vertAlign w:val="superscript"/>
        </w:rPr>
      </w:r>
      <w:r w:rsidRPr="008E4155">
        <w:rPr>
          <w:vertAlign w:val="superscript"/>
        </w:rPr>
        <w:fldChar w:fldCharType="separate"/>
      </w:r>
      <w:r w:rsidR="00331EBC">
        <w:rPr>
          <w:vertAlign w:val="superscript"/>
        </w:rPr>
        <w:t>28</w:t>
      </w:r>
      <w:r w:rsidRPr="008E4155">
        <w:rPr>
          <w:vertAlign w:val="superscript"/>
        </w:rPr>
        <w:fldChar w:fldCharType="end"/>
      </w:r>
      <w:r w:rsidRPr="008E4155">
        <w:t xml:space="preserve">. Articles 4 and 5 describe the general, specific and operational objectives common to all </w:t>
      </w:r>
      <w:r w:rsidR="00103461" w:rsidRPr="008E4155">
        <w:t>partnerships</w:t>
      </w:r>
      <w:r w:rsidRPr="008E4155">
        <w:t xml:space="preserve">. These objectives were identified in a coordinated impact assessment for all partnerships, aiming to align them with the objectives of Horizon Europe and EU policy in </w:t>
      </w:r>
      <w:r w:rsidR="00A20CB0">
        <w:t xml:space="preserve">general. </w:t>
      </w:r>
      <w:r w:rsidR="00A20CB0" w:rsidRPr="008E4155">
        <w:t xml:space="preserve">Article </w:t>
      </w:r>
      <w:r w:rsidR="00F5642C" w:rsidRPr="008E4155">
        <w:t>7</w:t>
      </w:r>
      <w:r w:rsidR="00F5642C">
        <w:t>3</w:t>
      </w:r>
      <w:r w:rsidR="00F5642C" w:rsidRPr="008E4155">
        <w:t xml:space="preserve"> </w:t>
      </w:r>
      <w:r w:rsidR="00A20CB0" w:rsidRPr="008E4155">
        <w:t xml:space="preserve">adds additional general and specific objectives to the </w:t>
      </w:r>
      <w:r w:rsidR="00A20CB0">
        <w:t xml:space="preserve">Clean Hydrogen </w:t>
      </w:r>
      <w:r w:rsidR="00A20CB0" w:rsidRPr="008E4155">
        <w:t>JU, more specific to its role and scope.</w:t>
      </w:r>
    </w:p>
    <w:p w14:paraId="4B661624" w14:textId="77777777" w:rsidR="00A20CB0" w:rsidRPr="008E4155" w:rsidRDefault="00A20CB0" w:rsidP="00A20CB0">
      <w:pPr>
        <w:pStyle w:val="MAWP-Bodytext"/>
      </w:pPr>
      <w:r w:rsidRPr="008E4155">
        <w:t xml:space="preserve">Overall, the objectives of the </w:t>
      </w:r>
      <w:r>
        <w:t xml:space="preserve">Clean Hydrogen </w:t>
      </w:r>
      <w:r w:rsidRPr="008E4155">
        <w:t xml:space="preserve">JU significantly increase, compared to the ones of FCH 2 JU. In particular, the three general objectives of FCH 2 JU become seven in total, four of which are specific to the </w:t>
      </w:r>
      <w:r>
        <w:t xml:space="preserve">Clean Hydrogen </w:t>
      </w:r>
      <w:r w:rsidRPr="008E4155">
        <w:t xml:space="preserve">JU. Similarly, the specific objectives from five in FCH 2 JU become nine in total, four of which are specific to the </w:t>
      </w:r>
      <w:r>
        <w:t xml:space="preserve">Clean Hydrogen </w:t>
      </w:r>
      <w:r w:rsidRPr="008E4155">
        <w:t xml:space="preserve">JU. To these nine, more operational objectives are added, common to all partnerships. In total, the Single Basic Act identifies twenty-nine objectives for the </w:t>
      </w:r>
      <w:r>
        <w:t xml:space="preserve">Clean Hydrogen </w:t>
      </w:r>
      <w:r w:rsidRPr="008E4155">
        <w:t>JU, eleven of which specific to the</w:t>
      </w:r>
      <w:r>
        <w:t xml:space="preserve"> Clean Hydrogen</w:t>
      </w:r>
      <w:r w:rsidRPr="008E4155">
        <w:t xml:space="preserve"> JU.</w:t>
      </w:r>
    </w:p>
    <w:p w14:paraId="266C44C9" w14:textId="6C213988" w:rsidR="00A20CB0" w:rsidRDefault="00A20CB0" w:rsidP="00A20CB0">
      <w:pPr>
        <w:pStyle w:val="MAWP-Bodytext"/>
      </w:pPr>
      <w:r w:rsidRPr="008E4155">
        <w:t>The common objectives for all partnerships ensure clear impact for the EU and its people, achieving strategic objectives such as accelerating the transition towards sustainable development goals and a green and digital Europe, while contributing to recovery from the COVID-related crisis. They aim to strengthen</w:t>
      </w:r>
      <w:r w:rsidRPr="00B364CB">
        <w:t xml:space="preserve"> and integrate the Union’s scientific and technological capacities to support the creation and diffusion of new high-quality knowledge notably with a view to deliver on global challenges, securing Union competitiveness, sustainability and contributing to a reinforced European Research Area.</w:t>
      </w:r>
    </w:p>
    <w:p w14:paraId="76B22435" w14:textId="54C7B88A" w:rsidR="00F218CD" w:rsidRPr="008E4155" w:rsidRDefault="00A20CB0" w:rsidP="00317709">
      <w:pPr>
        <w:pStyle w:val="MAWP-Bodytext"/>
      </w:pPr>
      <w:r w:rsidRPr="00B364CB">
        <w:t xml:space="preserve">The objectives specific to the </w:t>
      </w:r>
      <w:r>
        <w:t xml:space="preserve">Clean Hydrogen </w:t>
      </w:r>
      <w:r w:rsidRPr="00B364CB">
        <w:t xml:space="preserve">JU reflect the need to strengthen and integrate Union scientific capacity in order to accelerate the development and improvement of advanced clean hydrogen applications ready for market, across energy, transport, building and industrial end-uses. In order for </w:t>
      </w:r>
      <w:r w:rsidRPr="00637F43">
        <w:t>that acceleration to become possible, it needs to be</w:t>
      </w:r>
      <w:r w:rsidRPr="00637F43" w:rsidDel="00EF5AAD">
        <w:t xml:space="preserve"> </w:t>
      </w:r>
      <w:r w:rsidRPr="00637F43">
        <w:t xml:space="preserve">combined with actions strengthening competitiveness of the Union clean hydrogen value chain, and notably SMEs. </w:t>
      </w:r>
      <w:r w:rsidR="00824804">
        <w:t>Particular attention is given to the co-operation with other European partnerships under Horizon Europe.</w:t>
      </w:r>
      <w:r w:rsidR="00824804">
        <w:rPr>
          <w:rStyle w:val="FootnoteReference"/>
        </w:rPr>
        <w:footnoteReference w:id="40"/>
      </w:r>
      <w:r w:rsidR="00824804">
        <w:t xml:space="preserve"> For that purpose, a specific structure – the Stakeholder Representative Group (see Section </w:t>
      </w:r>
      <w:r w:rsidR="00824804">
        <w:fldChar w:fldCharType="begin"/>
      </w:r>
      <w:r w:rsidR="00824804">
        <w:instrText xml:space="preserve"> REF _Ref85618589 \r \h </w:instrText>
      </w:r>
      <w:r w:rsidR="00824804">
        <w:fldChar w:fldCharType="separate"/>
      </w:r>
      <w:r w:rsidR="00331EBC">
        <w:t>6.3</w:t>
      </w:r>
      <w:r w:rsidR="00824804">
        <w:fldChar w:fldCharType="end"/>
      </w:r>
      <w:r w:rsidR="00824804">
        <w:t xml:space="preserve">) – will be reporting to the Governing Board. </w:t>
      </w:r>
      <w:r w:rsidR="00824804" w:rsidRPr="00824804">
        <w:rPr>
          <w:noProof/>
          <w:lang w:val="en-IE"/>
        </w:rPr>
        <w:t xml:space="preserve">The </w:t>
      </w:r>
      <w:r w:rsidR="00824804">
        <w:rPr>
          <w:noProof/>
          <w:lang w:val="en-IE"/>
        </w:rPr>
        <w:t>C</w:t>
      </w:r>
      <w:r w:rsidR="00824804" w:rsidRPr="00824804">
        <w:rPr>
          <w:noProof/>
          <w:lang w:val="en-IE"/>
        </w:rPr>
        <w:t xml:space="preserve">lean </w:t>
      </w:r>
      <w:r w:rsidR="00824804">
        <w:rPr>
          <w:noProof/>
          <w:lang w:val="en-IE"/>
        </w:rPr>
        <w:t>H</w:t>
      </w:r>
      <w:r w:rsidR="00824804" w:rsidRPr="00824804">
        <w:rPr>
          <w:noProof/>
          <w:lang w:val="en-IE"/>
        </w:rPr>
        <w:t xml:space="preserve">ydrogen </w:t>
      </w:r>
      <w:r w:rsidR="00824804">
        <w:rPr>
          <w:noProof/>
          <w:lang w:val="en-IE"/>
        </w:rPr>
        <w:t>JU</w:t>
      </w:r>
      <w:r w:rsidR="00824804" w:rsidRPr="00824804">
        <w:rPr>
          <w:noProof/>
          <w:lang w:val="en-IE"/>
        </w:rPr>
        <w:t xml:space="preserve"> </w:t>
      </w:r>
      <w:r w:rsidR="00302D4E" w:rsidRPr="00302D4E">
        <w:rPr>
          <w:noProof/>
          <w:lang w:val="en-IE"/>
        </w:rPr>
        <w:t>would be the only partnership focused on addressing hydrogen production technologies. Collaboration with end-use partnerships should in particular focus on demonstrating the technology and co-defining specifications</w:t>
      </w:r>
      <w:r w:rsidR="00824804">
        <w:t>.</w:t>
      </w:r>
    </w:p>
    <w:p w14:paraId="32F04C20" w14:textId="24E17718" w:rsidR="00F218CD" w:rsidRPr="00637F43" w:rsidRDefault="00F218CD" w:rsidP="00317709">
      <w:pPr>
        <w:pStyle w:val="MAWP-Bodytext"/>
      </w:pPr>
      <w:r w:rsidRPr="00637F43">
        <w:t xml:space="preserve">In this context, the </w:t>
      </w:r>
      <w:r w:rsidRPr="008E4155">
        <w:t>Single Basic Act</w:t>
      </w:r>
      <w:r w:rsidRPr="00637F43">
        <w:t xml:space="preserve"> defines the following general objectives specific </w:t>
      </w:r>
      <w:r w:rsidR="00FE2C5B" w:rsidRPr="00637F43">
        <w:t>for</w:t>
      </w:r>
      <w:r w:rsidRPr="00637F43">
        <w:t xml:space="preserve"> </w:t>
      </w:r>
      <w:r w:rsidR="00AD6144" w:rsidRPr="00637F43">
        <w:t>the</w:t>
      </w:r>
      <w:r w:rsidR="00C02F08" w:rsidRPr="00637F43">
        <w:t xml:space="preserve"> </w:t>
      </w:r>
      <w:r w:rsidR="00243F56">
        <w:t xml:space="preserve">Clean Hydrogen </w:t>
      </w:r>
      <w:r w:rsidRPr="00637F43">
        <w:t>JU</w:t>
      </w:r>
      <w:r w:rsidR="00637F43" w:rsidRPr="00637F43">
        <w:t>, while following the principle of technological neutrality</w:t>
      </w:r>
      <w:r w:rsidRPr="00637F43">
        <w:t>:</w:t>
      </w:r>
    </w:p>
    <w:p w14:paraId="47A5285D" w14:textId="51D1A042" w:rsidR="00F218CD" w:rsidRPr="00637F43" w:rsidRDefault="00F218CD" w:rsidP="002256F6">
      <w:pPr>
        <w:pStyle w:val="MAWP-Bodytext"/>
        <w:numPr>
          <w:ilvl w:val="0"/>
          <w:numId w:val="14"/>
        </w:numPr>
      </w:pPr>
      <w:r w:rsidRPr="00637F43">
        <w:t>Contribute to the objectives set out in the 2030 Climate Target Plan and the European Green Deal</w:t>
      </w:r>
      <w:r w:rsidR="00824804" w:rsidRPr="00824804">
        <w:t xml:space="preserve"> and the European climate law, by raising the Union’s ambition on reducing greenhouse gas emissions to at least 55 % below 1990 levels by 2030, and climate neutrality at the latest by 2050;</w:t>
      </w:r>
    </w:p>
    <w:p w14:paraId="260A4F3A" w14:textId="0CDC854F" w:rsidR="00F218CD" w:rsidRPr="00637F43" w:rsidRDefault="00F218CD" w:rsidP="002256F6">
      <w:pPr>
        <w:pStyle w:val="MAWP-Bodytext"/>
        <w:numPr>
          <w:ilvl w:val="0"/>
          <w:numId w:val="14"/>
        </w:numPr>
      </w:pPr>
      <w:r w:rsidRPr="00637F43">
        <w:t xml:space="preserve">Contribute to the implementation of </w:t>
      </w:r>
      <w:r w:rsidR="00613C41">
        <w:t xml:space="preserve">the </w:t>
      </w:r>
      <w:r w:rsidR="00613C41" w:rsidRPr="00613C41">
        <w:t>2020 European Commission’s Hydrogen Strategy for a climate neutral Europe</w:t>
      </w:r>
      <w:r w:rsidRPr="00637F43">
        <w:rPr>
          <w:rStyle w:val="FootnoteReference"/>
        </w:rPr>
        <w:footnoteReference w:id="41"/>
      </w:r>
      <w:r w:rsidRPr="00637F43">
        <w:t xml:space="preserve">; </w:t>
      </w:r>
    </w:p>
    <w:p w14:paraId="748E3CEF" w14:textId="6DDDB377" w:rsidR="00F218CD" w:rsidRPr="00637F43" w:rsidRDefault="00F218CD" w:rsidP="002256F6">
      <w:pPr>
        <w:pStyle w:val="MAWP-Bodytext"/>
        <w:numPr>
          <w:ilvl w:val="0"/>
          <w:numId w:val="14"/>
        </w:numPr>
      </w:pPr>
      <w:r w:rsidRPr="00637F43">
        <w:lastRenderedPageBreak/>
        <w:t xml:space="preserve">Strengthen </w:t>
      </w:r>
      <w:r w:rsidR="00613C41" w:rsidRPr="003B6D67">
        <w:rPr>
          <w:noProof/>
          <w:lang w:val="en-IE"/>
        </w:rPr>
        <w:t>the competitiveness of the Union clean hydrogen value chain, with a view to supporting, notably SMEs, accelerating the market entry of innovative competitive clean solutions</w:t>
      </w:r>
      <w:r w:rsidRPr="00637F43">
        <w:t xml:space="preserve">;  </w:t>
      </w:r>
    </w:p>
    <w:p w14:paraId="0FC48700" w14:textId="49610406" w:rsidR="00F218CD" w:rsidRPr="00B364CB" w:rsidRDefault="00FE2C5B" w:rsidP="002256F6">
      <w:pPr>
        <w:pStyle w:val="MAWP-Bodytext"/>
        <w:numPr>
          <w:ilvl w:val="0"/>
          <w:numId w:val="14"/>
        </w:numPr>
      </w:pPr>
      <w:r w:rsidRPr="00637F43">
        <w:t>S</w:t>
      </w:r>
      <w:r w:rsidR="00F218CD" w:rsidRPr="00637F43">
        <w:t xml:space="preserve">timulate </w:t>
      </w:r>
      <w:r w:rsidR="00637F43" w:rsidRPr="00637F43">
        <w:t xml:space="preserve">research </w:t>
      </w:r>
      <w:r w:rsidR="00613C41" w:rsidRPr="00613C41">
        <w:rPr>
          <w:lang w:val="en-IE"/>
        </w:rPr>
        <w:t>and innovation on</w:t>
      </w:r>
      <w:r w:rsidR="00613C41" w:rsidRPr="003B6D67">
        <w:rPr>
          <w:noProof/>
          <w:lang w:val="en-IE"/>
        </w:rPr>
        <w:t xml:space="preserve"> clean hydrogen production, distribution, storage and end use applications</w:t>
      </w:r>
      <w:r w:rsidR="00F218CD" w:rsidRPr="00B364CB">
        <w:t>.</w:t>
      </w:r>
    </w:p>
    <w:p w14:paraId="017BCD51" w14:textId="77777777" w:rsidR="00F218CD" w:rsidRPr="00B364CB" w:rsidRDefault="00F218CD" w:rsidP="00317709">
      <w:pPr>
        <w:pStyle w:val="MAWP-Bodytext"/>
        <w:rPr>
          <w:noProof/>
        </w:rPr>
      </w:pPr>
      <w:r w:rsidRPr="00B364CB">
        <w:rPr>
          <w:noProof/>
        </w:rPr>
        <w:t>These are then translated in the following specific objectives:</w:t>
      </w:r>
    </w:p>
    <w:p w14:paraId="05804664" w14:textId="4B3CCF2D" w:rsidR="00F218CD" w:rsidRPr="00B364CB" w:rsidRDefault="00F218CD" w:rsidP="002256F6">
      <w:pPr>
        <w:pStyle w:val="MAWP-Bodytext"/>
        <w:numPr>
          <w:ilvl w:val="0"/>
          <w:numId w:val="15"/>
        </w:numPr>
      </w:pPr>
      <w:r w:rsidRPr="00B364CB">
        <w:t>Improve through research and innovation</w:t>
      </w:r>
      <w:r w:rsidR="00637F43" w:rsidRPr="00637F43">
        <w:t>, including activities related to lower Technology Readiness Levels (TRL),</w:t>
      </w:r>
      <w:r w:rsidRPr="00B364CB">
        <w:t xml:space="preserve"> the cost-effectiveness, </w:t>
      </w:r>
      <w:r w:rsidR="00613C41">
        <w:t xml:space="preserve">efficiency, </w:t>
      </w:r>
      <w:r w:rsidRPr="00B364CB">
        <w:t>reliability, quantity and quality of clean hydrogen solutions</w:t>
      </w:r>
      <w:r w:rsidR="00613C41">
        <w:t>,</w:t>
      </w:r>
      <w:r w:rsidR="00AD6144" w:rsidRPr="00B364CB">
        <w:t xml:space="preserve"> including production, distribution, storage and end uses developed in the Union;</w:t>
      </w:r>
    </w:p>
    <w:p w14:paraId="25191304" w14:textId="67557FCE" w:rsidR="00F218CD" w:rsidRPr="00B364CB" w:rsidRDefault="00F218CD" w:rsidP="002256F6">
      <w:pPr>
        <w:pStyle w:val="MAWP-Bodytext"/>
        <w:numPr>
          <w:ilvl w:val="0"/>
          <w:numId w:val="15"/>
        </w:numPr>
      </w:pPr>
      <w:r w:rsidRPr="00B364CB">
        <w:t>Strengthen the knowledge and capacity of scientific and industrial actors along the Union’s hydrogen value chain</w:t>
      </w:r>
      <w:r w:rsidR="00613C41">
        <w:t xml:space="preserve">, </w:t>
      </w:r>
      <w:r w:rsidR="00613C41" w:rsidRPr="00613C41">
        <w:t>while supporting the uptake of industry-related skills</w:t>
      </w:r>
      <w:r w:rsidRPr="00B364CB">
        <w:t>;</w:t>
      </w:r>
    </w:p>
    <w:p w14:paraId="23FBC7C6" w14:textId="19C296EE" w:rsidR="00AD6144" w:rsidRPr="00B364CB" w:rsidRDefault="00F218CD" w:rsidP="002256F6">
      <w:pPr>
        <w:pStyle w:val="MAWP-Bodytext"/>
        <w:numPr>
          <w:ilvl w:val="0"/>
          <w:numId w:val="15"/>
        </w:numPr>
      </w:pPr>
      <w:r w:rsidRPr="00B364CB">
        <w:t>Carry out demonstrations of clean hydrogen solutions with the view to local, regional and Union-wide deployment</w:t>
      </w:r>
      <w:r w:rsidR="00613C41" w:rsidRPr="00613C41">
        <w:t>, aiming at involving stakeholders in all Member States and</w:t>
      </w:r>
      <w:r w:rsidRPr="00B364CB">
        <w:t xml:space="preserve"> </w:t>
      </w:r>
      <w:r w:rsidR="00AD6144" w:rsidRPr="00B364CB">
        <w:t xml:space="preserve">addressing renewable production, distribution, storage, and use for transport and energy-intensive industries as well as other applications; </w:t>
      </w:r>
    </w:p>
    <w:p w14:paraId="3E5D8781" w14:textId="4894C8A7" w:rsidR="00F218CD" w:rsidRPr="00B364CB" w:rsidRDefault="00F218CD" w:rsidP="002256F6">
      <w:pPr>
        <w:pStyle w:val="MAWP-Bodytext"/>
        <w:numPr>
          <w:ilvl w:val="0"/>
          <w:numId w:val="15"/>
        </w:numPr>
      </w:pPr>
      <w:r w:rsidRPr="00B364CB">
        <w:t xml:space="preserve">Increase public and private awareness, acceptance, and uptake of clean hydrogen solutions, in particular through cooperation with other European </w:t>
      </w:r>
      <w:r w:rsidR="002B7AE5">
        <w:t>p</w:t>
      </w:r>
      <w:r w:rsidRPr="00B364CB">
        <w:t>artnerships under Horizon Europe.</w:t>
      </w:r>
    </w:p>
    <w:p w14:paraId="14268C9F" w14:textId="3131B403" w:rsidR="00D66996" w:rsidRDefault="00F218CD" w:rsidP="00EF600A">
      <w:pPr>
        <w:pStyle w:val="MAWP-Bodytext"/>
        <w:rPr>
          <w:rFonts w:ascii="Times New Roman" w:eastAsiaTheme="minorHAnsi" w:hAnsi="Times New Roman" w:cs="Times New Roman"/>
          <w:noProof/>
          <w:color w:val="auto"/>
          <w:sz w:val="24"/>
          <w:szCs w:val="22"/>
          <w:lang w:val="en-IE" w:eastAsia="en-US" w:bidi="ar-SA"/>
        </w:rPr>
      </w:pPr>
      <w:r w:rsidRPr="00B364CB">
        <w:rPr>
          <w:szCs w:val="22"/>
        </w:rPr>
        <w:t xml:space="preserve">The last specific objective concerning the co-operation with other European </w:t>
      </w:r>
      <w:r w:rsidR="002B7AE5">
        <w:rPr>
          <w:szCs w:val="22"/>
        </w:rPr>
        <w:t>p</w:t>
      </w:r>
      <w:r w:rsidRPr="00B364CB">
        <w:rPr>
          <w:szCs w:val="22"/>
        </w:rPr>
        <w:t xml:space="preserve">artnerships reflects the importance of hydrogen as a fuel, energy carrier and energy storage medium, with application in all end-use sectors. Therefore, it is deemed important that </w:t>
      </w:r>
      <w:r w:rsidR="00FE2C5B" w:rsidRPr="00B364CB">
        <w:rPr>
          <w:szCs w:val="22"/>
        </w:rPr>
        <w:t xml:space="preserve">the </w:t>
      </w:r>
      <w:r w:rsidR="00243F56">
        <w:rPr>
          <w:szCs w:val="22"/>
        </w:rPr>
        <w:t xml:space="preserve">Clean Hydrogen </w:t>
      </w:r>
      <w:r w:rsidRPr="00B364CB">
        <w:rPr>
          <w:szCs w:val="22"/>
        </w:rPr>
        <w:t>JU establishes a structured collaboration with many other Horizon Europe partnerships</w:t>
      </w:r>
      <w:r w:rsidR="00FE2C5B" w:rsidRPr="00B364CB">
        <w:rPr>
          <w:szCs w:val="22"/>
        </w:rPr>
        <w:t xml:space="preserve">. This aspect is discussed in more detail in Section </w:t>
      </w:r>
      <w:r w:rsidR="00FE2C5B" w:rsidRPr="00B364CB">
        <w:rPr>
          <w:szCs w:val="22"/>
        </w:rPr>
        <w:fldChar w:fldCharType="begin"/>
      </w:r>
      <w:r w:rsidR="00FE2C5B" w:rsidRPr="00B364CB">
        <w:rPr>
          <w:szCs w:val="22"/>
        </w:rPr>
        <w:instrText xml:space="preserve"> REF _Ref55249545 \r \h </w:instrText>
      </w:r>
      <w:r w:rsidR="00FE2C5B" w:rsidRPr="00B364CB">
        <w:rPr>
          <w:szCs w:val="22"/>
        </w:rPr>
      </w:r>
      <w:r w:rsidR="00FE2C5B" w:rsidRPr="00B364CB">
        <w:rPr>
          <w:szCs w:val="22"/>
        </w:rPr>
        <w:fldChar w:fldCharType="separate"/>
      </w:r>
      <w:r w:rsidR="00331EBC">
        <w:rPr>
          <w:szCs w:val="22"/>
        </w:rPr>
        <w:t>4.1</w:t>
      </w:r>
      <w:r w:rsidR="00FE2C5B" w:rsidRPr="00B364CB">
        <w:rPr>
          <w:szCs w:val="22"/>
        </w:rPr>
        <w:fldChar w:fldCharType="end"/>
      </w:r>
      <w:r w:rsidRPr="00B364CB">
        <w:rPr>
          <w:szCs w:val="22"/>
        </w:rPr>
        <w:t xml:space="preserve">. </w:t>
      </w:r>
    </w:p>
    <w:p w14:paraId="2D12C6D2" w14:textId="23B04C53" w:rsidR="00E34C2F" w:rsidRPr="00B364CB" w:rsidRDefault="00F52583">
      <w:pPr>
        <w:pStyle w:val="MAWPHeadingStyle1"/>
        <w:rPr>
          <w:rStyle w:val="MAWPTitle"/>
          <w:lang w:val="en-GB"/>
        </w:rPr>
      </w:pPr>
      <w:bookmarkStart w:id="48" w:name="_Toc64640545"/>
      <w:bookmarkStart w:id="49" w:name="_Ref75990514"/>
      <w:bookmarkStart w:id="50" w:name="_Ref75990517"/>
      <w:bookmarkStart w:id="51" w:name="_Ref75990527"/>
      <w:bookmarkStart w:id="52" w:name="_Ref75990535"/>
      <w:bookmarkStart w:id="53" w:name="_Toc93907313"/>
      <w:r w:rsidRPr="00B364CB">
        <w:rPr>
          <w:rStyle w:val="MAWPTitle"/>
          <w:lang w:val="en-GB"/>
        </w:rPr>
        <w:t>Research and Innovation A</w:t>
      </w:r>
      <w:r w:rsidR="00AD3E54" w:rsidRPr="00B364CB">
        <w:rPr>
          <w:rStyle w:val="MAWPTitle"/>
          <w:lang w:val="en-GB"/>
        </w:rPr>
        <w:t>ctivities</w:t>
      </w:r>
      <w:bookmarkEnd w:id="48"/>
      <w:bookmarkEnd w:id="49"/>
      <w:bookmarkEnd w:id="50"/>
      <w:bookmarkEnd w:id="51"/>
      <w:bookmarkEnd w:id="52"/>
      <w:bookmarkEnd w:id="53"/>
    </w:p>
    <w:p w14:paraId="483628E3" w14:textId="372F4CC7" w:rsidR="00836593" w:rsidRPr="00B364CB" w:rsidRDefault="008B064F" w:rsidP="006802D3">
      <w:pPr>
        <w:pStyle w:val="Subtitle"/>
      </w:pPr>
      <w:bookmarkStart w:id="54" w:name="_Toc64640546"/>
      <w:bookmarkStart w:id="55" w:name="_Ref93656253"/>
      <w:bookmarkStart w:id="56" w:name="_Toc93907314"/>
      <w:r w:rsidRPr="00B364CB">
        <w:t>S</w:t>
      </w:r>
      <w:r w:rsidR="00836593" w:rsidRPr="00B364CB">
        <w:t>tructure</w:t>
      </w:r>
      <w:r w:rsidRPr="00B364CB">
        <w:t xml:space="preserve"> of the </w:t>
      </w:r>
      <w:r w:rsidR="00703971">
        <w:t xml:space="preserve">Clean Hydrogen JU </w:t>
      </w:r>
      <w:r w:rsidRPr="00B364CB">
        <w:t>Programme</w:t>
      </w:r>
      <w:bookmarkEnd w:id="54"/>
      <w:bookmarkEnd w:id="55"/>
      <w:bookmarkEnd w:id="56"/>
    </w:p>
    <w:p w14:paraId="783466D5" w14:textId="77777777" w:rsidR="007A3991" w:rsidRDefault="00701446" w:rsidP="00D02106">
      <w:pPr>
        <w:pStyle w:val="MAWP-Bodytext"/>
      </w:pPr>
      <w:r w:rsidRPr="00B364CB">
        <w:t>The Programme of the Clean Hydrogen Joint U</w:t>
      </w:r>
      <w:r w:rsidR="00FF6633" w:rsidRPr="00B364CB">
        <w:t xml:space="preserve">ndertaking has been structured so as to cover all aspects of the hydrogen value chain. </w:t>
      </w:r>
    </w:p>
    <w:p w14:paraId="50693B35" w14:textId="09AAFD3A" w:rsidR="007A3991" w:rsidRDefault="00C0227C" w:rsidP="00E4788A">
      <w:pPr>
        <w:pStyle w:val="Caption"/>
        <w:jc w:val="both"/>
      </w:pPr>
      <w:bookmarkStart w:id="57" w:name="_Ref92466591"/>
      <w:r>
        <w:rPr>
          <w:noProof/>
          <w:lang w:eastAsia="en-GB"/>
        </w:rPr>
        <w:lastRenderedPageBreak/>
        <w:drawing>
          <wp:anchor distT="0" distB="36195" distL="114300" distR="114300" simplePos="0" relativeHeight="251658240" behindDoc="1" locked="0" layoutInCell="1" allowOverlap="1" wp14:anchorId="2553F564" wp14:editId="67789391">
            <wp:simplePos x="0" y="0"/>
            <wp:positionH relativeFrom="margin">
              <wp:posOffset>31115</wp:posOffset>
            </wp:positionH>
            <wp:positionV relativeFrom="paragraph">
              <wp:posOffset>288290</wp:posOffset>
            </wp:positionV>
            <wp:extent cx="5835600" cy="2739600"/>
            <wp:effectExtent l="0" t="0" r="0" b="3810"/>
            <wp:wrapTight wrapText="bothSides">
              <wp:wrapPolygon edited="0">
                <wp:start x="0" y="0"/>
                <wp:lineTo x="0" y="21480"/>
                <wp:lineTo x="21508" y="21480"/>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35600" cy="2739600"/>
                    </a:xfrm>
                    <a:prstGeom prst="rect">
                      <a:avLst/>
                    </a:prstGeom>
                    <a:noFill/>
                  </pic:spPr>
                </pic:pic>
              </a:graphicData>
            </a:graphic>
            <wp14:sizeRelH relativeFrom="margin">
              <wp14:pctWidth>0</wp14:pctWidth>
            </wp14:sizeRelH>
            <wp14:sizeRelV relativeFrom="margin">
              <wp14:pctHeight>0</wp14:pctHeight>
            </wp14:sizeRelV>
          </wp:anchor>
        </w:drawing>
      </w:r>
      <w:r w:rsidR="007A3991">
        <w:t xml:space="preserve">Figure </w:t>
      </w:r>
      <w:r w:rsidR="00322A34">
        <w:fldChar w:fldCharType="begin"/>
      </w:r>
      <w:r w:rsidR="00322A34">
        <w:instrText xml:space="preserve"> SEQ Figure \* ARABIC </w:instrText>
      </w:r>
      <w:r w:rsidR="00322A34">
        <w:fldChar w:fldCharType="separate"/>
      </w:r>
      <w:r w:rsidR="00F151EA">
        <w:rPr>
          <w:noProof/>
        </w:rPr>
        <w:t>1</w:t>
      </w:r>
      <w:r w:rsidR="00322A34">
        <w:fldChar w:fldCharType="end"/>
      </w:r>
      <w:r w:rsidR="007A3991">
        <w:t xml:space="preserve"> Overview of the Clean Hydrogen Joint Undertaking activities</w:t>
      </w:r>
      <w:bookmarkEnd w:id="57"/>
    </w:p>
    <w:p w14:paraId="73FBCC77" w14:textId="63D57F8C" w:rsidR="00FF6633" w:rsidRPr="00B364CB" w:rsidRDefault="00FF6633" w:rsidP="00D02106">
      <w:pPr>
        <w:pStyle w:val="MAWP-Bodytext"/>
      </w:pPr>
      <w:r w:rsidRPr="00B364CB">
        <w:t xml:space="preserve">Its main focus will be on </w:t>
      </w:r>
      <w:r w:rsidR="000B6F73" w:rsidRPr="00B364CB">
        <w:t xml:space="preserve">research and innovation actions on </w:t>
      </w:r>
      <w:r w:rsidRPr="00B364CB">
        <w:t>renewable hydrogen production, but also hydrogen transmission, distribution and storage, alongside stationary and transport end-use technologies</w:t>
      </w:r>
      <w:r w:rsidR="009753B7">
        <w:t xml:space="preserve">, with a strong </w:t>
      </w:r>
      <w:r w:rsidR="009753B7" w:rsidRPr="0025665C">
        <w:t>emphasis</w:t>
      </w:r>
      <w:r w:rsidR="009753B7">
        <w:t xml:space="preserve"> on “circularity and safety by design”</w:t>
      </w:r>
      <w:r w:rsidRPr="00B364CB">
        <w:t>:</w:t>
      </w:r>
    </w:p>
    <w:p w14:paraId="7D2DACFC" w14:textId="121BA3D8" w:rsidR="00FF6633" w:rsidRPr="00B364CB" w:rsidRDefault="00FF6633" w:rsidP="00FF6633">
      <w:pPr>
        <w:pStyle w:val="MAWP-Bodytext"/>
        <w:ind w:left="567"/>
      </w:pPr>
      <w:r w:rsidRPr="00B364CB">
        <w:t>Pillar 1: Renewable Hydrogen Production</w:t>
      </w:r>
      <w:r w:rsidR="000B6F73" w:rsidRPr="00B364CB">
        <w:t xml:space="preserve"> (Section</w:t>
      </w:r>
      <w:r w:rsidR="00C02F08" w:rsidRPr="00B364CB">
        <w:t xml:space="preserve"> </w:t>
      </w:r>
      <w:r w:rsidR="00C02F08" w:rsidRPr="00B364CB">
        <w:fldChar w:fldCharType="begin"/>
      </w:r>
      <w:r w:rsidR="00C02F08" w:rsidRPr="00B364CB">
        <w:instrText xml:space="preserve"> REF _Ref70973168 \r \h </w:instrText>
      </w:r>
      <w:r w:rsidR="00C02F08" w:rsidRPr="00B364CB">
        <w:fldChar w:fldCharType="separate"/>
      </w:r>
      <w:r w:rsidR="00331EBC">
        <w:t>3.2</w:t>
      </w:r>
      <w:r w:rsidR="00C02F08" w:rsidRPr="00B364CB">
        <w:fldChar w:fldCharType="end"/>
      </w:r>
      <w:r w:rsidR="000B6F73" w:rsidRPr="00B364CB">
        <w:t>)</w:t>
      </w:r>
    </w:p>
    <w:p w14:paraId="4134B51F" w14:textId="67203D95" w:rsidR="00FF6633" w:rsidRPr="00B364CB" w:rsidRDefault="00FF6633" w:rsidP="00FF6633">
      <w:pPr>
        <w:pStyle w:val="MAWP-Bodytext"/>
        <w:ind w:left="567"/>
      </w:pPr>
      <w:r w:rsidRPr="00B364CB">
        <w:t>Pillar 2: Hydrogen storage and distribution</w:t>
      </w:r>
      <w:r w:rsidR="000B6F73" w:rsidRPr="00B364CB">
        <w:t xml:space="preserve"> (Section </w:t>
      </w:r>
      <w:r w:rsidR="000B6F73" w:rsidRPr="00B364CB">
        <w:fldChar w:fldCharType="begin"/>
      </w:r>
      <w:r w:rsidR="000B6F73" w:rsidRPr="00B364CB">
        <w:instrText xml:space="preserve"> REF _Ref64056699 \r \h </w:instrText>
      </w:r>
      <w:r w:rsidR="000B6F73" w:rsidRPr="00B364CB">
        <w:fldChar w:fldCharType="separate"/>
      </w:r>
      <w:r w:rsidR="00331EBC">
        <w:t>3.3</w:t>
      </w:r>
      <w:r w:rsidR="000B6F73" w:rsidRPr="00B364CB">
        <w:fldChar w:fldCharType="end"/>
      </w:r>
      <w:r w:rsidR="000B6F73" w:rsidRPr="00B364CB">
        <w:t>)</w:t>
      </w:r>
    </w:p>
    <w:p w14:paraId="5209BE5D" w14:textId="77777777" w:rsidR="007A3991" w:rsidRDefault="00FF6633" w:rsidP="00FF6633">
      <w:pPr>
        <w:pStyle w:val="MAWP-Bodytext"/>
        <w:ind w:left="567"/>
      </w:pPr>
      <w:r w:rsidRPr="00B364CB">
        <w:t>Pillar 3: Hydrogen end uses</w:t>
      </w:r>
    </w:p>
    <w:p w14:paraId="3A793FF5" w14:textId="7DAEB853" w:rsidR="00FF6633" w:rsidRPr="00120F40" w:rsidRDefault="007A3991" w:rsidP="00E4788A">
      <w:pPr>
        <w:pStyle w:val="MAWP-Bodytext"/>
        <w:ind w:left="567" w:firstLine="153"/>
        <w:rPr>
          <w:i/>
        </w:rPr>
      </w:pPr>
      <w:r w:rsidRPr="00120F40">
        <w:rPr>
          <w:i/>
        </w:rPr>
        <w:t>Pillar 3.1</w:t>
      </w:r>
      <w:r w:rsidR="00FF6633" w:rsidRPr="00120F40">
        <w:rPr>
          <w:i/>
        </w:rPr>
        <w:t>: Transport applications</w:t>
      </w:r>
      <w:r w:rsidR="000B6F73" w:rsidRPr="00120F40">
        <w:rPr>
          <w:i/>
        </w:rPr>
        <w:t xml:space="preserve"> (Section </w:t>
      </w:r>
      <w:r w:rsidR="000B6F73" w:rsidRPr="00120F40">
        <w:rPr>
          <w:i/>
        </w:rPr>
        <w:fldChar w:fldCharType="begin"/>
      </w:r>
      <w:r w:rsidR="000B6F73" w:rsidRPr="00120F40">
        <w:rPr>
          <w:i/>
        </w:rPr>
        <w:instrText xml:space="preserve"> REF _Ref64056712 \r \h </w:instrText>
      </w:r>
      <w:r w:rsidR="00C924BE">
        <w:rPr>
          <w:i/>
        </w:rPr>
        <w:instrText xml:space="preserve"> \* MERGEFORMAT </w:instrText>
      </w:r>
      <w:r w:rsidR="000B6F73" w:rsidRPr="00120F40">
        <w:rPr>
          <w:i/>
        </w:rPr>
      </w:r>
      <w:r w:rsidR="000B6F73" w:rsidRPr="00120F40">
        <w:rPr>
          <w:i/>
        </w:rPr>
        <w:fldChar w:fldCharType="separate"/>
      </w:r>
      <w:r w:rsidR="00331EBC">
        <w:rPr>
          <w:i/>
        </w:rPr>
        <w:t>3.4</w:t>
      </w:r>
      <w:r w:rsidR="000B6F73" w:rsidRPr="00120F40">
        <w:rPr>
          <w:i/>
        </w:rPr>
        <w:fldChar w:fldCharType="end"/>
      </w:r>
      <w:r w:rsidR="000B6F73" w:rsidRPr="00120F40">
        <w:rPr>
          <w:i/>
        </w:rPr>
        <w:t>)</w:t>
      </w:r>
    </w:p>
    <w:p w14:paraId="5599F839" w14:textId="2BE2351F" w:rsidR="00FF6633" w:rsidRPr="00120F40" w:rsidRDefault="00FF6633" w:rsidP="00E4788A">
      <w:pPr>
        <w:pStyle w:val="MAWP-Bodytext"/>
        <w:ind w:left="567" w:firstLine="153"/>
        <w:rPr>
          <w:i/>
        </w:rPr>
      </w:pPr>
      <w:r w:rsidRPr="00120F40">
        <w:rPr>
          <w:i/>
        </w:rPr>
        <w:t xml:space="preserve">Pillar </w:t>
      </w:r>
      <w:r w:rsidR="007A3991" w:rsidRPr="00120F40">
        <w:rPr>
          <w:i/>
        </w:rPr>
        <w:t>3.2</w:t>
      </w:r>
      <w:r w:rsidRPr="00120F40">
        <w:rPr>
          <w:i/>
        </w:rPr>
        <w:t>: Clean heat and power</w:t>
      </w:r>
      <w:r w:rsidR="000B6F73" w:rsidRPr="00120F40">
        <w:rPr>
          <w:i/>
        </w:rPr>
        <w:t xml:space="preserve"> (Section </w:t>
      </w:r>
      <w:r w:rsidR="000B6F73" w:rsidRPr="00120F40">
        <w:rPr>
          <w:i/>
        </w:rPr>
        <w:fldChar w:fldCharType="begin"/>
      </w:r>
      <w:r w:rsidR="000B6F73" w:rsidRPr="00120F40">
        <w:rPr>
          <w:i/>
        </w:rPr>
        <w:instrText xml:space="preserve"> REF _Ref64056724 \r \h </w:instrText>
      </w:r>
      <w:r w:rsidR="00C924BE">
        <w:rPr>
          <w:i/>
        </w:rPr>
        <w:instrText xml:space="preserve"> \* MERGEFORMAT </w:instrText>
      </w:r>
      <w:r w:rsidR="000B6F73" w:rsidRPr="00120F40">
        <w:rPr>
          <w:i/>
        </w:rPr>
      </w:r>
      <w:r w:rsidR="000B6F73" w:rsidRPr="00120F40">
        <w:rPr>
          <w:i/>
        </w:rPr>
        <w:fldChar w:fldCharType="separate"/>
      </w:r>
      <w:r w:rsidR="00331EBC">
        <w:rPr>
          <w:i/>
        </w:rPr>
        <w:t>3.5</w:t>
      </w:r>
      <w:r w:rsidR="000B6F73" w:rsidRPr="00120F40">
        <w:rPr>
          <w:i/>
        </w:rPr>
        <w:fldChar w:fldCharType="end"/>
      </w:r>
      <w:r w:rsidR="000B6F73" w:rsidRPr="00120F40">
        <w:rPr>
          <w:i/>
        </w:rPr>
        <w:t>)</w:t>
      </w:r>
    </w:p>
    <w:p w14:paraId="712FA1C3" w14:textId="5CAED854" w:rsidR="000B6F73" w:rsidRPr="00C0227C" w:rsidRDefault="000B6F73" w:rsidP="000B6F73">
      <w:pPr>
        <w:pStyle w:val="MAWP-Bodytext"/>
      </w:pPr>
      <w:r w:rsidRPr="00B364CB">
        <w:t xml:space="preserve">In addition to working within each of these pillars, mass deployment requires </w:t>
      </w:r>
      <w:r w:rsidR="00A85AEE" w:rsidRPr="00B364CB">
        <w:t xml:space="preserve">support and </w:t>
      </w:r>
      <w:r w:rsidRPr="00B364CB">
        <w:t>coordination action</w:t>
      </w:r>
      <w:r w:rsidR="00BD745B" w:rsidRPr="00B364CB">
        <w:t>,</w:t>
      </w:r>
      <w:r w:rsidR="00A85AEE" w:rsidRPr="00B364CB">
        <w:t xml:space="preserve"> but </w:t>
      </w:r>
      <w:r w:rsidR="00A85AEE" w:rsidRPr="00C0227C">
        <w:t xml:space="preserve">also flagship </w:t>
      </w:r>
      <w:r w:rsidR="00AF69FA" w:rsidRPr="00DE6AFE">
        <w:t>actions</w:t>
      </w:r>
      <w:r w:rsidR="00AF69FA" w:rsidRPr="00C0227C">
        <w:rPr>
          <w:rStyle w:val="FootnoteReference"/>
        </w:rPr>
        <w:footnoteReference w:id="42"/>
      </w:r>
      <w:r w:rsidR="00AF69FA" w:rsidRPr="00C0227C">
        <w:t xml:space="preserve"> </w:t>
      </w:r>
      <w:r w:rsidRPr="00C0227C">
        <w:t xml:space="preserve">to be taken at system level. They are thus complemented by </w:t>
      </w:r>
      <w:r w:rsidR="006A1121" w:rsidRPr="00C0227C">
        <w:t xml:space="preserve">four </w:t>
      </w:r>
      <w:r w:rsidRPr="00C0227C">
        <w:t>additional horizontal and cross-cutting activities, necessary as follows:</w:t>
      </w:r>
    </w:p>
    <w:p w14:paraId="1322893C" w14:textId="065C4127" w:rsidR="000B6F73" w:rsidRPr="00C0227C" w:rsidRDefault="000B6F73" w:rsidP="000B6F73">
      <w:pPr>
        <w:pStyle w:val="MAWP-Bodytext"/>
        <w:ind w:left="567"/>
      </w:pPr>
      <w:r w:rsidRPr="00DE6AFE">
        <w:t xml:space="preserve">Horizontal </w:t>
      </w:r>
      <w:r w:rsidRPr="00C0227C">
        <w:t xml:space="preserve">Activity 1: Cross-cutting Issues (Section </w:t>
      </w:r>
      <w:r w:rsidRPr="00C0227C">
        <w:fldChar w:fldCharType="begin"/>
      </w:r>
      <w:r w:rsidRPr="00525971">
        <w:instrText xml:space="preserve"> REF _Ref64056733 \r \h </w:instrText>
      </w:r>
      <w:r w:rsidR="00C0227C">
        <w:instrText xml:space="preserve"> \* MERGEFORMAT </w:instrText>
      </w:r>
      <w:r w:rsidRPr="00C0227C">
        <w:fldChar w:fldCharType="separate"/>
      </w:r>
      <w:r w:rsidR="00331EBC">
        <w:t>3.6</w:t>
      </w:r>
      <w:r w:rsidRPr="00C0227C">
        <w:fldChar w:fldCharType="end"/>
      </w:r>
      <w:r w:rsidRPr="00C0227C">
        <w:t>)</w:t>
      </w:r>
    </w:p>
    <w:p w14:paraId="7D2ED9D4" w14:textId="4A5D7A35" w:rsidR="000B6F73" w:rsidRPr="00B364CB" w:rsidRDefault="000B6F73" w:rsidP="000B6F73">
      <w:pPr>
        <w:pStyle w:val="MAWP-Bodytext"/>
        <w:ind w:left="567"/>
      </w:pPr>
      <w:r w:rsidRPr="00C0227C">
        <w:t>Horizontal Activity 2: Hydrogen</w:t>
      </w:r>
      <w:r w:rsidRPr="00B364CB">
        <w:t xml:space="preserve"> Valleys (Section </w:t>
      </w:r>
      <w:r w:rsidRPr="00B364CB">
        <w:fldChar w:fldCharType="begin"/>
      </w:r>
      <w:r w:rsidRPr="00B364CB">
        <w:instrText xml:space="preserve"> REF _Ref64056745 \r \h </w:instrText>
      </w:r>
      <w:r w:rsidRPr="00B364CB">
        <w:fldChar w:fldCharType="separate"/>
      </w:r>
      <w:r w:rsidR="00331EBC">
        <w:t>3.7</w:t>
      </w:r>
      <w:r w:rsidRPr="00B364CB">
        <w:fldChar w:fldCharType="end"/>
      </w:r>
      <w:r w:rsidRPr="00B364CB">
        <w:t>)</w:t>
      </w:r>
    </w:p>
    <w:p w14:paraId="1302259E" w14:textId="76E5F47B" w:rsidR="000B6F73" w:rsidRPr="00B364CB" w:rsidRDefault="000B6F73" w:rsidP="000B6F73">
      <w:pPr>
        <w:pStyle w:val="MAWP-Bodytext"/>
        <w:ind w:left="567"/>
      </w:pPr>
      <w:r w:rsidRPr="00B364CB">
        <w:t xml:space="preserve">Horizontal Activity 3: Hydrogen Supply Chains (Section </w:t>
      </w:r>
      <w:r w:rsidRPr="00B364CB">
        <w:fldChar w:fldCharType="begin"/>
      </w:r>
      <w:r w:rsidRPr="00B364CB">
        <w:instrText xml:space="preserve"> REF _Ref64056755 \r \h </w:instrText>
      </w:r>
      <w:r w:rsidRPr="00B364CB">
        <w:fldChar w:fldCharType="separate"/>
      </w:r>
      <w:r w:rsidR="00331EBC">
        <w:t>3.8</w:t>
      </w:r>
      <w:r w:rsidRPr="00B364CB">
        <w:fldChar w:fldCharType="end"/>
      </w:r>
      <w:r w:rsidRPr="00B364CB">
        <w:t>)</w:t>
      </w:r>
    </w:p>
    <w:p w14:paraId="7EB63C9E" w14:textId="47B04D7A" w:rsidR="006A1121" w:rsidRDefault="006A1121" w:rsidP="006A1121">
      <w:pPr>
        <w:pStyle w:val="MAWP-Bodytext"/>
        <w:ind w:left="567"/>
      </w:pPr>
      <w:r w:rsidRPr="00B364CB">
        <w:t xml:space="preserve">Horizontal Activity 4: </w:t>
      </w:r>
      <w:r w:rsidR="00773E62" w:rsidRPr="00B364CB">
        <w:t>Strategic Research Challenges</w:t>
      </w:r>
      <w:r w:rsidRPr="00B364CB">
        <w:t xml:space="preserve"> (Section</w:t>
      </w:r>
      <w:r w:rsidR="00773E62" w:rsidRPr="00B364CB">
        <w:t xml:space="preserve"> </w:t>
      </w:r>
      <w:r w:rsidR="00773E62" w:rsidRPr="00B364CB">
        <w:fldChar w:fldCharType="begin"/>
      </w:r>
      <w:r w:rsidR="00773E62" w:rsidRPr="00B364CB">
        <w:instrText xml:space="preserve"> REF _Ref71613833 \r \h </w:instrText>
      </w:r>
      <w:r w:rsidR="00773E62" w:rsidRPr="00B364CB">
        <w:fldChar w:fldCharType="separate"/>
      </w:r>
      <w:r w:rsidR="00331EBC">
        <w:t>3.9</w:t>
      </w:r>
      <w:r w:rsidR="00773E62" w:rsidRPr="00B364CB">
        <w:fldChar w:fldCharType="end"/>
      </w:r>
      <w:r w:rsidRPr="00B364CB">
        <w:t>)</w:t>
      </w:r>
    </w:p>
    <w:p w14:paraId="77E919C8" w14:textId="5500D38C" w:rsidR="00F40970" w:rsidRDefault="00C924BE" w:rsidP="00E4788A">
      <w:pPr>
        <w:pStyle w:val="MAWP-Bodytext"/>
      </w:pPr>
      <w:r>
        <w:t xml:space="preserve">For </w:t>
      </w:r>
      <w:r w:rsidRPr="00CF0DF4">
        <w:t xml:space="preserve">each Pillar and Horizontal </w:t>
      </w:r>
      <w:r w:rsidR="006233E3" w:rsidRPr="00CF0DF4">
        <w:t>Activity,</w:t>
      </w:r>
      <w:r w:rsidRPr="00CF0DF4">
        <w:t xml:space="preserve"> specific objectives are described, accompanied by a number of actions</w:t>
      </w:r>
      <w:r w:rsidRPr="00CF0DF4">
        <w:rPr>
          <w:rStyle w:val="FootnoteReference"/>
          <w:color w:val="auto"/>
        </w:rPr>
        <w:footnoteReference w:id="43"/>
      </w:r>
      <w:r w:rsidRPr="00CF0DF4">
        <w:t xml:space="preserve"> aiming to contribute towards their achievement. These actions </w:t>
      </w:r>
      <w:r w:rsidR="006233E3" w:rsidRPr="00CF0DF4">
        <w:t>comprise of long-term, breakthrough-oriented research, applied research and technology development, demonstrations</w:t>
      </w:r>
      <w:r w:rsidR="006233E3">
        <w:t xml:space="preserve"> and supporting actions, including strategic studies, pre-normative actions and technology assessment. All these elements are described in detail in Section </w:t>
      </w:r>
      <w:r w:rsidR="006233E3">
        <w:fldChar w:fldCharType="begin"/>
      </w:r>
      <w:r w:rsidR="006233E3">
        <w:instrText xml:space="preserve"> REF _Ref75990535 \n \h </w:instrText>
      </w:r>
      <w:r w:rsidR="006233E3">
        <w:fldChar w:fldCharType="separate"/>
      </w:r>
      <w:r w:rsidR="00331EBC">
        <w:t>3</w:t>
      </w:r>
      <w:r w:rsidR="006233E3">
        <w:fldChar w:fldCharType="end"/>
      </w:r>
      <w:r w:rsidR="006233E3">
        <w:t xml:space="preserve">. </w:t>
      </w:r>
      <w:r w:rsidR="00F40970">
        <w:t xml:space="preserve">The research and innovation activities </w:t>
      </w:r>
      <w:r w:rsidR="006233E3">
        <w:t>are</w:t>
      </w:r>
      <w:r w:rsidR="00F40970">
        <w:t xml:space="preserve"> complemented by a number of additional activities described in </w:t>
      </w:r>
      <w:r w:rsidR="00F40970">
        <w:lastRenderedPageBreak/>
        <w:t xml:space="preserve">Section </w:t>
      </w:r>
      <w:r w:rsidR="00F40970">
        <w:fldChar w:fldCharType="begin"/>
      </w:r>
      <w:r w:rsidR="00F40970">
        <w:instrText xml:space="preserve"> REF _Ref75423612 \r \h </w:instrText>
      </w:r>
      <w:r w:rsidR="00F40970">
        <w:fldChar w:fldCharType="separate"/>
      </w:r>
      <w:r w:rsidR="00331EBC">
        <w:t>4</w:t>
      </w:r>
      <w:r w:rsidR="00F40970">
        <w:fldChar w:fldCharType="end"/>
      </w:r>
      <w:r w:rsidR="00F40970">
        <w:t>.</w:t>
      </w:r>
    </w:p>
    <w:p w14:paraId="1E3C7D37" w14:textId="5B73743F" w:rsidR="006233E3" w:rsidRPr="00B364CB" w:rsidRDefault="008C0A99" w:rsidP="00E4788A">
      <w:pPr>
        <w:pStyle w:val="MAWP-Bodytext"/>
      </w:pPr>
      <w:r>
        <w:rPr>
          <w:noProof/>
          <w:lang w:bidi="ar-SA"/>
        </w:rPr>
        <mc:AlternateContent>
          <mc:Choice Requires="wps">
            <w:drawing>
              <wp:inline distT="0" distB="0" distL="0" distR="0" wp14:anchorId="5A8E9BE0" wp14:editId="1EA3631C">
                <wp:extent cx="5838825" cy="2562276"/>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562276"/>
                        </a:xfrm>
                        <a:prstGeom prst="rect">
                          <a:avLst/>
                        </a:prstGeom>
                        <a:solidFill>
                          <a:schemeClr val="bg1">
                            <a:lumMod val="95000"/>
                          </a:schemeClr>
                        </a:solidFill>
                        <a:ln w="9525">
                          <a:solidFill>
                            <a:srgbClr val="000000"/>
                          </a:solidFill>
                          <a:miter lim="800000"/>
                          <a:headEnd/>
                          <a:tailEnd/>
                        </a:ln>
                      </wps:spPr>
                      <wps:txbx>
                        <w:txbxContent>
                          <w:p w14:paraId="02E04FC9" w14:textId="603EF077" w:rsidR="00F76020" w:rsidRPr="00120F40" w:rsidRDefault="00F76020" w:rsidP="00120F40">
                            <w:pPr>
                              <w:pStyle w:val="MAWP-Bodytext"/>
                              <w:rPr>
                                <w:b/>
                              </w:rPr>
                            </w:pPr>
                            <w:r w:rsidRPr="00120F40">
                              <w:rPr>
                                <w:b/>
                              </w:rPr>
                              <w:t>Types of Action</w:t>
                            </w:r>
                            <w:r>
                              <w:rPr>
                                <w:b/>
                              </w:rPr>
                              <w:t xml:space="preserve">s in the </w:t>
                            </w:r>
                            <w:r w:rsidR="002967E8">
                              <w:rPr>
                                <w:b/>
                              </w:rPr>
                              <w:t>SRIA</w:t>
                            </w:r>
                          </w:p>
                          <w:p w14:paraId="1A8E051B" w14:textId="2FE8D92F" w:rsidR="00F76020" w:rsidRPr="008C0A99" w:rsidRDefault="00F76020" w:rsidP="00120F40">
                            <w:pPr>
                              <w:pStyle w:val="MAWP-Bodytext"/>
                            </w:pPr>
                            <w:r w:rsidRPr="00120F40">
                              <w:rPr>
                                <w:b/>
                              </w:rPr>
                              <w:t>Research and Innovation Actions</w:t>
                            </w:r>
                            <w:r>
                              <w:t xml:space="preserve"> consisting of activities aiming to establish new knowledge (Early </w:t>
                            </w:r>
                            <w:r w:rsidRPr="008C0A99">
                              <w:t xml:space="preserve">Stage Research Actions) and/or to explore the feasibility of a new or improved technology, product, process, service or solution (Development Stage Research Actions). </w:t>
                            </w:r>
                            <w:r>
                              <w:t>Such actions target in general lower</w:t>
                            </w:r>
                            <w:r w:rsidRPr="008C0A99">
                              <w:t xml:space="preserve"> Technology Readiness Level (TRL). </w:t>
                            </w:r>
                          </w:p>
                          <w:p w14:paraId="4602B92E" w14:textId="49A8ECE0" w:rsidR="00F76020" w:rsidRPr="008C0A99" w:rsidRDefault="00F76020" w:rsidP="00120F40">
                            <w:pPr>
                              <w:pStyle w:val="MAWP-Bodytext"/>
                            </w:pPr>
                            <w:r w:rsidRPr="00120F40">
                              <w:rPr>
                                <w:b/>
                              </w:rPr>
                              <w:t>Innovation Actions</w:t>
                            </w:r>
                            <w:r w:rsidRPr="008C0A99">
                              <w:t xml:space="preserve"> consisting of activities aimed at producing plans and arrangement or designs for new, altered or improved products, processes or services, and will include prototypes, demonstrations or pilot, and market replication activities. Projects may include limited research &amp; innovation activities</w:t>
                            </w:r>
                            <w:r>
                              <w:t xml:space="preserve"> and have in general </w:t>
                            </w:r>
                            <w:r w:rsidRPr="008C0A99">
                              <w:t xml:space="preserve"> </w:t>
                            </w:r>
                            <w:r>
                              <w:t xml:space="preserve">a higher </w:t>
                            </w:r>
                            <w:r w:rsidRPr="008C0A99">
                              <w:t xml:space="preserve">TRL.  </w:t>
                            </w:r>
                          </w:p>
                          <w:p w14:paraId="432D04AD" w14:textId="42B2EA2A" w:rsidR="00F76020" w:rsidRPr="008C0A99" w:rsidRDefault="00F76020" w:rsidP="00120F40">
                            <w:pPr>
                              <w:pStyle w:val="MAWP-Bodytext"/>
                            </w:pPr>
                            <w:r w:rsidRPr="00120F40">
                              <w:rPr>
                                <w:b/>
                              </w:rPr>
                              <w:t>Coordination and support actions</w:t>
                            </w:r>
                            <w:r w:rsidRPr="008C0A99">
                              <w:t xml:space="preserve"> consisting, inter alia, of measures such as standardisation, dissemination, awareness raising and communication, networking, coordination or support services, and studies.</w:t>
                            </w:r>
                          </w:p>
                          <w:p w14:paraId="49CC4FF4" w14:textId="77777777" w:rsidR="00F76020" w:rsidRPr="008C0A99" w:rsidRDefault="00F76020" w:rsidP="00120F40">
                            <w:pPr>
                              <w:pStyle w:val="MAWP-Bodytext"/>
                            </w:pP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8E9BE0" id="Text Box 2" o:spid="_x0000_s1027" type="#_x0000_t202" style="width:459.75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" fillcolor="#f2f2f2 [3052]">
                <v:textbox>
                  <w:txbxContent>
                    <w:p w14:paraId="02E04FC9" w14:textId="603EF077" w:rsidR="00F76020" w:rsidRPr="00120F40" w:rsidRDefault="00F76020" w:rsidP="00120F40">
                      <w:pPr>
                        <w:pStyle w:val="MAWP-Bodytext"/>
                        <w:rPr>
                          <w:b/>
                        </w:rPr>
                      </w:pPr>
                      <w:r w:rsidRPr="00120F40">
                        <w:rPr>
                          <w:b/>
                        </w:rPr>
                        <w:t>Types of Action</w:t>
                      </w:r>
                      <w:r>
                        <w:rPr>
                          <w:b/>
                        </w:rPr>
                        <w:t xml:space="preserve">s in the </w:t>
                      </w:r>
                      <w:r w:rsidR="002967E8">
                        <w:rPr>
                          <w:b/>
                        </w:rPr>
                        <w:t>SRIA</w:t>
                      </w:r>
                    </w:p>
                    <w:p w14:paraId="1A8E051B" w14:textId="2FE8D92F" w:rsidR="00F76020" w:rsidRPr="008C0A99" w:rsidRDefault="00F76020" w:rsidP="00120F40">
                      <w:pPr>
                        <w:pStyle w:val="MAWP-Bodytext"/>
                      </w:pPr>
                      <w:r w:rsidRPr="00120F40">
                        <w:rPr>
                          <w:b/>
                        </w:rPr>
                        <w:t>Research and Innovation Actions</w:t>
                      </w:r>
                      <w:r>
                        <w:t xml:space="preserve"> consisting of activities aiming to establish new knowledge (</w:t>
                      </w:r>
                      <w:proofErr w:type="gramStart"/>
                      <w:r>
                        <w:t xml:space="preserve">Early </w:t>
                      </w:r>
                      <w:r w:rsidRPr="008C0A99">
                        <w:t>Stage</w:t>
                      </w:r>
                      <w:proofErr w:type="gramEnd"/>
                      <w:r w:rsidRPr="008C0A99">
                        <w:t xml:space="preserve"> Research Actions) and/or to explore the feasibility of a new or improved technology, product, process, service or solution (Development Stage Research Actions). </w:t>
                      </w:r>
                      <w:r>
                        <w:t>Such actions target in general lower</w:t>
                      </w:r>
                      <w:r w:rsidRPr="008C0A99">
                        <w:t xml:space="preserve"> Technology Readiness Level (TRL). </w:t>
                      </w:r>
                    </w:p>
                    <w:p w14:paraId="4602B92E" w14:textId="49A8ECE0" w:rsidR="00F76020" w:rsidRPr="008C0A99" w:rsidRDefault="00F76020" w:rsidP="00120F40">
                      <w:pPr>
                        <w:pStyle w:val="MAWP-Bodytext"/>
                      </w:pPr>
                      <w:r w:rsidRPr="00120F40">
                        <w:rPr>
                          <w:b/>
                        </w:rPr>
                        <w:t>Innovation Actions</w:t>
                      </w:r>
                      <w:r w:rsidRPr="008C0A99">
                        <w:t xml:space="preserve"> consisting of activities aimed at producing plans and arrangement or designs for new, </w:t>
                      </w:r>
                      <w:proofErr w:type="gramStart"/>
                      <w:r w:rsidRPr="008C0A99">
                        <w:t>altered</w:t>
                      </w:r>
                      <w:proofErr w:type="gramEnd"/>
                      <w:r w:rsidRPr="008C0A99">
                        <w:t xml:space="preserve"> or improved products, processes or services, and will include prototypes, demonstrations or pilot, and market replication activities. Projects may include limited research &amp; innovation activities</w:t>
                      </w:r>
                      <w:r>
                        <w:t xml:space="preserve"> and have in </w:t>
                      </w:r>
                      <w:proofErr w:type="gramStart"/>
                      <w:r>
                        <w:t xml:space="preserve">general </w:t>
                      </w:r>
                      <w:r w:rsidRPr="008C0A99">
                        <w:t xml:space="preserve"> </w:t>
                      </w:r>
                      <w:r>
                        <w:t>a</w:t>
                      </w:r>
                      <w:proofErr w:type="gramEnd"/>
                      <w:r>
                        <w:t xml:space="preserve"> higher </w:t>
                      </w:r>
                      <w:r w:rsidRPr="008C0A99">
                        <w:t xml:space="preserve">TRL.  </w:t>
                      </w:r>
                    </w:p>
                    <w:p w14:paraId="432D04AD" w14:textId="42B2EA2A" w:rsidR="00F76020" w:rsidRPr="008C0A99" w:rsidRDefault="00F76020" w:rsidP="00120F40">
                      <w:pPr>
                        <w:pStyle w:val="MAWP-Bodytext"/>
                      </w:pPr>
                      <w:r w:rsidRPr="00120F40">
                        <w:rPr>
                          <w:b/>
                        </w:rPr>
                        <w:t>Coordination and support actions</w:t>
                      </w:r>
                      <w:r w:rsidRPr="008C0A99">
                        <w:t xml:space="preserve"> consisting, inter alia, of measures such as standardisation, dissemination, awareness raising and communication, networking, coordination or support services, and studies.</w:t>
                      </w:r>
                    </w:p>
                    <w:p w14:paraId="49CC4FF4" w14:textId="77777777" w:rsidR="00F76020" w:rsidRPr="008C0A99" w:rsidRDefault="00F76020" w:rsidP="00120F40">
                      <w:pPr>
                        <w:pStyle w:val="MAWP-Bodytext"/>
                      </w:pPr>
                    </w:p>
                  </w:txbxContent>
                </v:textbox>
                <w10:anchorlock/>
              </v:shape>
            </w:pict>
          </mc:Fallback>
        </mc:AlternateContent>
      </w:r>
    </w:p>
    <w:p w14:paraId="37DC01B2" w14:textId="5A2848FB" w:rsidR="00FB6838" w:rsidRPr="00B364CB" w:rsidRDefault="006B3E49" w:rsidP="006802D3">
      <w:pPr>
        <w:pStyle w:val="Subtitle"/>
      </w:pPr>
      <w:bookmarkStart w:id="58" w:name="_Ref64056683"/>
      <w:bookmarkStart w:id="59" w:name="_Toc70970861"/>
      <w:bookmarkStart w:id="60" w:name="_Ref70973168"/>
      <w:bookmarkStart w:id="61" w:name="_Toc93907315"/>
      <w:r w:rsidRPr="00B364CB">
        <w:t xml:space="preserve">Renewable </w:t>
      </w:r>
      <w:r w:rsidR="00154D01" w:rsidRPr="00B364CB">
        <w:t>Hydrogen production</w:t>
      </w:r>
      <w:bookmarkEnd w:id="58"/>
      <w:bookmarkEnd w:id="59"/>
      <w:bookmarkEnd w:id="60"/>
      <w:bookmarkEnd w:id="61"/>
    </w:p>
    <w:p w14:paraId="60C4AE7C" w14:textId="7CB5F96A" w:rsidR="006B3E49" w:rsidRPr="00B364CB" w:rsidRDefault="006B3E49" w:rsidP="00317709">
      <w:pPr>
        <w:pStyle w:val="MAWP-Bodytext"/>
      </w:pPr>
      <w:r w:rsidRPr="00B364CB">
        <w:t>Most of the hydrogen that is currently being produced in the EU and worldwide is produced from fossil fuels – either by steam reforming of natural gas or gasification of coal. If hydrogen is to realise its potential to be an energy vector in a decarbonised economy, it needs to be produced on a mass scale in a sustainable way</w:t>
      </w:r>
      <w:r w:rsidR="0042606E">
        <w:t>.</w:t>
      </w:r>
      <w:r w:rsidRPr="00B364CB">
        <w:t xml:space="preserve"> </w:t>
      </w:r>
      <w:r w:rsidR="0042606E">
        <w:t>F</w:t>
      </w:r>
      <w:r w:rsidRPr="00B364CB">
        <w:t>or that to happen</w:t>
      </w:r>
      <w:r w:rsidR="0042606E">
        <w:t>,</w:t>
      </w:r>
      <w:r w:rsidRPr="00B364CB">
        <w:t xml:space="preserve"> renewable hydrogen needs to become cost-competitive</w:t>
      </w:r>
      <w:r w:rsidR="00F94084">
        <w:t xml:space="preserve"> </w:t>
      </w:r>
      <w:r w:rsidR="008F55BB">
        <w:t>and its technologies need to be scaled up in a fashion similar to renewable</w:t>
      </w:r>
      <w:r w:rsidR="008755F1">
        <w:t xml:space="preserve"> technologies</w:t>
      </w:r>
      <w:r w:rsidR="008F55BB">
        <w:t xml:space="preserve"> during the last decade</w:t>
      </w:r>
      <w:r w:rsidRPr="00B364CB">
        <w:t xml:space="preserve">. For </w:t>
      </w:r>
      <w:r w:rsidR="00E0339C" w:rsidRPr="00B364CB">
        <w:t xml:space="preserve">renewable </w:t>
      </w:r>
      <w:r w:rsidRPr="00B364CB">
        <w:t>hydrogen to be competitive with conventional fuels in transport applications</w:t>
      </w:r>
      <w:r w:rsidR="0042606E">
        <w:t>,</w:t>
      </w:r>
      <w:r w:rsidRPr="00B364CB">
        <w:t xml:space="preserve"> a cost </w:t>
      </w:r>
      <w:r w:rsidR="0042606E">
        <w:t>around</w:t>
      </w:r>
      <w:r w:rsidRPr="008E4155">
        <w:t xml:space="preserve"> 5</w:t>
      </w:r>
      <w:r w:rsidR="00A10676" w:rsidRPr="00B364CB">
        <w:t xml:space="preserve"> €</w:t>
      </w:r>
      <w:r w:rsidRPr="008E4155">
        <w:t>/kg</w:t>
      </w:r>
      <w:r w:rsidRPr="00B364CB">
        <w:t xml:space="preserve"> at the pump must be achieved </w:t>
      </w:r>
      <w:r w:rsidR="00B13BB1" w:rsidRPr="00B364CB">
        <w:t>for</w:t>
      </w:r>
      <w:r w:rsidRPr="00B364CB">
        <w:t xml:space="preserve"> cost parity with diesel </w:t>
      </w:r>
      <w:r w:rsidR="00144009" w:rsidRPr="00B364CB">
        <w:t>fuel</w:t>
      </w:r>
      <w:r w:rsidR="005E18DF" w:rsidRPr="00B364CB">
        <w:rPr>
          <w:rStyle w:val="FootnoteReference"/>
        </w:rPr>
        <w:footnoteReference w:id="44"/>
      </w:r>
      <w:r w:rsidR="00D34F01">
        <w:t xml:space="preserve">, </w:t>
      </w:r>
      <w:r w:rsidR="0042606E">
        <w:t xml:space="preserve">which can be further lowered though through the aid of the recently proposed </w:t>
      </w:r>
      <w:r w:rsidR="00D34F01">
        <w:t>ETS</w:t>
      </w:r>
      <w:r w:rsidR="0042606E">
        <w:t>-</w:t>
      </w:r>
      <w:r w:rsidR="00D34F01">
        <w:t xml:space="preserve">2 and some of the new measures </w:t>
      </w:r>
      <w:r w:rsidR="0042606E">
        <w:t xml:space="preserve">included </w:t>
      </w:r>
      <w:r w:rsidR="00D34F01">
        <w:t xml:space="preserve">in the </w:t>
      </w:r>
      <w:r w:rsidR="0042606E">
        <w:t>revision of the Effort Sharing Decision</w:t>
      </w:r>
      <w:r w:rsidRPr="00B364CB">
        <w:t xml:space="preserve">. For Industry, renewable hydrogen </w:t>
      </w:r>
      <w:r w:rsidR="00ED5EFA" w:rsidRPr="00B364CB">
        <w:t xml:space="preserve">costs </w:t>
      </w:r>
      <w:r w:rsidRPr="00B364CB">
        <w:t xml:space="preserve">must reach </w:t>
      </w:r>
      <w:r w:rsidR="00ED5EFA" w:rsidRPr="00B364CB">
        <w:t xml:space="preserve">levels </w:t>
      </w:r>
      <w:r w:rsidRPr="00B364CB">
        <w:t xml:space="preserve">between </w:t>
      </w:r>
      <w:r w:rsidR="00144009" w:rsidRPr="008E4155">
        <w:t>2</w:t>
      </w:r>
      <w:r w:rsidRPr="008E4155">
        <w:t>-3</w:t>
      </w:r>
      <w:r w:rsidR="00A10676" w:rsidRPr="00B364CB">
        <w:t xml:space="preserve"> €</w:t>
      </w:r>
      <w:r w:rsidRPr="008E4155">
        <w:t>/kg</w:t>
      </w:r>
      <w:r w:rsidRPr="00B364CB">
        <w:t xml:space="preserve"> as a feedstock</w:t>
      </w:r>
      <w:r w:rsidR="005E18DF" w:rsidRPr="00B364CB">
        <w:rPr>
          <w:rStyle w:val="FootnoteReference"/>
        </w:rPr>
        <w:footnoteReference w:id="45"/>
      </w:r>
      <w:r w:rsidR="00B13BB1" w:rsidRPr="00B364CB">
        <w:t xml:space="preserve">, in order to achieve </w:t>
      </w:r>
      <w:r w:rsidRPr="00B364CB">
        <w:t>parity with fossil-based inputs</w:t>
      </w:r>
      <w:r w:rsidR="0042606E">
        <w:t>,</w:t>
      </w:r>
      <w:r w:rsidRPr="00B364CB">
        <w:t xml:space="preserve"> once the cost of carbon is included</w:t>
      </w:r>
      <w:r w:rsidR="00B13BB1" w:rsidRPr="00B364CB">
        <w:t xml:space="preserve"> in the feedstock cost</w:t>
      </w:r>
      <w:r w:rsidRPr="00B364CB">
        <w:t>.</w:t>
      </w:r>
    </w:p>
    <w:p w14:paraId="7466AA94" w14:textId="75734803" w:rsidR="006B3E49" w:rsidRPr="00B364CB" w:rsidRDefault="006B3E49" w:rsidP="00317709">
      <w:pPr>
        <w:pStyle w:val="MAWP-Bodytext"/>
        <w:rPr>
          <w:highlight w:val="cyan"/>
        </w:rPr>
      </w:pPr>
      <w:r w:rsidRPr="00B364CB">
        <w:t>To reach this objective, further improvements are required especially in cost reduction and efficiency increase for a variety of renewable hydrogen production routes, the main workhorse being electrolysis, supported by other routes exploiting direct sunlight</w:t>
      </w:r>
      <w:r w:rsidR="000D73F3">
        <w:t xml:space="preserve"> like thermal dissociation of water using concentrated solar energy or through photocatalysis</w:t>
      </w:r>
      <w:r w:rsidR="00ED5EFA" w:rsidRPr="00B364CB">
        <w:t>,</w:t>
      </w:r>
      <w:r w:rsidRPr="00B364CB">
        <w:t xml:space="preserve"> biomass/biogas</w:t>
      </w:r>
      <w:r w:rsidR="00ED5EFA" w:rsidRPr="00B364CB">
        <w:t xml:space="preserve"> or other biological routes</w:t>
      </w:r>
      <w:r w:rsidRPr="00B364CB">
        <w:t>. Through electrolysis</w:t>
      </w:r>
      <w:r w:rsidR="008C5919" w:rsidRPr="00B364CB">
        <w:t>,</w:t>
      </w:r>
      <w:r w:rsidRPr="00B364CB">
        <w:t xml:space="preserve"> higher</w:t>
      </w:r>
      <w:r w:rsidR="00922A27">
        <w:t xml:space="preserve"> and more efficient</w:t>
      </w:r>
      <w:r w:rsidRPr="00B364CB">
        <w:t xml:space="preserve"> integration of renewables within the overall energy system can be </w:t>
      </w:r>
      <w:r w:rsidR="00A85AEE" w:rsidRPr="00B364CB">
        <w:t xml:space="preserve">also </w:t>
      </w:r>
      <w:r w:rsidRPr="00B364CB">
        <w:t xml:space="preserve">achieved. </w:t>
      </w:r>
    </w:p>
    <w:p w14:paraId="64158EB8" w14:textId="32C9F558" w:rsidR="003254C3" w:rsidRPr="00B364CB" w:rsidRDefault="006B3E49" w:rsidP="006159FD">
      <w:pPr>
        <w:pStyle w:val="MAWP-Bodytext"/>
      </w:pPr>
      <w:r w:rsidRPr="00B364CB">
        <w:t xml:space="preserve">Water electrolysis will be the main technology supported, covering high TRL types like </w:t>
      </w:r>
      <w:r w:rsidR="00013C77" w:rsidRPr="00B364CB">
        <w:t>Alkaline Electrolys</w:t>
      </w:r>
      <w:r w:rsidR="003254C3" w:rsidRPr="00B364CB">
        <w:t xml:space="preserve">is </w:t>
      </w:r>
      <w:r w:rsidR="00013C77" w:rsidRPr="00B364CB">
        <w:t>(</w:t>
      </w:r>
      <w:r w:rsidRPr="00B364CB">
        <w:t>AEL</w:t>
      </w:r>
      <w:r w:rsidR="00013C77" w:rsidRPr="00B364CB">
        <w:t>)</w:t>
      </w:r>
      <w:r w:rsidRPr="00B364CB">
        <w:t xml:space="preserve">, </w:t>
      </w:r>
      <w:r w:rsidR="00013C77" w:rsidRPr="00B364CB">
        <w:t>Proton Exchange Membrane Electrolys</w:t>
      </w:r>
      <w:r w:rsidR="003254C3" w:rsidRPr="00B364CB">
        <w:t xml:space="preserve">is </w:t>
      </w:r>
      <w:r w:rsidR="00013C77" w:rsidRPr="00B364CB">
        <w:t>(</w:t>
      </w:r>
      <w:r w:rsidRPr="00B364CB">
        <w:t>PEMEL</w:t>
      </w:r>
      <w:r w:rsidR="00013C77" w:rsidRPr="00B364CB">
        <w:t>)</w:t>
      </w:r>
      <w:r w:rsidRPr="00B364CB">
        <w:t xml:space="preserve">, </w:t>
      </w:r>
      <w:r w:rsidR="00013C77" w:rsidRPr="00B364CB">
        <w:t>Solid Oxide Electrolys</w:t>
      </w:r>
      <w:r w:rsidR="003254C3" w:rsidRPr="00B364CB">
        <w:t>is</w:t>
      </w:r>
      <w:r w:rsidR="00013C77" w:rsidRPr="00B364CB">
        <w:t xml:space="preserve"> (</w:t>
      </w:r>
      <w:r w:rsidRPr="00B364CB">
        <w:t>SOEL</w:t>
      </w:r>
      <w:r w:rsidR="00013C77" w:rsidRPr="00B364CB">
        <w:t>)</w:t>
      </w:r>
      <w:r w:rsidRPr="00B364CB">
        <w:t xml:space="preserve"> or less mature types like </w:t>
      </w:r>
      <w:r w:rsidR="003254C3" w:rsidRPr="00B364CB">
        <w:t>Anion Exchange Membrane Electrolysis (</w:t>
      </w:r>
      <w:r w:rsidRPr="00B364CB">
        <w:t>AEMEL</w:t>
      </w:r>
      <w:r w:rsidR="003254C3" w:rsidRPr="00B364CB">
        <w:t>)</w:t>
      </w:r>
      <w:r w:rsidRPr="00B364CB">
        <w:t xml:space="preserve"> and </w:t>
      </w:r>
      <w:r w:rsidR="003254C3" w:rsidRPr="00B364CB">
        <w:t>Proton Conducting Ceramic Electrolysis (</w:t>
      </w:r>
      <w:r w:rsidRPr="00B364CB">
        <w:t>PCCEL</w:t>
      </w:r>
      <w:r w:rsidR="003254C3" w:rsidRPr="00B364CB">
        <w:t>)</w:t>
      </w:r>
      <w:r w:rsidRPr="00B364CB">
        <w:t xml:space="preserve">. </w:t>
      </w:r>
    </w:p>
    <w:p w14:paraId="336C09F2" w14:textId="13D25954" w:rsidR="006B3E49" w:rsidRDefault="00B16CA1" w:rsidP="006159FD">
      <w:pPr>
        <w:pStyle w:val="MAWP-Bodytext"/>
      </w:pPr>
      <w:r w:rsidRPr="00B364CB">
        <w:t>As presented in Annex 2, s</w:t>
      </w:r>
      <w:r w:rsidR="00C67B6E" w:rsidRPr="00B364CB">
        <w:t>tate of the art</w:t>
      </w:r>
      <w:r w:rsidR="006B3E49" w:rsidRPr="00B364CB">
        <w:t xml:space="preserve"> electrical consumption </w:t>
      </w:r>
      <w:r w:rsidR="00C67B6E" w:rsidRPr="00B364CB">
        <w:t xml:space="preserve">at stack level </w:t>
      </w:r>
      <w:r w:rsidR="0058743B" w:rsidRPr="00B364CB">
        <w:t>is 5</w:t>
      </w:r>
      <w:r w:rsidRPr="00B364CB">
        <w:t>0</w:t>
      </w:r>
      <w:r w:rsidR="002E54F2" w:rsidRPr="00B364CB">
        <w:t xml:space="preserve"> </w:t>
      </w:r>
      <w:r w:rsidR="006B3E49" w:rsidRPr="00B364CB">
        <w:t xml:space="preserve">kWh/kg for </w:t>
      </w:r>
      <w:r w:rsidR="00144009" w:rsidRPr="00B364CB">
        <w:t xml:space="preserve">AEL </w:t>
      </w:r>
      <w:r w:rsidR="006B3E49" w:rsidRPr="00B364CB">
        <w:t xml:space="preserve">and 55 kWh/kg of </w:t>
      </w:r>
      <w:r w:rsidR="00140652" w:rsidRPr="00B364CB">
        <w:t>hydrogen</w:t>
      </w:r>
      <w:r w:rsidR="006B3E49" w:rsidRPr="00B364CB">
        <w:t xml:space="preserve"> for PEMEL while the target for 2030 is for these figures to be </w:t>
      </w:r>
      <w:r w:rsidR="006B3E49" w:rsidRPr="00B364CB">
        <w:lastRenderedPageBreak/>
        <w:t>reduced to 48</w:t>
      </w:r>
      <w:r w:rsidR="002E54F2" w:rsidRPr="00B364CB">
        <w:t xml:space="preserve"> </w:t>
      </w:r>
      <w:r w:rsidR="006B3E49" w:rsidRPr="00B364CB">
        <w:t xml:space="preserve">kWh/kg for </w:t>
      </w:r>
      <w:r w:rsidRPr="00B364CB">
        <w:t>AEL</w:t>
      </w:r>
      <w:r w:rsidR="002E54F2" w:rsidRPr="00B364CB">
        <w:t xml:space="preserve"> and</w:t>
      </w:r>
      <w:r w:rsidRPr="00B364CB">
        <w:t xml:space="preserve"> </w:t>
      </w:r>
      <w:r w:rsidR="0082236F" w:rsidRPr="00B364CB">
        <w:t>50</w:t>
      </w:r>
      <w:r w:rsidR="002E54F2" w:rsidRPr="00B364CB">
        <w:t xml:space="preserve"> </w:t>
      </w:r>
      <w:r w:rsidR="00015AB2" w:rsidRPr="00B364CB">
        <w:t>k</w:t>
      </w:r>
      <w:r w:rsidR="0082236F" w:rsidRPr="00B364CB">
        <w:t>Wh</w:t>
      </w:r>
      <w:r w:rsidRPr="00B364CB">
        <w:t>/</w:t>
      </w:r>
      <w:r w:rsidR="00F826AE">
        <w:t>k</w:t>
      </w:r>
      <w:r w:rsidRPr="00B364CB">
        <w:t xml:space="preserve">g for PEMEL </w:t>
      </w:r>
      <w:r w:rsidR="006B3E49" w:rsidRPr="00B364CB">
        <w:t>(69% efficiency</w:t>
      </w:r>
      <w:r w:rsidR="00C67B6E" w:rsidRPr="00B364CB">
        <w:t>, LHV</w:t>
      </w:r>
      <w:r w:rsidR="0082236F" w:rsidRPr="00B364CB">
        <w:t>)</w:t>
      </w:r>
      <w:r w:rsidR="002E54F2" w:rsidRPr="00B364CB">
        <w:t>.</w:t>
      </w:r>
      <w:r w:rsidR="005F082D" w:rsidRPr="00B364CB">
        <w:t xml:space="preserve"> </w:t>
      </w:r>
      <w:r w:rsidR="00F5690F" w:rsidRPr="00B364CB">
        <w:t>For SOEL current 40</w:t>
      </w:r>
      <w:r w:rsidR="002E54F2" w:rsidRPr="00B364CB">
        <w:t xml:space="preserve"> </w:t>
      </w:r>
      <w:r w:rsidR="00F5690F" w:rsidRPr="00B364CB">
        <w:t>kWh</w:t>
      </w:r>
      <w:r w:rsidR="00F5690F" w:rsidRPr="00B364CB">
        <w:rPr>
          <w:vertAlign w:val="subscript"/>
        </w:rPr>
        <w:t>e</w:t>
      </w:r>
      <w:r w:rsidR="00F5690F" w:rsidRPr="00B364CB">
        <w:t xml:space="preserve">/kg </w:t>
      </w:r>
      <w:r w:rsidR="005F082D" w:rsidRPr="00B364CB">
        <w:t>for SOEL</w:t>
      </w:r>
      <w:r w:rsidR="0082236F" w:rsidRPr="00B364CB">
        <w:t xml:space="preserve"> </w:t>
      </w:r>
      <w:r w:rsidR="00F5690F" w:rsidRPr="00B364CB">
        <w:t>and 10</w:t>
      </w:r>
      <w:r w:rsidR="002E54F2" w:rsidRPr="00B364CB">
        <w:t xml:space="preserve"> </w:t>
      </w:r>
      <w:r w:rsidR="00F5690F" w:rsidRPr="00B364CB">
        <w:t>kWh</w:t>
      </w:r>
      <w:r w:rsidR="00F5690F" w:rsidRPr="00B364CB">
        <w:rPr>
          <w:vertAlign w:val="subscript"/>
        </w:rPr>
        <w:t>th</w:t>
      </w:r>
      <w:r w:rsidR="00F5690F" w:rsidRPr="00B364CB">
        <w:t>/kg is to be reduced to 37</w:t>
      </w:r>
      <w:r w:rsidR="002E54F2" w:rsidRPr="00B364CB">
        <w:t xml:space="preserve"> </w:t>
      </w:r>
      <w:r w:rsidR="00F5690F" w:rsidRPr="00B364CB">
        <w:t>kWh</w:t>
      </w:r>
      <w:r w:rsidR="00F5690F" w:rsidRPr="00B364CB">
        <w:rPr>
          <w:vertAlign w:val="subscript"/>
        </w:rPr>
        <w:t>e</w:t>
      </w:r>
      <w:r w:rsidR="00F5690F" w:rsidRPr="00B364CB">
        <w:t>/kg and 8</w:t>
      </w:r>
      <w:r w:rsidR="002E54F2" w:rsidRPr="00B364CB">
        <w:t xml:space="preserve"> </w:t>
      </w:r>
      <w:r w:rsidR="00F5690F" w:rsidRPr="00B364CB">
        <w:t>kWh</w:t>
      </w:r>
      <w:r w:rsidR="00F5690F" w:rsidRPr="00B364CB">
        <w:rPr>
          <w:vertAlign w:val="subscript"/>
        </w:rPr>
        <w:t>th</w:t>
      </w:r>
      <w:r w:rsidR="00F5690F" w:rsidRPr="00B364CB">
        <w:t xml:space="preserve">/kg by 2030. </w:t>
      </w:r>
      <w:r w:rsidR="006B3E49" w:rsidRPr="00B364CB">
        <w:t xml:space="preserve">Similarly, the current cost of MW-size </w:t>
      </w:r>
      <w:r w:rsidR="00C67B6E" w:rsidRPr="00B364CB">
        <w:t xml:space="preserve">AEL </w:t>
      </w:r>
      <w:r w:rsidR="006B3E49" w:rsidRPr="00B364CB">
        <w:t>electrolysers is 600</w:t>
      </w:r>
      <w:r w:rsidR="00036A22" w:rsidRPr="00B364CB">
        <w:t xml:space="preserve"> </w:t>
      </w:r>
      <w:r w:rsidR="00582387" w:rsidRPr="00B364CB">
        <w:t>€/kW</w:t>
      </w:r>
      <w:r w:rsidR="0074087E" w:rsidRPr="00B364CB">
        <w:t>,</w:t>
      </w:r>
      <w:r w:rsidR="002E54F2" w:rsidRPr="00B364CB">
        <w:t xml:space="preserve"> </w:t>
      </w:r>
      <w:r w:rsidR="00582387" w:rsidRPr="00B364CB">
        <w:t>for PEM 900 €</w:t>
      </w:r>
      <w:r w:rsidR="006B3E49" w:rsidRPr="00B364CB">
        <w:t>/kW</w:t>
      </w:r>
      <w:r w:rsidR="00990BBB" w:rsidRPr="00B364CB">
        <w:t xml:space="preserve"> and 2,130 €/kW for SOEL</w:t>
      </w:r>
      <w:r w:rsidR="0082236F" w:rsidRPr="00B364CB">
        <w:t>.</w:t>
      </w:r>
      <w:r w:rsidR="006B3E49" w:rsidRPr="00B364CB">
        <w:t xml:space="preserve"> These costs are t</w:t>
      </w:r>
      <w:r w:rsidR="00582387" w:rsidRPr="00B364CB">
        <w:t>o be reduced to 400</w:t>
      </w:r>
      <w:r w:rsidR="00EB1A61" w:rsidRPr="00B364CB">
        <w:t xml:space="preserve"> €/kW</w:t>
      </w:r>
      <w:r w:rsidR="00C941A2" w:rsidRPr="00B364CB">
        <w:t>,</w:t>
      </w:r>
      <w:r w:rsidR="00582387" w:rsidRPr="00B364CB">
        <w:t xml:space="preserve"> 500 </w:t>
      </w:r>
      <w:r w:rsidR="00EB1A61" w:rsidRPr="00B364CB">
        <w:t xml:space="preserve">€/kW </w:t>
      </w:r>
      <w:r w:rsidR="0082236F" w:rsidRPr="00B364CB">
        <w:t xml:space="preserve">and </w:t>
      </w:r>
      <w:r w:rsidR="00EB1A61" w:rsidRPr="00B364CB">
        <w:t xml:space="preserve">520 </w:t>
      </w:r>
      <w:r w:rsidR="00582387" w:rsidRPr="00B364CB">
        <w:t>€</w:t>
      </w:r>
      <w:r w:rsidR="008C5919" w:rsidRPr="00B364CB">
        <w:t xml:space="preserve">/kW </w:t>
      </w:r>
      <w:r w:rsidR="00EB1A61" w:rsidRPr="00B364CB">
        <w:t xml:space="preserve">for AEL, PEM and SOEL </w:t>
      </w:r>
      <w:r w:rsidR="008C5919" w:rsidRPr="00B364CB">
        <w:t>respectively by</w:t>
      </w:r>
      <w:r w:rsidR="006B3E49" w:rsidRPr="00B364CB">
        <w:t xml:space="preserve"> 2030.</w:t>
      </w:r>
      <w:r w:rsidR="00582387" w:rsidRPr="00B364CB">
        <w:t xml:space="preserve"> </w:t>
      </w:r>
      <w:r w:rsidR="006B3E49" w:rsidRPr="00B364CB">
        <w:t>Further reduction could be achieved through streamlined manufacturing processes. In regions where renewable electricity is cheap, electrolysers are expected to be able to compete with fossil-based hydrogen in 2030.</w:t>
      </w:r>
    </w:p>
    <w:p w14:paraId="07B9B82C" w14:textId="79F67E3E" w:rsidR="000D73F3" w:rsidRPr="00B364CB" w:rsidRDefault="000D73F3" w:rsidP="006159FD">
      <w:pPr>
        <w:pStyle w:val="MAWP-Bodytext"/>
      </w:pPr>
      <w:r>
        <w:t>Cheap renewable electricity can be produced onshore</w:t>
      </w:r>
      <w:r w:rsidR="00EB756A">
        <w:t>,</w:t>
      </w:r>
      <w:r>
        <w:t xml:space="preserve"> but also offshore</w:t>
      </w:r>
      <w:r w:rsidR="00EB756A">
        <w:t>.</w:t>
      </w:r>
      <w:r>
        <w:t xml:space="preserve"> </w:t>
      </w:r>
      <w:r w:rsidR="00EB756A">
        <w:t>T</w:t>
      </w:r>
      <w:r>
        <w:t xml:space="preserve">he </w:t>
      </w:r>
      <w:r w:rsidRPr="000D73F3">
        <w:t>EU Strategy on Offshore Renewable Energy proposes to increase Europe's offshore wind capacity from its current level of 12 GW to at least 60 GW by 2030 and to 300 GW by 2050</w:t>
      </w:r>
      <w:r>
        <w:t xml:space="preserve">. Particular attention therefore will be paid to offshore renewable Hydrogen production. </w:t>
      </w:r>
    </w:p>
    <w:p w14:paraId="0CD69F0D" w14:textId="380BA6B4" w:rsidR="00580E97" w:rsidRPr="00B364CB" w:rsidRDefault="00831A2C" w:rsidP="006159FD">
      <w:pPr>
        <w:pStyle w:val="MAWP-Bodytext"/>
      </w:pPr>
      <w:r>
        <w:t xml:space="preserve">Clean Hydrogen </w:t>
      </w:r>
      <w:r w:rsidR="00E27E75" w:rsidRPr="00B364CB">
        <w:t>JU</w:t>
      </w:r>
      <w:r>
        <w:t>’s</w:t>
      </w:r>
      <w:r w:rsidR="000E4BD5" w:rsidRPr="00B364CB">
        <w:t xml:space="preserve"> s</w:t>
      </w:r>
      <w:r w:rsidR="00DF6E10" w:rsidRPr="00B364CB">
        <w:t>upport to</w:t>
      </w:r>
      <w:r w:rsidR="00580E97" w:rsidRPr="00B364CB">
        <w:t xml:space="preserve"> hydrogen production </w:t>
      </w:r>
      <w:r w:rsidR="00B872A4">
        <w:t xml:space="preserve">demonstration </w:t>
      </w:r>
      <w:r w:rsidR="00580E97" w:rsidRPr="00B364CB">
        <w:t xml:space="preserve">will be </w:t>
      </w:r>
      <w:r w:rsidR="00DF6E10" w:rsidRPr="00B364CB">
        <w:t>limited to</w:t>
      </w:r>
      <w:r w:rsidR="00580E97" w:rsidRPr="00B364CB">
        <w:t xml:space="preserve"> renewable hydrogen</w:t>
      </w:r>
      <w:r w:rsidR="00E27E75" w:rsidRPr="00B364CB">
        <w:t>,</w:t>
      </w:r>
      <w:r w:rsidR="00DF6E10" w:rsidRPr="00B364CB">
        <w:t xml:space="preserve"> while </w:t>
      </w:r>
      <w:r w:rsidR="000E4BD5" w:rsidRPr="00B364CB">
        <w:t>support to</w:t>
      </w:r>
      <w:r w:rsidR="00DF6E10" w:rsidRPr="00B364CB">
        <w:t xml:space="preserve"> low-carbon hydrogen production could be </w:t>
      </w:r>
      <w:r w:rsidR="000E4BD5" w:rsidRPr="00B364CB">
        <w:t xml:space="preserve">provided </w:t>
      </w:r>
      <w:r w:rsidR="00DF6E10" w:rsidRPr="00B364CB">
        <w:t xml:space="preserve">by other </w:t>
      </w:r>
      <w:r w:rsidR="00E27E75" w:rsidRPr="00B364CB">
        <w:t>EU funding</w:t>
      </w:r>
      <w:r w:rsidR="00DF6E10" w:rsidRPr="00B364CB">
        <w:t xml:space="preserve"> </w:t>
      </w:r>
      <w:r w:rsidR="00E07E6C">
        <w:t>programmes,</w:t>
      </w:r>
      <w:r w:rsidR="00DF6E10" w:rsidRPr="00B364CB">
        <w:t xml:space="preserve"> like the Innovation </w:t>
      </w:r>
      <w:r w:rsidR="00E27E75" w:rsidRPr="00B364CB">
        <w:t>F</w:t>
      </w:r>
      <w:r w:rsidR="00DF6E10" w:rsidRPr="00B364CB">
        <w:t>und</w:t>
      </w:r>
      <w:r w:rsidR="00E07E6C">
        <w:t xml:space="preserve">, </w:t>
      </w:r>
      <w:r w:rsidR="00DF6E10" w:rsidRPr="00B364CB">
        <w:t xml:space="preserve">or </w:t>
      </w:r>
      <w:r w:rsidR="000E4BD5" w:rsidRPr="00B364CB">
        <w:t xml:space="preserve">by </w:t>
      </w:r>
      <w:r w:rsidR="00DF6E10" w:rsidRPr="00B364CB">
        <w:t xml:space="preserve">other </w:t>
      </w:r>
      <w:r w:rsidR="002B7AE5">
        <w:t>p</w:t>
      </w:r>
      <w:r w:rsidR="00DF6E10" w:rsidRPr="00B364CB">
        <w:t>artnerships</w:t>
      </w:r>
      <w:r w:rsidR="00A85AEE" w:rsidRPr="00B364CB">
        <w:t xml:space="preserve"> within Horizon Europe</w:t>
      </w:r>
      <w:r w:rsidR="00580E97" w:rsidRPr="00B364CB">
        <w:t xml:space="preserve">. </w:t>
      </w:r>
      <w:r w:rsidR="005D6A5A" w:rsidRPr="00B364CB">
        <w:t>Low-carbon hydrogen</w:t>
      </w:r>
      <w:r w:rsidR="00E27E75" w:rsidRPr="00B364CB">
        <w:t>,</w:t>
      </w:r>
      <w:r w:rsidR="005D6A5A" w:rsidRPr="00B364CB">
        <w:t xml:space="preserve"> however</w:t>
      </w:r>
      <w:r w:rsidR="00E27E75" w:rsidRPr="00B364CB">
        <w:t>,</w:t>
      </w:r>
      <w:r w:rsidR="005D6A5A" w:rsidRPr="00B364CB">
        <w:t xml:space="preserve"> is not excluded from the hydrogen storag</w:t>
      </w:r>
      <w:r w:rsidR="00E27E75" w:rsidRPr="00B364CB">
        <w:t xml:space="preserve">e, distribution and end-use </w:t>
      </w:r>
      <w:r w:rsidR="00A85AEE" w:rsidRPr="00B364CB">
        <w:t xml:space="preserve">activities </w:t>
      </w:r>
      <w:r w:rsidR="00E27E75" w:rsidRPr="00B364CB">
        <w:t>of this</w:t>
      </w:r>
      <w:r w:rsidR="005D6A5A" w:rsidRPr="00B364CB">
        <w:t xml:space="preserve"> </w:t>
      </w:r>
      <w:r w:rsidR="002967E8">
        <w:t>SRIA</w:t>
      </w:r>
      <w:r w:rsidR="005D6A5A" w:rsidRPr="00B364CB">
        <w:t>.</w:t>
      </w:r>
    </w:p>
    <w:p w14:paraId="58BBFBEC" w14:textId="58310E24" w:rsidR="00AC64F9" w:rsidRPr="00B364CB" w:rsidRDefault="00B06A1E" w:rsidP="006802D3">
      <w:pPr>
        <w:pStyle w:val="MAWPsubtitle2"/>
      </w:pPr>
      <w:bookmarkStart w:id="62" w:name="_Toc64640547"/>
      <w:bookmarkStart w:id="63" w:name="_Toc93907316"/>
      <w:r w:rsidRPr="00B364CB">
        <w:t>E</w:t>
      </w:r>
      <w:r w:rsidR="00AC64F9" w:rsidRPr="00B364CB">
        <w:t>lectrolysis</w:t>
      </w:r>
      <w:bookmarkEnd w:id="62"/>
      <w:bookmarkEnd w:id="63"/>
    </w:p>
    <w:p w14:paraId="75C1C6A3" w14:textId="04A1BAA0" w:rsidR="006B3E49" w:rsidRPr="00B364CB" w:rsidRDefault="006B3E49" w:rsidP="00C52896">
      <w:pPr>
        <w:pStyle w:val="MAWPHeadingStyleLevel4"/>
      </w:pPr>
      <w:r w:rsidRPr="00B364CB">
        <w:t xml:space="preserve">Rationale for </w:t>
      </w:r>
      <w:r w:rsidR="00461DFD" w:rsidRPr="00B364CB">
        <w:t>S</w:t>
      </w:r>
      <w:r w:rsidRPr="00B364CB">
        <w:t>upport</w:t>
      </w:r>
    </w:p>
    <w:p w14:paraId="25EE62D6" w14:textId="5D3102E3" w:rsidR="006B3E49" w:rsidRPr="00B364CB" w:rsidRDefault="006B3E49" w:rsidP="006159FD">
      <w:pPr>
        <w:pStyle w:val="MAWP-Bodytext"/>
      </w:pPr>
      <w:r w:rsidRPr="00B364CB">
        <w:t>Water electrolysis has been used to produce hydrogen</w:t>
      </w:r>
      <w:r w:rsidR="00314F2A" w:rsidRPr="00B364CB">
        <w:t xml:space="preserve"> in industry</w:t>
      </w:r>
      <w:r w:rsidRPr="00B364CB">
        <w:t xml:space="preserve"> for nearly a century. Electrolysis has the potential to be a </w:t>
      </w:r>
      <w:r w:rsidR="00EB62D7" w:rsidRPr="00B364CB">
        <w:t>zero-</w:t>
      </w:r>
      <w:r w:rsidRPr="00B364CB">
        <w:t>emission form of hydrogen production, if powered by renewables</w:t>
      </w:r>
      <w:r w:rsidR="0082236F" w:rsidRPr="00B364CB">
        <w:rPr>
          <w:rStyle w:val="FootnoteReference"/>
        </w:rPr>
        <w:footnoteReference w:id="46"/>
      </w:r>
      <w:r w:rsidR="0082236F" w:rsidRPr="00B364CB">
        <w:t>.</w:t>
      </w:r>
      <w:r w:rsidRPr="00B364CB">
        <w:t xml:space="preserve"> Electrolysis is a key means for enabling renewable energy penetration into all sectors, with electrolytic hydrogen being produced at, or transported to, the points of use. Renewable hydrogen produced through electrolysis enables the increased penetration of </w:t>
      </w:r>
      <w:r w:rsidR="00F37509" w:rsidRPr="00B364CB">
        <w:t>variable</w:t>
      </w:r>
      <w:r w:rsidRPr="00B364CB">
        <w:t xml:space="preserve"> renewable energy </w:t>
      </w:r>
      <w:r w:rsidR="0082236F" w:rsidRPr="00B364CB">
        <w:t>into</w:t>
      </w:r>
      <w:r w:rsidRPr="00B364CB">
        <w:t xml:space="preserve"> hard to decarbonise sectors like industry, transport, building &amp; heating. However, considerable development of electrolyser technology, cost, performance and durability, connectivity to renewables</w:t>
      </w:r>
      <w:r w:rsidR="00155418">
        <w:t xml:space="preserve">, </w:t>
      </w:r>
      <w:r w:rsidR="00B2205C">
        <w:t>water management</w:t>
      </w:r>
      <w:r w:rsidRPr="00B364CB">
        <w:t xml:space="preserve"> and the scale of deployment is still needed to achieve this vision. Other technologies such as reversible electrolysis and co-electrolysis will contribute to technology progress, widening the impact to the energy and industrial sectors. </w:t>
      </w:r>
    </w:p>
    <w:p w14:paraId="088E05CE" w14:textId="0A0A590F" w:rsidR="006B3E49" w:rsidRPr="00B364CB" w:rsidRDefault="006B3E49" w:rsidP="006159FD">
      <w:pPr>
        <w:pStyle w:val="MAWP-Bodytext"/>
      </w:pPr>
      <w:r w:rsidRPr="00B364CB">
        <w:t xml:space="preserve">Approximately </w:t>
      </w:r>
      <w:r w:rsidR="00AB32A0" w:rsidRPr="00B364CB">
        <w:t xml:space="preserve">8 </w:t>
      </w:r>
      <w:r w:rsidRPr="00B364CB">
        <w:t>Mt/year of hydrogen</w:t>
      </w:r>
      <w:r w:rsidR="00715DAF" w:rsidRPr="00B364CB">
        <w:rPr>
          <w:rStyle w:val="FootnoteReference"/>
        </w:rPr>
        <w:footnoteReference w:id="47"/>
      </w:r>
      <w:r w:rsidRPr="00B364CB">
        <w:t xml:space="preserve"> is currently used in Europe in a wide range of industrial processes (mainly refining &amp; ammonia production). These quantities are largely </w:t>
      </w:r>
      <w:r w:rsidR="00314F2A" w:rsidRPr="00B364CB">
        <w:t xml:space="preserve">fossil-based hydrogen </w:t>
      </w:r>
      <w:r w:rsidRPr="00B364CB">
        <w:t xml:space="preserve">produced by </w:t>
      </w:r>
      <w:r w:rsidR="008714FB" w:rsidRPr="00B364CB">
        <w:t>Steam Methane Reforming (</w:t>
      </w:r>
      <w:r w:rsidRPr="00B364CB">
        <w:t>SMR</w:t>
      </w:r>
      <w:r w:rsidR="008714FB" w:rsidRPr="00B364CB">
        <w:t>)</w:t>
      </w:r>
      <w:r w:rsidRPr="00B364CB">
        <w:t xml:space="preserve"> from fossil natural gas and can be replaced by renewable hydrogen. Furthermore, renewable hydrogen can replace fossil fuels as a feedstock in other industrial process</w:t>
      </w:r>
      <w:r w:rsidR="00CE60B5" w:rsidRPr="00B364CB">
        <w:t>es</w:t>
      </w:r>
      <w:r w:rsidRPr="00B364CB">
        <w:t xml:space="preserve"> (e.g. coke as a reducing agent in the steel manufacturing process</w:t>
      </w:r>
      <w:r w:rsidR="00AB32A0" w:rsidRPr="00B364CB">
        <w:t xml:space="preserve">, particularly in </w:t>
      </w:r>
      <w:r w:rsidR="008714FB" w:rsidRPr="00B364CB">
        <w:t>Direct Reduced Iron – DRI -</w:t>
      </w:r>
      <w:r w:rsidR="00AB32A0" w:rsidRPr="00B364CB">
        <w:t xml:space="preserve"> furnaces</w:t>
      </w:r>
      <w:r w:rsidRPr="00B364CB">
        <w:t>) and can be used in combination with CO</w:t>
      </w:r>
      <w:r w:rsidRPr="00B364CB">
        <w:rPr>
          <w:vertAlign w:val="subscript"/>
        </w:rPr>
        <w:t>2</w:t>
      </w:r>
      <w:r w:rsidR="008566F3">
        <w:rPr>
          <w:vertAlign w:val="subscript"/>
        </w:rPr>
        <w:t xml:space="preserve"> </w:t>
      </w:r>
      <w:r w:rsidR="008566F3" w:rsidRPr="008566F3">
        <w:t>(preferably sustainable)</w:t>
      </w:r>
      <w:r w:rsidR="00CE60B5" w:rsidRPr="008566F3">
        <w:t>,</w:t>
      </w:r>
      <w:r w:rsidRPr="00B364CB">
        <w:t xml:space="preserve"> producing liquid fuels, synthetic natural gas and important petrochemicals as well as an energy source for heat and power generation</w:t>
      </w:r>
      <w:r w:rsidRPr="00975BA8">
        <w:t>.</w:t>
      </w:r>
      <w:r w:rsidR="00A926C1" w:rsidRPr="00975BA8">
        <w:t xml:space="preserve"> </w:t>
      </w:r>
      <w:r w:rsidRPr="00B364CB">
        <w:t xml:space="preserve">The scale and particularities of industrial forecourts dictate particular developments for electrolysers for their successful integration. </w:t>
      </w:r>
    </w:p>
    <w:p w14:paraId="72DE1198" w14:textId="1E21BA79" w:rsidR="00534597" w:rsidRDefault="006B3E49" w:rsidP="006159FD">
      <w:pPr>
        <w:pStyle w:val="MAWP-Bodytext"/>
      </w:pPr>
      <w:r w:rsidRPr="00B364CB">
        <w:t xml:space="preserve">European manufacturers and supporting industries are well placed to keep Europe as the global leader on electrolysis technologies, securing high value jobs through manufacturing and </w:t>
      </w:r>
      <w:r w:rsidRPr="00B364CB">
        <w:lastRenderedPageBreak/>
        <w:t>supply chain.</w:t>
      </w:r>
      <w:r w:rsidR="00AB32A0" w:rsidRPr="00B364CB">
        <w:t xml:space="preserve"> R&amp;I will be key to maintain this leadership in time.</w:t>
      </w:r>
    </w:p>
    <w:p w14:paraId="2E365ACE" w14:textId="445F2CEF" w:rsidR="00DB68C4" w:rsidRDefault="00DB68C4" w:rsidP="00DB68C4">
      <w:pPr>
        <w:pStyle w:val="MAWP-Bodytext"/>
      </w:pPr>
      <w:r w:rsidRPr="00DB68C4">
        <w:t xml:space="preserve">Deployment of </w:t>
      </w:r>
      <w:r>
        <w:t>competitive r</w:t>
      </w:r>
      <w:r w:rsidRPr="00307E05">
        <w:t>enewable hydroge</w:t>
      </w:r>
      <w:r>
        <w:t>n</w:t>
      </w:r>
      <w:r w:rsidRPr="00307E05">
        <w:t xml:space="preserve"> implies</w:t>
      </w:r>
      <w:r>
        <w:t xml:space="preserve"> the need of tackling electrolysis cost and performance in parallel to renewable power cost (including the electrical grid), since the cost of renewable power is the main driver of the cost of renewable hydrogen. Reaching a competitive renewable hydrogen will request the development of dedicated renewable assets (i.e. wind turbines, associated orchestration systems, hydro, batteries, converters, transformers, other grid assets…). The variable nature of renewable have a direct impact on the design of the electrolysis and respective costs (i.e. CAPEX, OPEX…). A system thinking approach between renewable asset, electrical grid, controls and electrolysis is essential to know which research path are the most viable to reach parity with fossil fuel-based hydrogen production while optimizing EU funding availability. </w:t>
      </w:r>
    </w:p>
    <w:p w14:paraId="76CABACC" w14:textId="1C93A6D6" w:rsidR="006B3E49" w:rsidRPr="00B364CB" w:rsidRDefault="00461DFD" w:rsidP="00C52896">
      <w:pPr>
        <w:pStyle w:val="MAWPHeadingStyleLevel4"/>
        <w:rPr>
          <w:b/>
        </w:rPr>
      </w:pPr>
      <w:r w:rsidRPr="00B364CB">
        <w:t>State of the Art</w:t>
      </w:r>
    </w:p>
    <w:p w14:paraId="5A6D11E1" w14:textId="7A3D693D" w:rsidR="006B3E49" w:rsidRPr="00B364CB" w:rsidRDefault="006B3E49" w:rsidP="006159FD">
      <w:pPr>
        <w:pStyle w:val="MAWP-Bodytext"/>
      </w:pPr>
      <w:r w:rsidRPr="00B364CB">
        <w:t xml:space="preserve">Water and Steam electrolysis demonstration projects for AEL, PEMEL and SOEL technologies up to few MW scale </w:t>
      </w:r>
      <w:r w:rsidR="00534597" w:rsidRPr="00B364CB">
        <w:t xml:space="preserve">are </w:t>
      </w:r>
      <w:r w:rsidR="00A85AEE" w:rsidRPr="00B364CB">
        <w:t xml:space="preserve">already </w:t>
      </w:r>
      <w:r w:rsidR="00534597" w:rsidRPr="00B364CB">
        <w:t xml:space="preserve">operational. Projects </w:t>
      </w:r>
      <w:r w:rsidR="008714FB" w:rsidRPr="00B364CB">
        <w:t xml:space="preserve">ranging from </w:t>
      </w:r>
      <w:r w:rsidRPr="00B364CB">
        <w:t xml:space="preserve">20 </w:t>
      </w:r>
      <w:r w:rsidR="008714FB" w:rsidRPr="00B364CB">
        <w:t xml:space="preserve">MW </w:t>
      </w:r>
      <w:r w:rsidRPr="00B364CB">
        <w:t xml:space="preserve">to </w:t>
      </w:r>
      <w:r w:rsidR="008714FB" w:rsidRPr="00B364CB">
        <w:t xml:space="preserve">more than </w:t>
      </w:r>
      <w:r w:rsidRPr="00B364CB">
        <w:t xml:space="preserve">100 MW are under development with current </w:t>
      </w:r>
      <w:r w:rsidR="009A66F4" w:rsidRPr="00B364CB">
        <w:t>hydrogen</w:t>
      </w:r>
      <w:r w:rsidRPr="00B364CB">
        <w:t xml:space="preserve"> costs </w:t>
      </w:r>
      <w:r w:rsidR="00E86313" w:rsidRPr="00B364CB">
        <w:t>in the range</w:t>
      </w:r>
      <w:r w:rsidRPr="00B364CB">
        <w:t xml:space="preserve"> </w:t>
      </w:r>
      <w:r w:rsidR="001A0829" w:rsidRPr="00B364CB">
        <w:t xml:space="preserve">of </w:t>
      </w:r>
      <w:r w:rsidRPr="00B364CB">
        <w:t>5-8</w:t>
      </w:r>
      <w:r w:rsidR="00A10676" w:rsidRPr="00B364CB">
        <w:t xml:space="preserve"> €</w:t>
      </w:r>
      <w:r w:rsidRPr="00B364CB">
        <w:t>/kg.</w:t>
      </w:r>
      <w:r w:rsidR="00AB32A0" w:rsidRPr="00B364CB">
        <w:t xml:space="preserve"> </w:t>
      </w:r>
      <w:r w:rsidR="0058743B" w:rsidRPr="00B364CB">
        <w:t>I</w:t>
      </w:r>
      <w:r w:rsidR="00601233" w:rsidRPr="00B364CB">
        <w:t>n the context of the Green Deal Call under H2020, the European Commission launched a call for a 100 MW electrolyser</w:t>
      </w:r>
      <w:r w:rsidR="00161DAC" w:rsidRPr="00B364CB">
        <w:t>. Electrolyser</w:t>
      </w:r>
      <w:r w:rsidR="00C67B6E" w:rsidRPr="00B364CB">
        <w:t xml:space="preserve"> OEMs are scaling up manufacturing facilities to multi-GW</w:t>
      </w:r>
      <w:r w:rsidR="008714FB" w:rsidRPr="00B364CB">
        <w:t xml:space="preserve"> per </w:t>
      </w:r>
      <w:r w:rsidR="00C67B6E" w:rsidRPr="00B364CB">
        <w:t>a</w:t>
      </w:r>
      <w:r w:rsidR="008714FB" w:rsidRPr="00B364CB">
        <w:t>nnum</w:t>
      </w:r>
      <w:r w:rsidR="00161DAC" w:rsidRPr="00B364CB">
        <w:t>,</w:t>
      </w:r>
      <w:r w:rsidR="00C67B6E" w:rsidRPr="00B364CB">
        <w:t xml:space="preserve"> </w:t>
      </w:r>
      <w:r w:rsidR="00161DAC" w:rsidRPr="00B364CB">
        <w:t>some announcing</w:t>
      </w:r>
      <w:r w:rsidR="00C67B6E" w:rsidRPr="00B364CB">
        <w:t xml:space="preserve"> targets of 1.5</w:t>
      </w:r>
      <w:r w:rsidR="00A10676" w:rsidRPr="00B364CB">
        <w:t xml:space="preserve"> </w:t>
      </w:r>
      <w:r w:rsidR="00EB756A" w:rsidRPr="00EB756A">
        <w:t>$</w:t>
      </w:r>
      <w:r w:rsidR="00C67B6E" w:rsidRPr="00B364CB">
        <w:t>/kg</w:t>
      </w:r>
      <w:r w:rsidR="00161DAC" w:rsidRPr="00B364CB">
        <w:t xml:space="preserve"> of </w:t>
      </w:r>
      <w:r w:rsidR="00BC00D7">
        <w:t>renewable</w:t>
      </w:r>
      <w:r w:rsidR="00161DAC" w:rsidRPr="00B364CB">
        <w:t xml:space="preserve"> hydrogen for 2025</w:t>
      </w:r>
      <w:r w:rsidR="00EB756A">
        <w:rPr>
          <w:rStyle w:val="FootnoteReference"/>
        </w:rPr>
        <w:footnoteReference w:id="48"/>
      </w:r>
      <w:r w:rsidR="00C67B6E" w:rsidRPr="00B364CB">
        <w:t xml:space="preserve"> provided low-cost renewable power can be secured.</w:t>
      </w:r>
    </w:p>
    <w:p w14:paraId="195E3E75" w14:textId="4EB699EF" w:rsidR="006B3E49" w:rsidRPr="00B364CB" w:rsidRDefault="006B3E49" w:rsidP="006159FD">
      <w:pPr>
        <w:pStyle w:val="MAWP-Bodytext"/>
      </w:pPr>
      <w:r w:rsidRPr="00B364CB">
        <w:t xml:space="preserve">Alkaline systems of </w:t>
      </w:r>
      <w:r w:rsidR="008714FB" w:rsidRPr="00B364CB">
        <w:t xml:space="preserve">more than </w:t>
      </w:r>
      <w:r w:rsidRPr="00B364CB">
        <w:t>100</w:t>
      </w:r>
      <w:r w:rsidR="00972340">
        <w:t> </w:t>
      </w:r>
      <w:r w:rsidRPr="00B364CB">
        <w:t>MW have been deployed worldwide in industry</w:t>
      </w:r>
      <w:r w:rsidR="00430F25" w:rsidRPr="00B364CB">
        <w:t>,</w:t>
      </w:r>
      <w:r w:rsidRPr="00B364CB">
        <w:t xml:space="preserve"> typically in aluminium production, </w:t>
      </w:r>
      <w:r w:rsidR="00430F25" w:rsidRPr="00B364CB">
        <w:t>although</w:t>
      </w:r>
      <w:r w:rsidRPr="00B364CB">
        <w:t xml:space="preserve"> historically </w:t>
      </w:r>
      <w:r w:rsidR="00430F25" w:rsidRPr="00B364CB">
        <w:t xml:space="preserve">they were deployed </w:t>
      </w:r>
      <w:r w:rsidRPr="00B364CB">
        <w:t>in ammonia plants which pre-date cheap natural gas and for chlorine production in chlor-alkali electrolysis.</w:t>
      </w:r>
    </w:p>
    <w:p w14:paraId="33C87F71" w14:textId="33093300" w:rsidR="006B3E49" w:rsidRPr="00B364CB" w:rsidRDefault="006B3E49" w:rsidP="006159FD">
      <w:pPr>
        <w:pStyle w:val="MAWP-Bodytext"/>
      </w:pPr>
      <w:r w:rsidRPr="00B364CB">
        <w:t xml:space="preserve">The largest electrolyser demonstration projects of </w:t>
      </w:r>
      <w:r w:rsidR="00D759C0" w:rsidRPr="00B364CB">
        <w:t xml:space="preserve">FCH </w:t>
      </w:r>
      <w:r w:rsidR="008714FB" w:rsidRPr="00B364CB">
        <w:t xml:space="preserve">2 </w:t>
      </w:r>
      <w:r w:rsidR="00AC7F30" w:rsidRPr="00B364CB">
        <w:t>JU</w:t>
      </w:r>
      <w:r w:rsidRPr="00B364CB">
        <w:t xml:space="preserve"> include:</w:t>
      </w:r>
    </w:p>
    <w:p w14:paraId="2DCDDF74" w14:textId="4E3C3DF0" w:rsidR="006B3E49" w:rsidRPr="00B364CB" w:rsidRDefault="006B3E49" w:rsidP="002256F6">
      <w:pPr>
        <w:pStyle w:val="MAWP-Bodytext"/>
        <w:numPr>
          <w:ilvl w:val="0"/>
          <w:numId w:val="16"/>
        </w:numPr>
      </w:pPr>
      <w:r w:rsidRPr="00B364CB">
        <w:t>DJEWELS</w:t>
      </w:r>
      <w:r w:rsidR="00841B3C" w:rsidRPr="00B364CB">
        <w:rPr>
          <w:rStyle w:val="FootnoteReference"/>
        </w:rPr>
        <w:footnoteReference w:id="49"/>
      </w:r>
      <w:r w:rsidRPr="00B364CB">
        <w:t xml:space="preserve"> (2019), a 20 MW pressurised AE to be installed at </w:t>
      </w:r>
      <w:r w:rsidR="00840BA5">
        <w:t>Nobian</w:t>
      </w:r>
      <w:r w:rsidR="00840BA5" w:rsidRPr="00B364CB">
        <w:t xml:space="preserve">’s </w:t>
      </w:r>
      <w:r w:rsidRPr="00B364CB">
        <w:t xml:space="preserve">Delfzijl site </w:t>
      </w:r>
      <w:r w:rsidR="00676D40" w:rsidRPr="00B364CB">
        <w:t>in t</w:t>
      </w:r>
      <w:r w:rsidRPr="00B364CB">
        <w:t>he Netherlands, to produce green methanol</w:t>
      </w:r>
      <w:r w:rsidR="002741DE" w:rsidRPr="00B364CB">
        <w:t>;</w:t>
      </w:r>
    </w:p>
    <w:p w14:paraId="4E0230F8" w14:textId="3CEBB7F2" w:rsidR="006B3E49" w:rsidRPr="00B364CB" w:rsidRDefault="006B3E49" w:rsidP="002256F6">
      <w:pPr>
        <w:pStyle w:val="MAWP-Bodytext"/>
        <w:numPr>
          <w:ilvl w:val="0"/>
          <w:numId w:val="16"/>
        </w:numPr>
      </w:pPr>
      <w:r w:rsidRPr="00B364CB">
        <w:t>REFHYNE</w:t>
      </w:r>
      <w:r w:rsidR="00841B3C" w:rsidRPr="00B364CB">
        <w:rPr>
          <w:rStyle w:val="FootnoteReference"/>
        </w:rPr>
        <w:footnoteReference w:id="50"/>
      </w:r>
      <w:r w:rsidR="002F5786" w:rsidRPr="00B364CB">
        <w:t xml:space="preserve"> </w:t>
      </w:r>
      <w:r w:rsidRPr="00B364CB">
        <w:t xml:space="preserve">(2018), a 10 MW </w:t>
      </w:r>
      <w:r w:rsidR="00272DA4" w:rsidRPr="00B364CB">
        <w:t xml:space="preserve">pressurised </w:t>
      </w:r>
      <w:r w:rsidRPr="00B364CB">
        <w:t>PEME to be installed at Shell’s Cologne refinery</w:t>
      </w:r>
      <w:r w:rsidR="00676D40" w:rsidRPr="00B364CB">
        <w:t>;</w:t>
      </w:r>
    </w:p>
    <w:p w14:paraId="451D6D0A" w14:textId="39FCA5B8" w:rsidR="006B3E49" w:rsidRPr="00B364CB" w:rsidRDefault="006B3E49" w:rsidP="002256F6">
      <w:pPr>
        <w:pStyle w:val="MAWP-Bodytext"/>
        <w:numPr>
          <w:ilvl w:val="0"/>
          <w:numId w:val="16"/>
        </w:numPr>
      </w:pPr>
      <w:r w:rsidRPr="00B364CB">
        <w:t>H2FUTURE</w:t>
      </w:r>
      <w:r w:rsidR="00841B3C" w:rsidRPr="00B364CB">
        <w:rPr>
          <w:rStyle w:val="FootnoteReference"/>
        </w:rPr>
        <w:footnoteReference w:id="51"/>
      </w:r>
      <w:r w:rsidR="002F5786" w:rsidRPr="00B364CB">
        <w:t xml:space="preserve"> </w:t>
      </w:r>
      <w:r w:rsidRPr="00B364CB">
        <w:t>(2016), a 6</w:t>
      </w:r>
      <w:r w:rsidR="001A0829" w:rsidRPr="00B364CB">
        <w:t xml:space="preserve"> </w:t>
      </w:r>
      <w:r w:rsidRPr="00B364CB">
        <w:t xml:space="preserve">MW </w:t>
      </w:r>
      <w:r w:rsidR="00272DA4" w:rsidRPr="00B364CB">
        <w:t xml:space="preserve">atmospheric </w:t>
      </w:r>
      <w:r w:rsidRPr="00B364CB">
        <w:t xml:space="preserve">PEME installed and operating since </w:t>
      </w:r>
      <w:r w:rsidR="00272DA4" w:rsidRPr="00B364CB">
        <w:t xml:space="preserve">late </w:t>
      </w:r>
      <w:r w:rsidRPr="00B364CB">
        <w:t>2019 in a steel plant in Linz</w:t>
      </w:r>
      <w:r w:rsidR="00676D40" w:rsidRPr="00B364CB">
        <w:t>;</w:t>
      </w:r>
    </w:p>
    <w:p w14:paraId="14ECF566" w14:textId="78211167" w:rsidR="006B3E49" w:rsidRPr="00B364CB" w:rsidRDefault="00841B3C" w:rsidP="002256F6">
      <w:pPr>
        <w:pStyle w:val="MAWP-Bodytext"/>
        <w:numPr>
          <w:ilvl w:val="0"/>
          <w:numId w:val="16"/>
        </w:numPr>
      </w:pPr>
      <w:r w:rsidRPr="00B364CB">
        <w:t>MULTIPLHY</w:t>
      </w:r>
      <w:r w:rsidRPr="00B364CB">
        <w:rPr>
          <w:rStyle w:val="FootnoteReference"/>
        </w:rPr>
        <w:footnoteReference w:id="52"/>
      </w:r>
      <w:r w:rsidRPr="00B364CB">
        <w:t xml:space="preserve"> </w:t>
      </w:r>
      <w:r w:rsidR="006B3E49" w:rsidRPr="00B364CB">
        <w:t>(2019), a 2.6 MW SOE</w:t>
      </w:r>
      <w:r w:rsidR="009C56E9">
        <w:t>L</w:t>
      </w:r>
      <w:r w:rsidR="006B3E49" w:rsidRPr="00B364CB">
        <w:t xml:space="preserve"> to be installed at NESTE’s Rotterdam biorefinery</w:t>
      </w:r>
      <w:r w:rsidR="00676D40" w:rsidRPr="00B364CB">
        <w:t>;</w:t>
      </w:r>
    </w:p>
    <w:p w14:paraId="0A0BAEA5" w14:textId="3B892EE2" w:rsidR="00C67B6E" w:rsidRPr="00B364CB" w:rsidRDefault="00430F25" w:rsidP="002256F6">
      <w:pPr>
        <w:pStyle w:val="MAWP-Bodytext"/>
        <w:numPr>
          <w:ilvl w:val="0"/>
          <w:numId w:val="16"/>
        </w:numPr>
      </w:pPr>
      <w:r w:rsidRPr="00B364CB">
        <w:t>DEMO4GRID</w:t>
      </w:r>
      <w:r w:rsidR="00841B3C" w:rsidRPr="00B364CB">
        <w:rPr>
          <w:rStyle w:val="FootnoteReference"/>
        </w:rPr>
        <w:footnoteReference w:id="53"/>
      </w:r>
      <w:r w:rsidRPr="00B364CB">
        <w:t xml:space="preserve"> (2016), a </w:t>
      </w:r>
      <w:r w:rsidR="00C67B6E" w:rsidRPr="00B364CB">
        <w:t>3</w:t>
      </w:r>
      <w:r w:rsidR="001A0829" w:rsidRPr="00B364CB">
        <w:t xml:space="preserve"> </w:t>
      </w:r>
      <w:r w:rsidR="00C67B6E" w:rsidRPr="00B364CB">
        <w:t xml:space="preserve">MW AE for hydrogen provision to a food industry where </w:t>
      </w:r>
      <w:r w:rsidR="00140652" w:rsidRPr="00B364CB">
        <w:t>hydrogen</w:t>
      </w:r>
      <w:r w:rsidR="00C67B6E" w:rsidRPr="00B364CB">
        <w:t xml:space="preserve"> will be combusted displacing </w:t>
      </w:r>
      <w:r w:rsidR="008714FB" w:rsidRPr="00B364CB">
        <w:t xml:space="preserve">natural gas </w:t>
      </w:r>
      <w:r w:rsidR="00C67B6E" w:rsidRPr="00B364CB">
        <w:t>in an oil boiler</w:t>
      </w:r>
      <w:r w:rsidRPr="00B364CB">
        <w:t>;</w:t>
      </w:r>
    </w:p>
    <w:p w14:paraId="618EF895" w14:textId="18D8645A" w:rsidR="006B3E49" w:rsidRPr="00B364CB" w:rsidRDefault="006B3E49" w:rsidP="002256F6">
      <w:pPr>
        <w:pStyle w:val="MAWP-Bodytext"/>
        <w:numPr>
          <w:ilvl w:val="0"/>
          <w:numId w:val="16"/>
        </w:numPr>
      </w:pPr>
      <w:r w:rsidRPr="00B364CB">
        <w:t>HYBALANCE</w:t>
      </w:r>
      <w:r w:rsidR="00841B3C" w:rsidRPr="00B364CB">
        <w:rPr>
          <w:rStyle w:val="FootnoteReference"/>
        </w:rPr>
        <w:footnoteReference w:id="54"/>
      </w:r>
      <w:r w:rsidRPr="00B364CB">
        <w:t xml:space="preserve"> (2014), </w:t>
      </w:r>
      <w:r w:rsidR="005D6A5A" w:rsidRPr="00B364CB">
        <w:t xml:space="preserve">a </w:t>
      </w:r>
      <w:r w:rsidRPr="00B364CB">
        <w:t>1.25 MW PEME (oper</w:t>
      </w:r>
      <w:r w:rsidR="00272DA4" w:rsidRPr="00B364CB">
        <w:t>ating)</w:t>
      </w:r>
      <w:r w:rsidRPr="00B364CB">
        <w:t xml:space="preserve"> </w:t>
      </w:r>
      <w:r w:rsidR="00C67B6E" w:rsidRPr="00B364CB">
        <w:t xml:space="preserve">providing </w:t>
      </w:r>
      <w:r w:rsidR="00140652" w:rsidRPr="00B364CB">
        <w:t>hydrogen</w:t>
      </w:r>
      <w:r w:rsidR="00C67B6E" w:rsidRPr="00B364CB">
        <w:t xml:space="preserve"> to </w:t>
      </w:r>
      <w:r w:rsidRPr="00B364CB">
        <w:t>a light metal industry, including electricity grid balancing.</w:t>
      </w:r>
    </w:p>
    <w:p w14:paraId="44E3649D" w14:textId="30EAFFDB" w:rsidR="006B3E49" w:rsidRPr="00B364CB" w:rsidRDefault="006B3E49" w:rsidP="00C52896">
      <w:pPr>
        <w:pStyle w:val="MAWPHeadingStyleLevel4"/>
      </w:pPr>
      <w:r w:rsidRPr="00B364CB">
        <w:lastRenderedPageBreak/>
        <w:t>Objectives</w:t>
      </w:r>
    </w:p>
    <w:p w14:paraId="6297B7DF" w14:textId="43708B46" w:rsidR="006B3E49" w:rsidRPr="00B364CB" w:rsidRDefault="006B3E49" w:rsidP="006159FD">
      <w:pPr>
        <w:pStyle w:val="MAWP-Bodytext"/>
      </w:pPr>
      <w:r w:rsidRPr="00B364CB">
        <w:t xml:space="preserve">Hydrogen production via electrolysis is currently more expensive than via other methods due to the </w:t>
      </w:r>
      <w:r w:rsidR="00430F25" w:rsidRPr="00B364CB">
        <w:t xml:space="preserve">high </w:t>
      </w:r>
      <w:r w:rsidRPr="00B364CB">
        <w:t>capital costs</w:t>
      </w:r>
      <w:r w:rsidR="00D759C0" w:rsidRPr="00B364CB">
        <w:t xml:space="preserve"> of the electrolysers</w:t>
      </w:r>
      <w:r w:rsidRPr="00B364CB">
        <w:t xml:space="preserve"> and dependence on electricity costs. The key objectives fo</w:t>
      </w:r>
      <w:r w:rsidR="00030776" w:rsidRPr="00B364CB">
        <w:t>r realising the 2030 vision are:</w:t>
      </w:r>
    </w:p>
    <w:p w14:paraId="7175C1DF" w14:textId="1E806C64" w:rsidR="006B3E49" w:rsidRPr="00B364CB" w:rsidRDefault="002741DE" w:rsidP="002256F6">
      <w:pPr>
        <w:pStyle w:val="MAWP-Bodytext"/>
        <w:numPr>
          <w:ilvl w:val="0"/>
          <w:numId w:val="17"/>
        </w:numPr>
      </w:pPr>
      <w:r w:rsidRPr="00B364CB">
        <w:t xml:space="preserve">Reducing </w:t>
      </w:r>
      <w:r w:rsidR="006B3E49" w:rsidRPr="00B364CB">
        <w:t xml:space="preserve">electrolyser </w:t>
      </w:r>
      <w:r w:rsidR="00676D40" w:rsidRPr="00B364CB">
        <w:t>CAPEX</w:t>
      </w:r>
      <w:r w:rsidR="00601233" w:rsidRPr="00B364CB">
        <w:t xml:space="preserve"> and OPEX</w:t>
      </w:r>
      <w:r w:rsidR="00676D40" w:rsidRPr="00B364CB">
        <w:t xml:space="preserve">; </w:t>
      </w:r>
    </w:p>
    <w:p w14:paraId="4D9B7C60" w14:textId="088F24A0" w:rsidR="006B3E49" w:rsidRPr="00B364CB" w:rsidRDefault="00676D40" w:rsidP="002256F6">
      <w:pPr>
        <w:pStyle w:val="MAWP-Bodytext"/>
        <w:numPr>
          <w:ilvl w:val="0"/>
          <w:numId w:val="17"/>
        </w:numPr>
      </w:pPr>
      <w:r w:rsidRPr="00B364CB">
        <w:t xml:space="preserve">Improving </w:t>
      </w:r>
      <w:r w:rsidR="00240360" w:rsidRPr="00B364CB">
        <w:t xml:space="preserve">dynamic operation and </w:t>
      </w:r>
      <w:r w:rsidR="006B3E49" w:rsidRPr="00B364CB">
        <w:t>efficiency, with high durability and reliability, especially when operating dynamically</w:t>
      </w:r>
      <w:r w:rsidRPr="00B364CB">
        <w:t>;</w:t>
      </w:r>
    </w:p>
    <w:p w14:paraId="689841A2" w14:textId="5FAB5F3D" w:rsidR="00C67B6E" w:rsidRPr="00B364CB" w:rsidRDefault="00C67B6E" w:rsidP="002256F6">
      <w:pPr>
        <w:pStyle w:val="MAWP-Bodytext"/>
        <w:numPr>
          <w:ilvl w:val="0"/>
          <w:numId w:val="17"/>
        </w:numPr>
      </w:pPr>
      <w:r w:rsidRPr="00B364CB">
        <w:t>Increasing current density and decreasing footprint</w:t>
      </w:r>
      <w:r w:rsidR="00430F25" w:rsidRPr="00B364CB">
        <w:t>;</w:t>
      </w:r>
      <w:r w:rsidRPr="00B364CB">
        <w:t xml:space="preserve"> </w:t>
      </w:r>
    </w:p>
    <w:p w14:paraId="4C718E56" w14:textId="259D1A3A" w:rsidR="00AB51D3" w:rsidRPr="00B364CB" w:rsidRDefault="00AB51D3" w:rsidP="002256F6">
      <w:pPr>
        <w:pStyle w:val="MAWP-Bodytext"/>
        <w:numPr>
          <w:ilvl w:val="0"/>
          <w:numId w:val="17"/>
        </w:numPr>
      </w:pPr>
      <w:r w:rsidRPr="00B364CB">
        <w:t>Demonstrate the value of electrolysers for the power system through their ability to provide flexibility and allow higher integration of renewables;</w:t>
      </w:r>
    </w:p>
    <w:p w14:paraId="60FF4C29" w14:textId="07B37EC9" w:rsidR="006B3E49" w:rsidRPr="00B364CB" w:rsidRDefault="00240360" w:rsidP="002256F6">
      <w:pPr>
        <w:pStyle w:val="MAWP-Bodytext"/>
        <w:numPr>
          <w:ilvl w:val="0"/>
          <w:numId w:val="17"/>
        </w:numPr>
      </w:pPr>
      <w:r w:rsidRPr="00B364CB">
        <w:t xml:space="preserve">Ensure circularity by design for materials and for production processes, </w:t>
      </w:r>
      <w:r w:rsidR="00B42CF2" w:rsidRPr="00B364CB">
        <w:t>minimising the life-cycle environmental footprint of electrolysers</w:t>
      </w:r>
      <w:r w:rsidR="00430F25" w:rsidRPr="00B364CB">
        <w:t>;</w:t>
      </w:r>
    </w:p>
    <w:p w14:paraId="3D19A034" w14:textId="408E98C7" w:rsidR="006B3E49" w:rsidRPr="00773F5A" w:rsidRDefault="00676D40" w:rsidP="002256F6">
      <w:pPr>
        <w:pStyle w:val="MAWP-Bodytext"/>
        <w:numPr>
          <w:ilvl w:val="0"/>
          <w:numId w:val="17"/>
        </w:numPr>
      </w:pPr>
      <w:r w:rsidRPr="00773F5A">
        <w:t xml:space="preserve">Increasing </w:t>
      </w:r>
      <w:r w:rsidR="006B3E49" w:rsidRPr="00773F5A">
        <w:t>the scale of deployment</w:t>
      </w:r>
      <w:r w:rsidRPr="00773F5A">
        <w:t>;</w:t>
      </w:r>
    </w:p>
    <w:p w14:paraId="1B23C688" w14:textId="42104728" w:rsidR="006B3E49" w:rsidRPr="00B706A3" w:rsidRDefault="00B706A3" w:rsidP="002256F6">
      <w:pPr>
        <w:pStyle w:val="MAWP-Bodytext"/>
        <w:numPr>
          <w:ilvl w:val="0"/>
          <w:numId w:val="17"/>
        </w:numPr>
      </w:pPr>
      <w:r w:rsidRPr="00B706A3">
        <w:t>Improved</w:t>
      </w:r>
      <w:r w:rsidR="008566F3" w:rsidRPr="00B706A3">
        <w:t xml:space="preserve"> manufacturing</w:t>
      </w:r>
      <w:r w:rsidR="006B3E49" w:rsidRPr="00B706A3">
        <w:t xml:space="preserve"> for both water and steam electrolysis. </w:t>
      </w:r>
    </w:p>
    <w:p w14:paraId="52470013" w14:textId="1ECCCF3E" w:rsidR="006B3E49" w:rsidRPr="00B364CB" w:rsidRDefault="006B3E49" w:rsidP="006159FD">
      <w:pPr>
        <w:pStyle w:val="MAWP-Bodytext"/>
      </w:pPr>
      <w:r w:rsidRPr="00773F5A">
        <w:t>In terms of industrial</w:t>
      </w:r>
      <w:r w:rsidRPr="00B364CB">
        <w:t xml:space="preserve"> scale applications of electrolysers, the goal is to replace </w:t>
      </w:r>
      <w:r w:rsidR="00314F2A" w:rsidRPr="00B364CB">
        <w:t xml:space="preserve">fossil-based </w:t>
      </w:r>
      <w:r w:rsidRPr="00B364CB">
        <w:t>hydrogen with renewable hydrogen in existing industrial uses like NH</w:t>
      </w:r>
      <w:r w:rsidRPr="00E4788A">
        <w:rPr>
          <w:vertAlign w:val="subscript"/>
        </w:rPr>
        <w:t>3</w:t>
      </w:r>
      <w:r w:rsidRPr="00B364CB">
        <w:t xml:space="preserve"> prod</w:t>
      </w:r>
      <w:r w:rsidR="008564A4" w:rsidRPr="00B364CB">
        <w:t xml:space="preserve">uction and refineries, saving </w:t>
      </w:r>
      <w:r w:rsidRPr="00B364CB">
        <w:t>60 MtCO</w:t>
      </w:r>
      <w:r w:rsidRPr="00B364CB">
        <w:rPr>
          <w:vertAlign w:val="subscript"/>
        </w:rPr>
        <w:t>2</w:t>
      </w:r>
      <w:r w:rsidRPr="00B364CB">
        <w:t xml:space="preserve"> </w:t>
      </w:r>
      <w:r w:rsidR="00D851D3" w:rsidRPr="00B364CB">
        <w:t>per year</w:t>
      </w:r>
      <w:r w:rsidRPr="00B364CB">
        <w:t xml:space="preserve"> and to successfully introduce and demonstrate the use of </w:t>
      </w:r>
      <w:r w:rsidR="00314F2A" w:rsidRPr="00B364CB">
        <w:t xml:space="preserve">renewable </w:t>
      </w:r>
      <w:r w:rsidRPr="00B364CB">
        <w:t xml:space="preserve">hydrogen in steel, cement and petrochemical industries that need to be converted to use hydrogen. </w:t>
      </w:r>
      <w:r w:rsidR="00430F25" w:rsidRPr="00B364CB">
        <w:t xml:space="preserve">The </w:t>
      </w:r>
      <w:r w:rsidR="00831A2C">
        <w:t xml:space="preserve">Clean Hydrogen </w:t>
      </w:r>
      <w:r w:rsidR="000A73E7" w:rsidRPr="00B364CB">
        <w:t xml:space="preserve">JU </w:t>
      </w:r>
      <w:r w:rsidRPr="00B364CB">
        <w:t xml:space="preserve">will </w:t>
      </w:r>
      <w:r w:rsidR="00294702" w:rsidRPr="00B364CB">
        <w:t xml:space="preserve">not </w:t>
      </w:r>
      <w:r w:rsidRPr="00B364CB">
        <w:t xml:space="preserve">be able to provide </w:t>
      </w:r>
      <w:r w:rsidR="00265FE7" w:rsidRPr="00B364CB">
        <w:t xml:space="preserve">alone </w:t>
      </w:r>
      <w:r w:rsidRPr="00B364CB">
        <w:t xml:space="preserve">the necessary </w:t>
      </w:r>
      <w:r w:rsidR="00A85AEE" w:rsidRPr="00B364CB">
        <w:t>support/</w:t>
      </w:r>
      <w:r w:rsidRPr="00B364CB">
        <w:t xml:space="preserve">funding for </w:t>
      </w:r>
      <w:r w:rsidR="00294702" w:rsidRPr="00B364CB">
        <w:t>this</w:t>
      </w:r>
      <w:r w:rsidR="00265FE7" w:rsidRPr="00B364CB">
        <w:t>.</w:t>
      </w:r>
      <w:r w:rsidRPr="00B364CB">
        <w:t xml:space="preserve"> </w:t>
      </w:r>
      <w:r w:rsidR="00265FE7" w:rsidRPr="00B364CB">
        <w:t>S</w:t>
      </w:r>
      <w:r w:rsidRPr="00B364CB">
        <w:t>ynergies will be sought with the Clean Steel</w:t>
      </w:r>
      <w:r w:rsidR="004D37F9">
        <w:t xml:space="preserve"> and</w:t>
      </w:r>
      <w:r w:rsidRPr="00B364CB">
        <w:t xml:space="preserve"> </w:t>
      </w:r>
      <w:r w:rsidR="00601233" w:rsidRPr="00B364CB">
        <w:t>Processes4Planet</w:t>
      </w:r>
      <w:r w:rsidR="00601233" w:rsidRPr="00B364CB" w:rsidDel="00601233">
        <w:t xml:space="preserve"> </w:t>
      </w:r>
      <w:r w:rsidR="00CF00C0" w:rsidRPr="00B364CB">
        <w:t xml:space="preserve">(P4P) </w:t>
      </w:r>
      <w:r w:rsidR="002B7AE5">
        <w:t>p</w:t>
      </w:r>
      <w:r w:rsidR="00CF00C0" w:rsidRPr="00B364CB">
        <w:t xml:space="preserve">artnerships </w:t>
      </w:r>
      <w:r w:rsidRPr="00B364CB">
        <w:t xml:space="preserve">for large scale demonstrations in the steel, cement and </w:t>
      </w:r>
      <w:r w:rsidR="008564A4" w:rsidRPr="00B364CB">
        <w:t>petrochemical industries</w:t>
      </w:r>
      <w:r w:rsidR="00D11B50" w:rsidRPr="00B364CB">
        <w:rPr>
          <w:rStyle w:val="Hyperlink0"/>
        </w:rPr>
        <w:t xml:space="preserve">, as well as with Member </w:t>
      </w:r>
      <w:r w:rsidR="00984406">
        <w:rPr>
          <w:rStyle w:val="Hyperlink0"/>
        </w:rPr>
        <w:t>S</w:t>
      </w:r>
      <w:r w:rsidR="00D11B50" w:rsidRPr="00B364CB">
        <w:rPr>
          <w:rStyle w:val="Hyperlink0"/>
        </w:rPr>
        <w:t>tate specific funding programmes such as the National Recovery and Resiliency Plans (NRRP), Important Projects of Common European Interest (IPCEI)</w:t>
      </w:r>
      <w:r w:rsidR="0082236F" w:rsidRPr="00B364CB">
        <w:t>.</w:t>
      </w:r>
      <w:r w:rsidR="008564A4" w:rsidRPr="00B364CB">
        <w:t xml:space="preserve"> U</w:t>
      </w:r>
      <w:r w:rsidRPr="00B364CB">
        <w:t>sing the example of the steel industry, technological development</w:t>
      </w:r>
      <w:r w:rsidR="00871853">
        <w:t>s</w:t>
      </w:r>
      <w:r w:rsidRPr="00B364CB">
        <w:t xml:space="preserve"> or innovation</w:t>
      </w:r>
      <w:r w:rsidR="00871853">
        <w:t>s</w:t>
      </w:r>
      <w:r w:rsidRPr="00B364CB">
        <w:t xml:space="preserve"> dealing with hydrogen production, distribution and storage </w:t>
      </w:r>
      <w:r w:rsidR="008564A4" w:rsidRPr="00B364CB">
        <w:t xml:space="preserve">will </w:t>
      </w:r>
      <w:r w:rsidRPr="00B364CB">
        <w:t xml:space="preserve">be within the scope of </w:t>
      </w:r>
      <w:r w:rsidR="00430F25" w:rsidRPr="00B364CB">
        <w:t xml:space="preserve">the </w:t>
      </w:r>
      <w:r w:rsidR="00831A2C">
        <w:t xml:space="preserve">Clean Hydrogen </w:t>
      </w:r>
      <w:r w:rsidR="000A73E7" w:rsidRPr="00B364CB">
        <w:t>JU</w:t>
      </w:r>
      <w:r w:rsidRPr="00B364CB">
        <w:t>, while development</w:t>
      </w:r>
      <w:r w:rsidR="00871853">
        <w:t>s</w:t>
      </w:r>
      <w:r w:rsidRPr="00B364CB">
        <w:t xml:space="preserve"> </w:t>
      </w:r>
      <w:r w:rsidR="00871853">
        <w:t>in</w:t>
      </w:r>
      <w:r w:rsidRPr="00B364CB">
        <w:t xml:space="preserve"> new steel production plant</w:t>
      </w:r>
      <w:r w:rsidR="00871853">
        <w:t>s</w:t>
      </w:r>
      <w:r w:rsidRPr="00B364CB">
        <w:t xml:space="preserve"> or process</w:t>
      </w:r>
      <w:r w:rsidR="00871853">
        <w:t>es</w:t>
      </w:r>
      <w:r w:rsidRPr="00B364CB">
        <w:t xml:space="preserve"> will be within the scope of the Clean Stee</w:t>
      </w:r>
      <w:r w:rsidR="00CF00C0" w:rsidRPr="00B364CB">
        <w:t>l and</w:t>
      </w:r>
      <w:r w:rsidR="00E1398C" w:rsidRPr="00B364CB">
        <w:t xml:space="preserve"> </w:t>
      </w:r>
      <w:r w:rsidR="00CF00C0" w:rsidRPr="00B364CB">
        <w:t xml:space="preserve">P4P </w:t>
      </w:r>
      <w:r w:rsidR="002B7AE5">
        <w:t>p</w:t>
      </w:r>
      <w:r w:rsidRPr="00B364CB">
        <w:t>artnership</w:t>
      </w:r>
      <w:r w:rsidR="00E1398C" w:rsidRPr="00B364CB">
        <w:t>s</w:t>
      </w:r>
      <w:r w:rsidR="003F0364">
        <w:rPr>
          <w:rStyle w:val="FootnoteReference"/>
        </w:rPr>
        <w:footnoteReference w:id="55"/>
      </w:r>
      <w:r w:rsidRPr="00B364CB">
        <w:t>.</w:t>
      </w:r>
    </w:p>
    <w:p w14:paraId="2DA8D433" w14:textId="374DDAC3" w:rsidR="00676D40" w:rsidRPr="00582EEA" w:rsidRDefault="006B3E49" w:rsidP="006159FD">
      <w:pPr>
        <w:pStyle w:val="MAWP-Bodytext"/>
      </w:pPr>
      <w:r w:rsidRPr="00B364CB">
        <w:t xml:space="preserve">To ensure a </w:t>
      </w:r>
      <w:r w:rsidR="00702707" w:rsidRPr="00B364CB">
        <w:t>cost-competitive renewable</w:t>
      </w:r>
      <w:r w:rsidR="00314F2A" w:rsidRPr="00B364CB">
        <w:t xml:space="preserve"> </w:t>
      </w:r>
      <w:r w:rsidRPr="00B364CB">
        <w:t xml:space="preserve">hydrogen supply chain to serve the European economy, further research and innovation efforts are required on the </w:t>
      </w:r>
      <w:r w:rsidR="008137BB" w:rsidRPr="00B364CB">
        <w:t xml:space="preserve">hydrogen production </w:t>
      </w:r>
      <w:r w:rsidRPr="00B364CB">
        <w:t>side. This will entail more efficient and cost-effective electrolysers</w:t>
      </w:r>
      <w:r w:rsidR="00265FE7" w:rsidRPr="00B364CB">
        <w:t>,</w:t>
      </w:r>
      <w:r w:rsidRPr="00B364CB">
        <w:t xml:space="preserve"> as well as upscaling to larger size, developing electrolyser modules of </w:t>
      </w:r>
      <w:r w:rsidR="00676D40" w:rsidRPr="00B364CB">
        <w:t xml:space="preserve">tens </w:t>
      </w:r>
      <w:r w:rsidRPr="00B364CB">
        <w:t xml:space="preserve">of </w:t>
      </w:r>
      <w:r w:rsidR="00676D40" w:rsidRPr="00B364CB">
        <w:t>megawatts</w:t>
      </w:r>
      <w:r w:rsidR="00265FE7" w:rsidRPr="00B364CB">
        <w:t>,</w:t>
      </w:r>
      <w:r w:rsidR="00676D40" w:rsidRPr="00B364CB">
        <w:t xml:space="preserve"> </w:t>
      </w:r>
      <w:r w:rsidR="00B42CF2" w:rsidRPr="00B364CB">
        <w:t xml:space="preserve">which </w:t>
      </w:r>
      <w:r w:rsidR="00702707" w:rsidRPr="00B364CB">
        <w:t>would lead</w:t>
      </w:r>
      <w:r w:rsidRPr="00B364CB">
        <w:t xml:space="preserve"> to electrolyser plants in the range o</w:t>
      </w:r>
      <w:r w:rsidR="00265FE7" w:rsidRPr="00B364CB">
        <w:t>f gigawatts. Together with mass-</w:t>
      </w:r>
      <w:r w:rsidRPr="00B364CB">
        <w:t xml:space="preserve">manufacturing capabilities and new materials, they would supply </w:t>
      </w:r>
      <w:r w:rsidR="007E0C59" w:rsidRPr="00B364CB">
        <w:t xml:space="preserve">renewable </w:t>
      </w:r>
      <w:r w:rsidRPr="00B364CB">
        <w:t>hydrogen to large consumers. By the end of 2030</w:t>
      </w:r>
      <w:r w:rsidR="00265FE7" w:rsidRPr="00B364CB">
        <w:t>,</w:t>
      </w:r>
      <w:r w:rsidRPr="00B364CB">
        <w:t xml:space="preserve"> the aim </w:t>
      </w:r>
      <w:r w:rsidR="0082288F" w:rsidRPr="00B364CB">
        <w:t xml:space="preserve">of the EU Hydrogen </w:t>
      </w:r>
      <w:r w:rsidR="00FD1CB4" w:rsidRPr="00B364CB">
        <w:t>Strategy</w:t>
      </w:r>
      <w:r w:rsidR="0082288F" w:rsidRPr="00B364CB">
        <w:t xml:space="preserve"> </w:t>
      </w:r>
      <w:r w:rsidR="00702707" w:rsidRPr="00B364CB">
        <w:t>is for</w:t>
      </w:r>
      <w:r w:rsidR="00AB32A0" w:rsidRPr="00B364CB">
        <w:t xml:space="preserve"> at least</w:t>
      </w:r>
      <w:r w:rsidRPr="00B364CB">
        <w:t xml:space="preserve"> 40 GW of electrolys</w:t>
      </w:r>
      <w:r w:rsidR="009A66F4" w:rsidRPr="00B364CB">
        <w:t>ers to be</w:t>
      </w:r>
      <w:r w:rsidRPr="00B364CB">
        <w:t xml:space="preserve"> installed in Europe. </w:t>
      </w:r>
      <w:bookmarkStart w:id="64" w:name="_Hlk44069210"/>
      <w:r w:rsidRPr="00B364CB">
        <w:t xml:space="preserve">Together with improvements in efficiency, the resulting cost reductions should make it possible for electrolysis to </w:t>
      </w:r>
      <w:r w:rsidRPr="00582EEA">
        <w:t xml:space="preserve">be capable of producing </w:t>
      </w:r>
      <w:r w:rsidR="00314F2A" w:rsidRPr="00582EEA">
        <w:t>renewable</w:t>
      </w:r>
      <w:r w:rsidRPr="00582EEA">
        <w:t xml:space="preserve"> hydrogen at a </w:t>
      </w:r>
      <w:r w:rsidR="00304B61" w:rsidRPr="00582EEA">
        <w:t xml:space="preserve">levelised </w:t>
      </w:r>
      <w:r w:rsidRPr="00582EEA">
        <w:t>cost of</w:t>
      </w:r>
      <w:r w:rsidR="00A85AEE" w:rsidRPr="00582EEA">
        <w:t xml:space="preserve"> hydrogen</w:t>
      </w:r>
      <w:r w:rsidRPr="00582EEA">
        <w:t xml:space="preserve"> below 3</w:t>
      </w:r>
      <w:r w:rsidR="00A10676" w:rsidRPr="00582EEA">
        <w:t xml:space="preserve"> €</w:t>
      </w:r>
      <w:r w:rsidRPr="00582EEA">
        <w:t>/kg</w:t>
      </w:r>
      <w:r w:rsidR="0082288F" w:rsidRPr="00582EEA">
        <w:t xml:space="preserve"> </w:t>
      </w:r>
      <w:r w:rsidR="00304B61" w:rsidRPr="00582EEA">
        <w:t>assuming</w:t>
      </w:r>
      <w:r w:rsidR="0082288F" w:rsidRPr="00582EEA">
        <w:t xml:space="preserve"> </w:t>
      </w:r>
      <w:r w:rsidR="00304B61" w:rsidRPr="00582EEA">
        <w:t>4</w:t>
      </w:r>
      <w:r w:rsidR="0082288F" w:rsidRPr="00582EEA">
        <w:t>0</w:t>
      </w:r>
      <w:r w:rsidR="00D851D3" w:rsidRPr="00582EEA">
        <w:t xml:space="preserve"> </w:t>
      </w:r>
      <w:r w:rsidR="00424425" w:rsidRPr="00582EEA">
        <w:t>€</w:t>
      </w:r>
      <w:r w:rsidR="0082288F" w:rsidRPr="00582EEA">
        <w:t xml:space="preserve">/MWh and </w:t>
      </w:r>
      <w:r w:rsidR="00304B61" w:rsidRPr="00582EEA">
        <w:t xml:space="preserve">4,000 </w:t>
      </w:r>
      <w:r w:rsidR="0082288F" w:rsidRPr="00582EEA">
        <w:t>full load hours operation</w:t>
      </w:r>
      <w:r w:rsidR="00424425" w:rsidRPr="00582EEA">
        <w:rPr>
          <w:rStyle w:val="FootnoteReference"/>
        </w:rPr>
        <w:footnoteReference w:id="56"/>
      </w:r>
      <w:r w:rsidR="00FD1CB4" w:rsidRPr="00582EEA">
        <w:t>.</w:t>
      </w:r>
    </w:p>
    <w:p w14:paraId="48A35939" w14:textId="74F30563" w:rsidR="006B3E49" w:rsidRPr="00582EEA" w:rsidRDefault="006B3E49" w:rsidP="006159FD">
      <w:pPr>
        <w:pStyle w:val="MAWP-Bodytext"/>
        <w:rPr>
          <w:color w:val="auto"/>
        </w:rPr>
      </w:pPr>
      <w:r w:rsidRPr="00582EEA">
        <w:rPr>
          <w:color w:val="auto"/>
        </w:rPr>
        <w:t xml:space="preserve">In order to </w:t>
      </w:r>
      <w:r w:rsidR="00304B61" w:rsidRPr="00582EEA">
        <w:rPr>
          <w:color w:val="auto"/>
        </w:rPr>
        <w:t xml:space="preserve">contribute </w:t>
      </w:r>
      <w:r w:rsidR="00C1119E" w:rsidRPr="00582EEA">
        <w:rPr>
          <w:color w:val="auto"/>
        </w:rPr>
        <w:t xml:space="preserve">towards </w:t>
      </w:r>
      <w:r w:rsidRPr="00582EEA">
        <w:rPr>
          <w:color w:val="auto"/>
        </w:rPr>
        <w:t>achiev</w:t>
      </w:r>
      <w:r w:rsidR="00304B61" w:rsidRPr="00582EEA">
        <w:rPr>
          <w:color w:val="auto"/>
        </w:rPr>
        <w:t>ing</w:t>
      </w:r>
      <w:r w:rsidRPr="00582EEA">
        <w:rPr>
          <w:color w:val="auto"/>
        </w:rPr>
        <w:t xml:space="preserve"> </w:t>
      </w:r>
      <w:r w:rsidR="008137BB" w:rsidRPr="00582EEA">
        <w:rPr>
          <w:color w:val="auto"/>
        </w:rPr>
        <w:t>these objectives</w:t>
      </w:r>
      <w:r w:rsidRPr="00582EEA">
        <w:rPr>
          <w:color w:val="auto"/>
        </w:rPr>
        <w:t xml:space="preserve">, the following areas of research and development </w:t>
      </w:r>
      <w:r w:rsidR="004D37F9" w:rsidRPr="00582EEA">
        <w:rPr>
          <w:color w:val="auto"/>
        </w:rPr>
        <w:t xml:space="preserve">appear as good candidates for the </w:t>
      </w:r>
      <w:r w:rsidRPr="00582EEA">
        <w:rPr>
          <w:color w:val="auto"/>
        </w:rPr>
        <w:t>support</w:t>
      </w:r>
      <w:bookmarkEnd w:id="64"/>
      <w:r w:rsidR="00A85AEE" w:rsidRPr="00582EEA">
        <w:rPr>
          <w:color w:val="auto"/>
        </w:rPr>
        <w:t xml:space="preserve"> by the </w:t>
      </w:r>
      <w:r w:rsidR="00831A2C">
        <w:t xml:space="preserve">Clean Hydrogen </w:t>
      </w:r>
      <w:r w:rsidR="00A85AEE" w:rsidRPr="00582EEA">
        <w:rPr>
          <w:color w:val="auto"/>
        </w:rPr>
        <w:t>JU</w:t>
      </w:r>
      <w:r w:rsidR="00294702" w:rsidRPr="00582EEA">
        <w:rPr>
          <w:color w:val="auto"/>
        </w:rPr>
        <w:t>.</w:t>
      </w:r>
    </w:p>
    <w:p w14:paraId="25423237" w14:textId="251BC3BC" w:rsidR="006B3E49" w:rsidRPr="00582EEA" w:rsidRDefault="00461DFD" w:rsidP="00C52896">
      <w:pPr>
        <w:pStyle w:val="MAWPHeadingStyleLevel4"/>
      </w:pPr>
      <w:bookmarkStart w:id="65" w:name="_Hlk44349300"/>
      <w:r w:rsidRPr="00582EEA">
        <w:t xml:space="preserve">R&amp;D Priorities - </w:t>
      </w:r>
      <w:r w:rsidR="009D00DB" w:rsidRPr="00582EEA">
        <w:t>Early Stage Research Actions</w:t>
      </w:r>
    </w:p>
    <w:bookmarkEnd w:id="65"/>
    <w:p w14:paraId="778D3BE6" w14:textId="2C391D86" w:rsidR="006B3E49" w:rsidRPr="00582EEA" w:rsidRDefault="006B3E49" w:rsidP="006159FD">
      <w:pPr>
        <w:pStyle w:val="MAWP-Bodytext"/>
      </w:pPr>
      <w:r w:rsidRPr="00582EEA">
        <w:lastRenderedPageBreak/>
        <w:t>Future cost reductions and increased lifetime in the different electrolysis technologies may be realised through new materials/manufacturing processes/concepts</w:t>
      </w:r>
      <w:r w:rsidR="007E0C59" w:rsidRPr="00582EEA">
        <w:t xml:space="preserve"> as per the priorities below</w:t>
      </w:r>
      <w:r w:rsidRPr="00582EEA">
        <w:t>.</w:t>
      </w:r>
    </w:p>
    <w:p w14:paraId="003FD12F" w14:textId="32374348" w:rsidR="006B3E49" w:rsidRPr="008566F3" w:rsidRDefault="006B3E49" w:rsidP="002256F6">
      <w:pPr>
        <w:pStyle w:val="MAWP-Bodytext"/>
        <w:numPr>
          <w:ilvl w:val="0"/>
          <w:numId w:val="18"/>
        </w:numPr>
      </w:pPr>
      <w:r w:rsidRPr="00582EEA">
        <w:t>Generic for all electrolysis: Develop new electrodes and membranes</w:t>
      </w:r>
      <w:r w:rsidR="00624F89">
        <w:t>,</w:t>
      </w:r>
      <w:r w:rsidRPr="00582EEA">
        <w:t xml:space="preserve"> </w:t>
      </w:r>
      <w:r w:rsidR="009753B7" w:rsidRPr="00E55F6A">
        <w:t>free of critical raw materials (CRM</w:t>
      </w:r>
      <w:r w:rsidR="00FA3BEA">
        <w:t>s</w:t>
      </w:r>
      <w:r w:rsidR="009753B7" w:rsidRPr="00E55F6A">
        <w:t>)</w:t>
      </w:r>
      <w:r w:rsidR="009753B7" w:rsidRPr="00582EEA">
        <w:t xml:space="preserve"> </w:t>
      </w:r>
      <w:r w:rsidR="009753B7">
        <w:t xml:space="preserve">and </w:t>
      </w:r>
      <w:r w:rsidR="001F2248">
        <w:t>without per- and polyfluoroalkyl substances</w:t>
      </w:r>
      <w:r w:rsidR="00FA3BEA">
        <w:t xml:space="preserve"> </w:t>
      </w:r>
      <w:r w:rsidR="00FA3BEA" w:rsidRPr="004F6BDB">
        <w:t>in order to avoid in the medium-long term their use</w:t>
      </w:r>
      <w:r w:rsidR="00580A4E">
        <w:t xml:space="preserve"> in different materials or components such as electrocatalysts, MEAs, etc</w:t>
      </w:r>
      <w:r w:rsidR="00FA3BEA">
        <w:t>,</w:t>
      </w:r>
      <w:r w:rsidR="001F2248">
        <w:t xml:space="preserve"> </w:t>
      </w:r>
      <w:r w:rsidRPr="00582EEA">
        <w:t xml:space="preserve">as well as novel </w:t>
      </w:r>
      <w:r w:rsidR="00D759C0" w:rsidRPr="00582EEA">
        <w:t xml:space="preserve">and breakthrough </w:t>
      </w:r>
      <w:r w:rsidRPr="00582EEA">
        <w:t>cell design</w:t>
      </w:r>
      <w:r w:rsidR="00624F89">
        <w:t>,</w:t>
      </w:r>
      <w:r w:rsidRPr="00582EEA">
        <w:t xml:space="preserve"> to increase the current density</w:t>
      </w:r>
      <w:r w:rsidR="00624F89">
        <w:t>, while improving</w:t>
      </w:r>
      <w:r w:rsidRPr="00582EEA">
        <w:t xml:space="preserve"> </w:t>
      </w:r>
      <w:r w:rsidR="00624F89">
        <w:t>their</w:t>
      </w:r>
      <w:r w:rsidRPr="00582EEA">
        <w:t xml:space="preserve"> lifetime and efficiency, develop low-cost metallic materials coatings and seals</w:t>
      </w:r>
      <w:r w:rsidR="009720B3" w:rsidRPr="00582EEA">
        <w:t xml:space="preserve">, develop and validate integrated mounting concepts, </w:t>
      </w:r>
      <w:r w:rsidR="00FD1CB4" w:rsidRPr="00582EEA">
        <w:t xml:space="preserve">thermal management </w:t>
      </w:r>
      <w:r w:rsidR="009720B3" w:rsidRPr="00582EEA">
        <w:t xml:space="preserve">and innovative </w:t>
      </w:r>
      <w:r w:rsidR="009720B3" w:rsidRPr="008566F3">
        <w:t>manufacturing processes</w:t>
      </w:r>
      <w:r w:rsidR="00D719F0" w:rsidRPr="008566F3">
        <w:t>;</w:t>
      </w:r>
    </w:p>
    <w:p w14:paraId="4F579FA1" w14:textId="2E15D762" w:rsidR="00A10478" w:rsidRPr="008566F3" w:rsidRDefault="00D759C0" w:rsidP="002256F6">
      <w:pPr>
        <w:pStyle w:val="MAWP-Bodytext"/>
        <w:numPr>
          <w:ilvl w:val="0"/>
          <w:numId w:val="18"/>
        </w:numPr>
      </w:pPr>
      <w:r w:rsidRPr="008566F3">
        <w:t>Development of novel catalysts (</w:t>
      </w:r>
      <w:r w:rsidR="001F2248">
        <w:t xml:space="preserve">low </w:t>
      </w:r>
      <w:r w:rsidRPr="008566F3">
        <w:t>PGM</w:t>
      </w:r>
      <w:r w:rsidR="008566F3" w:rsidRPr="00624F89">
        <w:t>,</w:t>
      </w:r>
      <w:r w:rsidRPr="008566F3">
        <w:t xml:space="preserve"> non</w:t>
      </w:r>
      <w:r w:rsidR="00C1119E" w:rsidRPr="008566F3">
        <w:t>-</w:t>
      </w:r>
      <w:r w:rsidRPr="00624F89">
        <w:t>PGM</w:t>
      </w:r>
      <w:r w:rsidR="005B0E8C" w:rsidRPr="00624F89">
        <w:t>, bioinspired</w:t>
      </w:r>
      <w:r w:rsidR="008566F3" w:rsidRPr="00624F89">
        <w:t>)</w:t>
      </w:r>
      <w:r w:rsidRPr="00624F89">
        <w:t xml:space="preserve"> </w:t>
      </w:r>
      <w:r w:rsidRPr="008566F3">
        <w:t>for water electrolysis</w:t>
      </w:r>
      <w:r w:rsidR="006D522D" w:rsidRPr="008566F3">
        <w:t>)</w:t>
      </w:r>
      <w:r w:rsidR="00CF00C0" w:rsidRPr="008566F3">
        <w:t>;</w:t>
      </w:r>
    </w:p>
    <w:p w14:paraId="1876B454" w14:textId="6A1C0B34" w:rsidR="00D759C0" w:rsidRPr="00B364CB" w:rsidRDefault="0082236F" w:rsidP="002256F6">
      <w:pPr>
        <w:pStyle w:val="MAWP-Bodytext"/>
        <w:numPr>
          <w:ilvl w:val="0"/>
          <w:numId w:val="18"/>
        </w:numPr>
      </w:pPr>
      <w:r w:rsidRPr="008566F3">
        <w:t>Minimisation</w:t>
      </w:r>
      <w:r w:rsidR="00A10478" w:rsidRPr="00B364CB">
        <w:t xml:space="preserve"> of environmental impact / aim for circularity (energy, resources/material, recyclability)</w:t>
      </w:r>
      <w:r w:rsidR="00CF00C0" w:rsidRPr="00B364CB">
        <w:t>;</w:t>
      </w:r>
    </w:p>
    <w:p w14:paraId="2B489779" w14:textId="74BA2C9E" w:rsidR="006B3E49" w:rsidRPr="00B364CB" w:rsidRDefault="006B3E49" w:rsidP="002256F6">
      <w:pPr>
        <w:pStyle w:val="MAWP-Bodytext"/>
        <w:numPr>
          <w:ilvl w:val="0"/>
          <w:numId w:val="18"/>
        </w:numPr>
      </w:pPr>
      <w:r w:rsidRPr="00B364CB">
        <w:t>AEL: develop more compact stack design, reach high current density without noble metals, 3D electrodes, pulsed voltage</w:t>
      </w:r>
      <w:r w:rsidR="00D719F0" w:rsidRPr="00B364CB">
        <w:t>;</w:t>
      </w:r>
    </w:p>
    <w:p w14:paraId="1AE7B48F" w14:textId="5B2EDECE" w:rsidR="006B3E49" w:rsidRPr="00B364CB" w:rsidRDefault="006B3E49" w:rsidP="002256F6">
      <w:pPr>
        <w:pStyle w:val="MAWP-Bodytext"/>
        <w:numPr>
          <w:ilvl w:val="0"/>
          <w:numId w:val="18"/>
        </w:numPr>
      </w:pPr>
      <w:r w:rsidRPr="00B364CB">
        <w:t>PEMEL: Reduce precious metal</w:t>
      </w:r>
      <w:r w:rsidR="00AB32A0" w:rsidRPr="00B364CB">
        <w:t>s</w:t>
      </w:r>
      <w:r w:rsidRPr="00B364CB">
        <w:t xml:space="preserve"> content in catalysts and consider recycling, develop PGM-free </w:t>
      </w:r>
      <w:r w:rsidRPr="008566F3">
        <w:t>catalysts, develop new/advanced membranes, reduce gas crossover while increasing current densities</w:t>
      </w:r>
      <w:r w:rsidR="009D074E" w:rsidRPr="008566F3">
        <w:t xml:space="preserve"> and operating pressures</w:t>
      </w:r>
      <w:r w:rsidR="00D719F0" w:rsidRPr="008566F3">
        <w:t>;</w:t>
      </w:r>
    </w:p>
    <w:p w14:paraId="46068B45" w14:textId="37A60A82" w:rsidR="006B3E49" w:rsidRPr="00B364CB" w:rsidRDefault="006B3E49" w:rsidP="002256F6">
      <w:pPr>
        <w:pStyle w:val="MAWP-Bodytext"/>
        <w:numPr>
          <w:ilvl w:val="0"/>
          <w:numId w:val="18"/>
        </w:numPr>
      </w:pPr>
      <w:r w:rsidRPr="00B364CB">
        <w:t>SOEL: pressurised stack, improved hydrogen purity at exit of stack</w:t>
      </w:r>
      <w:r w:rsidR="00D719F0" w:rsidRPr="00B364CB">
        <w:t>;</w:t>
      </w:r>
      <w:r w:rsidR="00D759C0" w:rsidRPr="00B364CB">
        <w:t xml:space="preserve"> new stack designs </w:t>
      </w:r>
      <w:r w:rsidR="004B75B9" w:rsidRPr="00B364CB">
        <w:t>and use of</w:t>
      </w:r>
      <w:r w:rsidR="00D759C0" w:rsidRPr="00B364CB">
        <w:t xml:space="preserve"> advanced manufacturing techniques</w:t>
      </w:r>
      <w:r w:rsidR="00CF00C0" w:rsidRPr="00B364CB">
        <w:t>;</w:t>
      </w:r>
    </w:p>
    <w:p w14:paraId="0419AE30" w14:textId="61EE216B" w:rsidR="006B3E49" w:rsidRPr="00B364CB" w:rsidRDefault="006B3E49" w:rsidP="002256F6">
      <w:pPr>
        <w:pStyle w:val="MAWP-Bodytext"/>
        <w:numPr>
          <w:ilvl w:val="0"/>
          <w:numId w:val="18"/>
        </w:numPr>
      </w:pPr>
      <w:r w:rsidRPr="00B364CB">
        <w:t xml:space="preserve">AEMEL: improved materials, </w:t>
      </w:r>
      <w:r w:rsidR="00A10478" w:rsidRPr="00B364CB">
        <w:t xml:space="preserve">new membranes, </w:t>
      </w:r>
      <w:r w:rsidRPr="00B364CB">
        <w:t xml:space="preserve">reduction of KOH </w:t>
      </w:r>
      <w:r w:rsidR="004B75B9" w:rsidRPr="00B364CB">
        <w:t>concentration</w:t>
      </w:r>
      <w:r w:rsidR="00B42921">
        <w:t>, increase scale/capacity, aiming for waste minimisation / circularity</w:t>
      </w:r>
      <w:r w:rsidR="004B75B9" w:rsidRPr="00B364CB">
        <w:t>;</w:t>
      </w:r>
    </w:p>
    <w:p w14:paraId="683C0BED" w14:textId="16DE6CA5" w:rsidR="006B3E49" w:rsidRPr="00B364CB" w:rsidRDefault="006B3E49" w:rsidP="002256F6">
      <w:pPr>
        <w:pStyle w:val="MAWP-Bodytext"/>
        <w:numPr>
          <w:ilvl w:val="0"/>
          <w:numId w:val="18"/>
        </w:numPr>
      </w:pPr>
      <w:r w:rsidRPr="00B364CB">
        <w:t xml:space="preserve">PCCEL: planar or tubular cells of improved materials </w:t>
      </w:r>
      <w:r w:rsidR="00705BF7" w:rsidRPr="00B364CB">
        <w:t>and optimised design and performances</w:t>
      </w:r>
      <w:r w:rsidR="0082236F" w:rsidRPr="00B364CB">
        <w:t xml:space="preserve"> </w:t>
      </w:r>
      <w:r w:rsidRPr="00B364CB">
        <w:t xml:space="preserve">in view of scaling up to </w:t>
      </w:r>
      <w:r w:rsidR="00D719F0" w:rsidRPr="00B364CB">
        <w:t>hundreds of kilowatts</w:t>
      </w:r>
      <w:r w:rsidRPr="00B364CB">
        <w:t xml:space="preserve"> size</w:t>
      </w:r>
      <w:r w:rsidR="00D719F0" w:rsidRPr="00B364CB">
        <w:t>;</w:t>
      </w:r>
    </w:p>
    <w:p w14:paraId="31387C85" w14:textId="2396876B" w:rsidR="009D00DB" w:rsidRPr="00B364CB" w:rsidRDefault="006B3E49" w:rsidP="002256F6">
      <w:pPr>
        <w:pStyle w:val="MAWP-Bodytext"/>
        <w:numPr>
          <w:ilvl w:val="0"/>
          <w:numId w:val="18"/>
        </w:numPr>
      </w:pPr>
      <w:r w:rsidRPr="00B364CB">
        <w:t>Others: investigate the possibility of non-pure water electrolysis</w:t>
      </w:r>
      <w:bookmarkStart w:id="66" w:name="_Hlk44349306"/>
      <w:r w:rsidR="00D719F0" w:rsidRPr="00B364CB">
        <w:t>.</w:t>
      </w:r>
    </w:p>
    <w:p w14:paraId="0C77B679" w14:textId="5C7A8584" w:rsidR="006B3E49" w:rsidRPr="00B364CB" w:rsidRDefault="00461DFD" w:rsidP="00C52896">
      <w:pPr>
        <w:pStyle w:val="MAWPHeadingStyleLevel4"/>
        <w:rPr>
          <w:rFonts w:ascii="Calibri" w:eastAsiaTheme="minorHAnsi" w:hAnsi="Calibri"/>
          <w:color w:val="auto"/>
          <w:szCs w:val="22"/>
          <w:lang w:bidi="ar-SA"/>
        </w:rPr>
      </w:pPr>
      <w:r w:rsidRPr="00B364CB">
        <w:t xml:space="preserve">R&amp;D Priorities - </w:t>
      </w:r>
      <w:r w:rsidR="009D00DB" w:rsidRPr="00B364CB">
        <w:t>Development Research Actions</w:t>
      </w:r>
    </w:p>
    <w:bookmarkEnd w:id="66"/>
    <w:p w14:paraId="679FE99D" w14:textId="29EF31D3" w:rsidR="006B3E49" w:rsidRPr="00B364CB" w:rsidRDefault="006B3E49" w:rsidP="006159FD">
      <w:pPr>
        <w:pStyle w:val="MAWP-Bodytext"/>
      </w:pPr>
      <w:r w:rsidRPr="00B364CB">
        <w:t xml:space="preserve">Several concepts for reducing electrolyser costs and improving technical </w:t>
      </w:r>
      <w:r w:rsidR="00C07AE4" w:rsidRPr="00B364CB">
        <w:t>Key Performance Indicators (</w:t>
      </w:r>
      <w:r w:rsidRPr="00B364CB">
        <w:t>KPI</w:t>
      </w:r>
      <w:r w:rsidR="00C07AE4" w:rsidRPr="00B364CB">
        <w:t>)</w:t>
      </w:r>
      <w:r w:rsidRPr="00B364CB">
        <w:t xml:space="preserve"> have been demonstrated in the laboratory. This area can support promising applications identified through the research programme suggested above as well as:</w:t>
      </w:r>
    </w:p>
    <w:p w14:paraId="7CD22BEF" w14:textId="573AD33B" w:rsidR="006B3E49" w:rsidRPr="00B364CB" w:rsidRDefault="006B3E49" w:rsidP="002256F6">
      <w:pPr>
        <w:pStyle w:val="MAWP-Bodytext"/>
        <w:numPr>
          <w:ilvl w:val="0"/>
          <w:numId w:val="19"/>
        </w:numPr>
      </w:pPr>
      <w:r w:rsidRPr="00B364CB">
        <w:t>Improve cell design for high performance and increase cell/stack robustness through improved thermal and process-flow management</w:t>
      </w:r>
      <w:r w:rsidR="00D719F0" w:rsidRPr="00B364CB">
        <w:t>;</w:t>
      </w:r>
    </w:p>
    <w:p w14:paraId="25EC725A" w14:textId="63ED8C8D" w:rsidR="006B3E49" w:rsidRPr="00B364CB" w:rsidRDefault="006B3E49" w:rsidP="002256F6">
      <w:pPr>
        <w:pStyle w:val="MAWP-Bodytext"/>
        <w:numPr>
          <w:ilvl w:val="0"/>
          <w:numId w:val="19"/>
        </w:numPr>
      </w:pPr>
      <w:r w:rsidRPr="00B364CB">
        <w:t>Develop larger area cells/stacks components with adequate manufacturing quality for high power systems</w:t>
      </w:r>
      <w:r w:rsidR="00D719F0" w:rsidRPr="00B364CB">
        <w:t>;</w:t>
      </w:r>
    </w:p>
    <w:p w14:paraId="7AEBAA5A" w14:textId="5D32084F" w:rsidR="006B3E49" w:rsidRPr="00B364CB" w:rsidRDefault="006B3E49" w:rsidP="002256F6">
      <w:pPr>
        <w:pStyle w:val="MAWP-Bodytext"/>
        <w:numPr>
          <w:ilvl w:val="0"/>
          <w:numId w:val="19"/>
        </w:numPr>
      </w:pPr>
      <w:r w:rsidRPr="00B364CB">
        <w:t>Consider</w:t>
      </w:r>
      <w:r w:rsidR="00064D7F" w:rsidRPr="00B364CB">
        <w:t xml:space="preserve"> innovative system designs and i</w:t>
      </w:r>
      <w:r w:rsidRPr="00B364CB">
        <w:t>mproved balance of plant components to reduce parasitic losses and reduce cost (e.g. purpose-built rectifiers, integrated cooling systems, electrical heaters and heat-exchangers), when relevant in optimised electrical integration with renewables</w:t>
      </w:r>
      <w:r w:rsidR="00D719F0" w:rsidRPr="00B364CB">
        <w:t>;</w:t>
      </w:r>
    </w:p>
    <w:p w14:paraId="3DF33FB9" w14:textId="18A633A6" w:rsidR="006B3E49" w:rsidRPr="00B364CB" w:rsidRDefault="006B3E49" w:rsidP="002256F6">
      <w:pPr>
        <w:pStyle w:val="MAWP-Bodytext"/>
        <w:numPr>
          <w:ilvl w:val="0"/>
          <w:numId w:val="19"/>
        </w:numPr>
      </w:pPr>
      <w:r w:rsidRPr="00B364CB">
        <w:t xml:space="preserve">Develop </w:t>
      </w:r>
      <w:r w:rsidR="00D719F0" w:rsidRPr="00B364CB">
        <w:t xml:space="preserve">tools </w:t>
      </w:r>
      <w:r w:rsidRPr="00B364CB">
        <w:t>and methods for monitoring, diagnostics and control of electrolyser systems</w:t>
      </w:r>
      <w:r w:rsidR="00CF00C0" w:rsidRPr="00B364CB">
        <w:t>;</w:t>
      </w:r>
    </w:p>
    <w:p w14:paraId="37E06DF4" w14:textId="6ED3F291" w:rsidR="006B3E49" w:rsidRPr="00B364CB" w:rsidRDefault="006B3E49" w:rsidP="002256F6">
      <w:pPr>
        <w:pStyle w:val="MAWP-Bodytext"/>
        <w:numPr>
          <w:ilvl w:val="0"/>
          <w:numId w:val="19"/>
        </w:numPr>
      </w:pPr>
      <w:r w:rsidRPr="00B364CB">
        <w:t xml:space="preserve">Develop </w:t>
      </w:r>
      <w:r w:rsidR="00D719F0" w:rsidRPr="00B364CB">
        <w:t xml:space="preserve">high </w:t>
      </w:r>
      <w:r w:rsidRPr="00B364CB">
        <w:t>pressure stacks to avoid/reduce the need for downstream compression or alternative compression techniques (e.g. electrochemical</w:t>
      </w:r>
      <w:r w:rsidR="00D719F0" w:rsidRPr="00B364CB">
        <w:t>);</w:t>
      </w:r>
    </w:p>
    <w:p w14:paraId="37E70A00" w14:textId="6A90F89F" w:rsidR="006B3E49" w:rsidRPr="00B364CB" w:rsidRDefault="006B3E49" w:rsidP="002256F6">
      <w:pPr>
        <w:pStyle w:val="MAWP-Bodytext"/>
        <w:numPr>
          <w:ilvl w:val="0"/>
          <w:numId w:val="19"/>
        </w:numPr>
      </w:pPr>
      <w:r w:rsidRPr="00B364CB">
        <w:lastRenderedPageBreak/>
        <w:t>Consider original concepts like reversible operation (electrolysis</w:t>
      </w:r>
      <w:r w:rsidR="00C63845" w:rsidRPr="00B364CB">
        <w:t xml:space="preserve">, </w:t>
      </w:r>
      <w:r w:rsidRPr="00B364CB">
        <w:t>fuel cell) and co-electrolysis (to produce syngas)</w:t>
      </w:r>
      <w:r w:rsidR="00D719F0" w:rsidRPr="00B364CB">
        <w:t>;</w:t>
      </w:r>
    </w:p>
    <w:p w14:paraId="35776C1B" w14:textId="42BF88F8" w:rsidR="006B3E49" w:rsidRPr="00B364CB" w:rsidRDefault="006B3E49" w:rsidP="002256F6">
      <w:pPr>
        <w:pStyle w:val="MAWP-Bodytext"/>
        <w:numPr>
          <w:ilvl w:val="0"/>
          <w:numId w:val="19"/>
        </w:numPr>
      </w:pPr>
      <w:r w:rsidRPr="00B364CB">
        <w:t>Explore the options for utilising by-product oxygen and waste heat</w:t>
      </w:r>
      <w:r w:rsidR="00CF00C0" w:rsidRPr="00B364CB">
        <w:t>;</w:t>
      </w:r>
    </w:p>
    <w:p w14:paraId="70294D50" w14:textId="2C73F332" w:rsidR="004A1B65" w:rsidRPr="00B364CB" w:rsidRDefault="00D759C0" w:rsidP="002256F6">
      <w:pPr>
        <w:pStyle w:val="MAWP-Bodytext"/>
        <w:numPr>
          <w:ilvl w:val="0"/>
          <w:numId w:val="19"/>
        </w:numPr>
      </w:pPr>
      <w:r w:rsidRPr="00B364CB">
        <w:t xml:space="preserve">Develop new stack and </w:t>
      </w:r>
      <w:r w:rsidR="001B5555" w:rsidRPr="00B364CB">
        <w:t>balance of plant (</w:t>
      </w:r>
      <w:r w:rsidRPr="00B364CB">
        <w:t>BoP</w:t>
      </w:r>
      <w:r w:rsidR="001B5555" w:rsidRPr="00B364CB">
        <w:t>)</w:t>
      </w:r>
      <w:r w:rsidRPr="00B364CB">
        <w:t xml:space="preserve"> designs adapted to </w:t>
      </w:r>
      <w:r w:rsidR="000E5740">
        <w:t>several end uses, e.g.</w:t>
      </w:r>
      <w:r w:rsidR="000E5740" w:rsidRPr="00B364CB">
        <w:t xml:space="preserve"> </w:t>
      </w:r>
      <w:r w:rsidR="000E5740">
        <w:t>onshore and</w:t>
      </w:r>
      <w:r w:rsidRPr="00B364CB">
        <w:t xml:space="preserve"> offshore </w:t>
      </w:r>
      <w:r w:rsidR="004A0796">
        <w:t>windmill direct connection, coupling with renewables in remote areas and related</w:t>
      </w:r>
      <w:r w:rsidRPr="00B364CB">
        <w:t xml:space="preserve"> constraints</w:t>
      </w:r>
      <w:bookmarkStart w:id="67" w:name="_Hlk44349311"/>
      <w:r w:rsidR="00CF00C0" w:rsidRPr="00B364CB">
        <w:t>.</w:t>
      </w:r>
    </w:p>
    <w:p w14:paraId="417B13F0" w14:textId="29BA6E61" w:rsidR="006B3E49" w:rsidRPr="00B364CB" w:rsidRDefault="00F43A04" w:rsidP="00C52896">
      <w:pPr>
        <w:pStyle w:val="MAWPHeadingStyleLevel4"/>
      </w:pPr>
      <w:r w:rsidRPr="00B364CB">
        <w:t>R&amp;D Priorities - Demonstration Actions</w:t>
      </w:r>
    </w:p>
    <w:bookmarkEnd w:id="67"/>
    <w:p w14:paraId="29B8A6A5" w14:textId="68ED3774" w:rsidR="006B3E49" w:rsidRPr="00B364CB" w:rsidRDefault="006B3E49" w:rsidP="002256F6">
      <w:pPr>
        <w:pStyle w:val="MAWP-Bodytext"/>
        <w:numPr>
          <w:ilvl w:val="0"/>
          <w:numId w:val="20"/>
        </w:numPr>
      </w:pPr>
      <w:r w:rsidRPr="00B364CB">
        <w:t>Projects are needed to demonstrate that electrolysis technology, when deployed at scale, has the potential to meet cost and performance KPIs</w:t>
      </w:r>
      <w:r w:rsidR="00E75B8A">
        <w:t>, thus demonstrating novel integration concepts, use cases or business models validated in demo activities</w:t>
      </w:r>
      <w:r w:rsidR="00D719F0" w:rsidRPr="00B364CB">
        <w:t>;</w:t>
      </w:r>
    </w:p>
    <w:p w14:paraId="2BDDD438" w14:textId="05B2ED78" w:rsidR="006B3E49" w:rsidRPr="00B364CB" w:rsidRDefault="006B3E49" w:rsidP="002256F6">
      <w:pPr>
        <w:pStyle w:val="MAWP-Bodytext"/>
        <w:numPr>
          <w:ilvl w:val="0"/>
          <w:numId w:val="20"/>
        </w:numPr>
      </w:pPr>
      <w:r w:rsidRPr="00B364CB">
        <w:t>Develop automation and quality control processes for continuous production of large volume</w:t>
      </w:r>
      <w:r w:rsidR="00AB32A0" w:rsidRPr="00B364CB">
        <w:t>s</w:t>
      </w:r>
      <w:r w:rsidRPr="00B364CB">
        <w:t xml:space="preserve"> of cell/stacks components</w:t>
      </w:r>
      <w:r w:rsidR="00D719F0" w:rsidRPr="00B364CB">
        <w:t>;</w:t>
      </w:r>
    </w:p>
    <w:p w14:paraId="78233EBC" w14:textId="16DF26E6" w:rsidR="006B3E49" w:rsidRPr="00B364CB" w:rsidRDefault="006B3E49" w:rsidP="002256F6">
      <w:pPr>
        <w:pStyle w:val="MAWP-Bodytext"/>
        <w:numPr>
          <w:ilvl w:val="0"/>
          <w:numId w:val="20"/>
        </w:numPr>
      </w:pPr>
      <w:r w:rsidRPr="00B364CB">
        <w:t>Demonstrate at the MW range the alternative electrolysis technologies</w:t>
      </w:r>
      <w:r w:rsidR="00333DC0" w:rsidRPr="00B364CB">
        <w:t xml:space="preserve"> – AEMEL and PCCEL</w:t>
      </w:r>
      <w:r w:rsidR="00D719F0" w:rsidRPr="00B364CB">
        <w:t>;</w:t>
      </w:r>
    </w:p>
    <w:p w14:paraId="7B2A9CB1" w14:textId="6F755ADE" w:rsidR="006B3E49" w:rsidRPr="00B364CB" w:rsidRDefault="006B3E49" w:rsidP="002256F6">
      <w:pPr>
        <w:pStyle w:val="MAWP-Bodytext"/>
        <w:numPr>
          <w:ilvl w:val="0"/>
          <w:numId w:val="20"/>
        </w:numPr>
      </w:pPr>
      <w:r w:rsidRPr="00B364CB">
        <w:t>Provide a compelling economic and environmental case for key applications e.g. feedstock for industries, transport, energy storage, heat and power</w:t>
      </w:r>
      <w:r w:rsidR="00D719F0" w:rsidRPr="00B364CB">
        <w:t>;</w:t>
      </w:r>
    </w:p>
    <w:p w14:paraId="2CCA2FCF" w14:textId="6A59B0A5" w:rsidR="006B3E49" w:rsidRPr="00B364CB" w:rsidRDefault="006B3E49" w:rsidP="002256F6">
      <w:pPr>
        <w:pStyle w:val="MAWP-Bodytext"/>
        <w:numPr>
          <w:ilvl w:val="0"/>
          <w:numId w:val="20"/>
        </w:numPr>
      </w:pPr>
      <w:r w:rsidRPr="00B364CB">
        <w:t>Operate with variable load and adequate flexibility to be coupled with renewable energ</w:t>
      </w:r>
      <w:r w:rsidR="00C63845" w:rsidRPr="00B364CB">
        <w:t>y</w:t>
      </w:r>
      <w:r w:rsidR="00D719F0" w:rsidRPr="00B364CB">
        <w:t>;</w:t>
      </w:r>
    </w:p>
    <w:p w14:paraId="793A6CF6" w14:textId="456795BC" w:rsidR="006B3E49" w:rsidRPr="00B364CB" w:rsidRDefault="006B3E49" w:rsidP="002256F6">
      <w:pPr>
        <w:pStyle w:val="MAWP-Bodytext"/>
        <w:numPr>
          <w:ilvl w:val="0"/>
          <w:numId w:val="20"/>
        </w:numPr>
      </w:pPr>
      <w:r w:rsidRPr="00B364CB">
        <w:t>MW scale direct coupling to renewable generation (both on</w:t>
      </w:r>
      <w:r w:rsidR="00B953E5" w:rsidRPr="00B364CB">
        <w:t>-</w:t>
      </w:r>
      <w:r w:rsidRPr="00B364CB">
        <w:t xml:space="preserve"> and off-grid) including </w:t>
      </w:r>
      <w:r w:rsidR="000D73F3">
        <w:t>offshore hydrogen production</w:t>
      </w:r>
      <w:r w:rsidRPr="00B364CB">
        <w:t>, aiming at identifying the best system configuration to reach co</w:t>
      </w:r>
      <w:r w:rsidR="004D7D17" w:rsidRPr="00B364CB">
        <w:t>mpetitiveness</w:t>
      </w:r>
      <w:r w:rsidR="00D719F0" w:rsidRPr="00B364CB">
        <w:t>;</w:t>
      </w:r>
    </w:p>
    <w:p w14:paraId="517322B6" w14:textId="5719577F" w:rsidR="006B3E49" w:rsidRPr="00B364CB" w:rsidRDefault="006B3E49" w:rsidP="002256F6">
      <w:pPr>
        <w:pStyle w:val="MAWP-Bodytext"/>
        <w:numPr>
          <w:ilvl w:val="0"/>
          <w:numId w:val="20"/>
        </w:numPr>
      </w:pPr>
      <w:r w:rsidRPr="00B364CB">
        <w:t>Integrating large scale electrolysers (50-200 MW) into industrial production plants, demonstrating dynamic operation</w:t>
      </w:r>
      <w:r w:rsidR="00D719F0" w:rsidRPr="00B364CB">
        <w:t>;</w:t>
      </w:r>
    </w:p>
    <w:p w14:paraId="49077802" w14:textId="607DF4FC" w:rsidR="006B3E49" w:rsidRPr="00B364CB" w:rsidRDefault="00140652" w:rsidP="002256F6">
      <w:pPr>
        <w:pStyle w:val="MAWP-Bodytext"/>
        <w:numPr>
          <w:ilvl w:val="0"/>
          <w:numId w:val="20"/>
        </w:numPr>
      </w:pPr>
      <w:r w:rsidRPr="00B364CB">
        <w:t>Renewable hydrogen</w:t>
      </w:r>
      <w:r w:rsidR="006B3E49" w:rsidRPr="00B364CB">
        <w:t xml:space="preserve"> </w:t>
      </w:r>
      <w:r w:rsidR="009B0D27" w:rsidRPr="00B364CB">
        <w:t xml:space="preserve">(both on and off-grid) </w:t>
      </w:r>
      <w:r w:rsidR="006B3E49" w:rsidRPr="00B364CB">
        <w:t>for refining crude oil into complex fuels (e.g. kerosene/jet fuel</w:t>
      </w:r>
      <w:r w:rsidR="00D719F0" w:rsidRPr="00B364CB">
        <w:t>);</w:t>
      </w:r>
    </w:p>
    <w:p w14:paraId="3E93C10A" w14:textId="7E2E2FE1" w:rsidR="006B3E49" w:rsidRPr="00B364CB" w:rsidRDefault="006B3E49" w:rsidP="002256F6">
      <w:pPr>
        <w:pStyle w:val="MAWP-Bodytext"/>
        <w:numPr>
          <w:ilvl w:val="0"/>
          <w:numId w:val="20"/>
        </w:numPr>
      </w:pPr>
      <w:r w:rsidRPr="00B364CB">
        <w:t xml:space="preserve">Ammonia and methanol production with </w:t>
      </w:r>
      <w:r w:rsidR="00D719F0" w:rsidRPr="00B364CB">
        <w:t xml:space="preserve">renewable </w:t>
      </w:r>
      <w:r w:rsidR="00140652" w:rsidRPr="00B364CB">
        <w:t>hydrogen</w:t>
      </w:r>
      <w:r w:rsidRPr="00B364CB">
        <w:t xml:space="preserve"> </w:t>
      </w:r>
      <w:r w:rsidR="007C41FA" w:rsidRPr="00B364CB">
        <w:t xml:space="preserve">(both on and off-grid) </w:t>
      </w:r>
      <w:r w:rsidRPr="00B364CB">
        <w:t>to decrease GHG emissions and managing energy loads</w:t>
      </w:r>
      <w:r w:rsidR="00D719F0" w:rsidRPr="00B364CB">
        <w:t>;</w:t>
      </w:r>
    </w:p>
    <w:p w14:paraId="45616E14" w14:textId="58573C6D" w:rsidR="006B3E49" w:rsidRPr="00B364CB" w:rsidRDefault="006B3E49" w:rsidP="002256F6">
      <w:pPr>
        <w:pStyle w:val="MAWP-Bodytext"/>
        <w:numPr>
          <w:ilvl w:val="0"/>
          <w:numId w:val="20"/>
        </w:numPr>
      </w:pPr>
      <w:r w:rsidRPr="00B364CB">
        <w:t xml:space="preserve">Production of synthetic petrochemicals (e.g. olefins, BTX and syngas) using </w:t>
      </w:r>
      <w:r w:rsidR="00D719F0" w:rsidRPr="00B364CB">
        <w:t xml:space="preserve">renewable </w:t>
      </w:r>
      <w:r w:rsidR="00140652" w:rsidRPr="00B364CB">
        <w:t>hydrogen</w:t>
      </w:r>
      <w:r w:rsidR="00B239B7" w:rsidRPr="00B364CB">
        <w:t xml:space="preserve"> (both on and off-grid)</w:t>
      </w:r>
      <w:r w:rsidR="0082236F" w:rsidRPr="00B364CB">
        <w:t>;</w:t>
      </w:r>
      <w:r w:rsidRPr="00B364CB">
        <w:t xml:space="preserve"> </w:t>
      </w:r>
    </w:p>
    <w:p w14:paraId="1B1E02E3" w14:textId="589BCC8A" w:rsidR="00333DC0" w:rsidRPr="00B364CB" w:rsidRDefault="006B3E49" w:rsidP="002256F6">
      <w:pPr>
        <w:pStyle w:val="MAWP-Bodytext"/>
        <w:numPr>
          <w:ilvl w:val="0"/>
          <w:numId w:val="20"/>
        </w:numPr>
      </w:pPr>
      <w:r w:rsidRPr="00B364CB">
        <w:t xml:space="preserve">Demonstrate the ability of </w:t>
      </w:r>
      <w:r w:rsidR="00333DC0" w:rsidRPr="00B364CB">
        <w:t xml:space="preserve">renewable </w:t>
      </w:r>
      <w:r w:rsidR="00140652" w:rsidRPr="00B364CB">
        <w:t>hydrogen</w:t>
      </w:r>
      <w:r w:rsidRPr="00B364CB">
        <w:t xml:space="preserve"> </w:t>
      </w:r>
      <w:r w:rsidR="00AC613A" w:rsidRPr="00B364CB">
        <w:t xml:space="preserve">(both on and off-grid) </w:t>
      </w:r>
      <w:r w:rsidRPr="00B364CB">
        <w:t>as a reducing agent in iron and steel production (replacing fossil fuels such as coke and natural gas)</w:t>
      </w:r>
      <w:r w:rsidR="00CF00C0" w:rsidRPr="00B364CB">
        <w:t>;</w:t>
      </w:r>
    </w:p>
    <w:p w14:paraId="465D1B4E" w14:textId="2A318851" w:rsidR="00D759C0" w:rsidRPr="00B364CB" w:rsidRDefault="00333DC0" w:rsidP="002256F6">
      <w:pPr>
        <w:pStyle w:val="MAWP-Bodytext"/>
        <w:numPr>
          <w:ilvl w:val="0"/>
          <w:numId w:val="20"/>
        </w:numPr>
      </w:pPr>
      <w:r w:rsidRPr="00B364CB">
        <w:t xml:space="preserve">Consider industrial applications where </w:t>
      </w:r>
      <w:r w:rsidR="00A16C14" w:rsidRPr="00B364CB">
        <w:t xml:space="preserve">oxygen and electrolysis waste heat </w:t>
      </w:r>
      <w:r w:rsidRPr="00B364CB">
        <w:t>could also be exploited</w:t>
      </w:r>
      <w:r w:rsidR="00CF2935" w:rsidRPr="00B364CB">
        <w:t xml:space="preserve"> besides renewable hydrogen</w:t>
      </w:r>
      <w:r w:rsidR="002E1B10" w:rsidRPr="00B364CB">
        <w:t xml:space="preserve"> (both on and off-grid)</w:t>
      </w:r>
      <w:r w:rsidR="0082236F" w:rsidRPr="00B364CB">
        <w:t>.</w:t>
      </w:r>
    </w:p>
    <w:p w14:paraId="35FAFD41" w14:textId="530FD5DF" w:rsidR="006B3E49" w:rsidRPr="00B364CB" w:rsidRDefault="009D00DB" w:rsidP="00C52896">
      <w:pPr>
        <w:pStyle w:val="MAWPHeadingStyleLevel4"/>
      </w:pPr>
      <w:bookmarkStart w:id="68" w:name="_Hlk44349316"/>
      <w:r w:rsidRPr="00B364CB">
        <w:t xml:space="preserve">Flagship Actions </w:t>
      </w:r>
    </w:p>
    <w:bookmarkEnd w:id="68"/>
    <w:p w14:paraId="6F584A1B" w14:textId="315F58DC" w:rsidR="006B3E49" w:rsidRPr="00B364CB" w:rsidRDefault="006B3E49" w:rsidP="006159FD">
      <w:pPr>
        <w:pStyle w:val="MAWP-Bodytext"/>
      </w:pPr>
      <w:r w:rsidRPr="00B364CB">
        <w:t>Support for flagship projects recognises the environmental advantages of electrolysis and helps them to realise further cost reductions by creating true demand at scale (e.g. 100 x 10 MW systems per year per manufacturer). The integration of large</w:t>
      </w:r>
      <w:r w:rsidR="00B953E5" w:rsidRPr="00B364CB">
        <w:t>-</w:t>
      </w:r>
      <w:r w:rsidRPr="00B364CB">
        <w:t xml:space="preserve">scale electrolysers in particular </w:t>
      </w:r>
      <w:r w:rsidR="00E3126F">
        <w:t>in</w:t>
      </w:r>
      <w:r w:rsidRPr="00B364CB">
        <w:t xml:space="preserve"> industrial / building environments could lead to changes to their specifications in order to obtain installation and operation permits, the process providing valuable feedback to the electrolysis industry. In terms of capacity, such flagship projects should aim to develop and demonstrate single modules of large capacity (few </w:t>
      </w:r>
      <w:r w:rsidR="00D719F0" w:rsidRPr="00B364CB">
        <w:t>tens of megawatts</w:t>
      </w:r>
      <w:r w:rsidRPr="00B364CB">
        <w:t xml:space="preserve">) which when repeated in commercial </w:t>
      </w:r>
      <w:r w:rsidRPr="00B364CB">
        <w:lastRenderedPageBreak/>
        <w:t xml:space="preserve">projects could achieve </w:t>
      </w:r>
      <w:r w:rsidR="00D719F0" w:rsidRPr="00B364CB">
        <w:t>hundreds of megawatts</w:t>
      </w:r>
      <w:r w:rsidRPr="00B364CB">
        <w:t xml:space="preserve"> </w:t>
      </w:r>
      <w:r w:rsidR="00D719F0" w:rsidRPr="00B364CB">
        <w:t>capacity</w:t>
      </w:r>
      <w:r w:rsidR="000D73F3">
        <w:t>, on</w:t>
      </w:r>
      <w:r w:rsidR="00DB3FAA">
        <w:t>-</w:t>
      </w:r>
      <w:r w:rsidR="000D73F3">
        <w:t>grid or off</w:t>
      </w:r>
      <w:r w:rsidR="00DB3FAA">
        <w:t>-</w:t>
      </w:r>
      <w:r w:rsidR="000D73F3">
        <w:t>grid, onshore or offshore</w:t>
      </w:r>
      <w:r w:rsidRPr="00B364CB">
        <w:t>.</w:t>
      </w:r>
    </w:p>
    <w:p w14:paraId="0C6F3511" w14:textId="5EF2A96A" w:rsidR="00F847D3" w:rsidRPr="00B364CB" w:rsidRDefault="000A73E7" w:rsidP="000A73E7">
      <w:pPr>
        <w:pStyle w:val="MAWPHeadingStyleLevel4"/>
      </w:pPr>
      <w:r w:rsidRPr="00B364CB">
        <w:t xml:space="preserve">Synergies </w:t>
      </w:r>
    </w:p>
    <w:p w14:paraId="3DE38C45" w14:textId="2E946362" w:rsidR="000A73E7" w:rsidRPr="00B364CB" w:rsidRDefault="00883A65" w:rsidP="006159FD">
      <w:pPr>
        <w:pStyle w:val="MAWP-Bodytext"/>
      </w:pPr>
      <w:r w:rsidRPr="00B364CB">
        <w:t>Potential synergies will be explored with P4P</w:t>
      </w:r>
      <w:r w:rsidR="004D37F9">
        <w:t xml:space="preserve"> and</w:t>
      </w:r>
      <w:r w:rsidR="00AD1C72" w:rsidRPr="00B364CB">
        <w:t xml:space="preserve"> </w:t>
      </w:r>
      <w:r w:rsidR="00CF00C0" w:rsidRPr="00B364CB">
        <w:t>Clean Steel</w:t>
      </w:r>
      <w:r w:rsidR="00AD1C72" w:rsidRPr="00B364CB">
        <w:t xml:space="preserve"> </w:t>
      </w:r>
      <w:r w:rsidR="002B7AE5">
        <w:t>p</w:t>
      </w:r>
      <w:r w:rsidR="00AD1C72" w:rsidRPr="00B364CB">
        <w:t>a</w:t>
      </w:r>
      <w:r w:rsidR="00CF00C0" w:rsidRPr="00B364CB">
        <w:t>rtnership</w:t>
      </w:r>
      <w:r w:rsidR="00AD1C72" w:rsidRPr="00B364CB">
        <w:t>s</w:t>
      </w:r>
      <w:r w:rsidR="00B8329D" w:rsidRPr="00B364CB">
        <w:t xml:space="preserve"> in successfully demonstrating the use of renewable hydrogen in industry. </w:t>
      </w:r>
      <w:r w:rsidR="004D37F9">
        <w:t xml:space="preserve">Possible synergies may also be explored with the CETP </w:t>
      </w:r>
      <w:r w:rsidR="002B7AE5">
        <w:t>p</w:t>
      </w:r>
      <w:r w:rsidR="004D37F9">
        <w:t xml:space="preserve">artnership. </w:t>
      </w:r>
      <w:r w:rsidR="00E238EE" w:rsidRPr="00B364CB">
        <w:t>S</w:t>
      </w:r>
      <w:r w:rsidR="00B8329D" w:rsidRPr="00B364CB">
        <w:t xml:space="preserve">ee Section </w:t>
      </w:r>
      <w:r w:rsidR="00B8329D" w:rsidRPr="00B364CB">
        <w:fldChar w:fldCharType="begin"/>
      </w:r>
      <w:r w:rsidR="00B8329D" w:rsidRPr="00B364CB">
        <w:instrText xml:space="preserve"> REF _Ref55249545 \r \h </w:instrText>
      </w:r>
      <w:r w:rsidR="003E7CE1" w:rsidRPr="00B364CB">
        <w:instrText xml:space="preserve"> \* MERGEFORMAT </w:instrText>
      </w:r>
      <w:r w:rsidR="00B8329D" w:rsidRPr="00B364CB">
        <w:fldChar w:fldCharType="separate"/>
      </w:r>
      <w:r w:rsidR="00331EBC">
        <w:t>4.1</w:t>
      </w:r>
      <w:r w:rsidR="00B8329D" w:rsidRPr="00B364CB">
        <w:fldChar w:fldCharType="end"/>
      </w:r>
      <w:r w:rsidR="00B8329D" w:rsidRPr="00B364CB">
        <w:t xml:space="preserve"> </w:t>
      </w:r>
      <w:r w:rsidR="00B77E48">
        <w:t xml:space="preserve">and Annex 7 </w:t>
      </w:r>
      <w:r w:rsidR="00B8329D" w:rsidRPr="00B364CB">
        <w:t xml:space="preserve">for more details on the synergies. </w:t>
      </w:r>
    </w:p>
    <w:p w14:paraId="73623FB6" w14:textId="33368918" w:rsidR="00B06A1E" w:rsidRPr="00B364CB" w:rsidRDefault="00B06A1E" w:rsidP="006802D3">
      <w:pPr>
        <w:pStyle w:val="MAWPsubtitle2"/>
      </w:pPr>
      <w:bookmarkStart w:id="69" w:name="_Toc64640549"/>
      <w:bookmarkStart w:id="70" w:name="_Toc93907317"/>
      <w:bookmarkStart w:id="71" w:name="_Hlk83883433"/>
      <w:r w:rsidRPr="00B364CB">
        <w:t xml:space="preserve">Other </w:t>
      </w:r>
      <w:r w:rsidR="006B3E49" w:rsidRPr="00B364CB">
        <w:t>routes</w:t>
      </w:r>
      <w:r w:rsidRPr="00B364CB">
        <w:t xml:space="preserve"> of </w:t>
      </w:r>
      <w:r w:rsidR="006B3E49" w:rsidRPr="00B364CB">
        <w:t xml:space="preserve">renewable hydrogen </w:t>
      </w:r>
      <w:r w:rsidRPr="00B364CB">
        <w:t>production</w:t>
      </w:r>
      <w:bookmarkEnd w:id="69"/>
      <w:bookmarkEnd w:id="70"/>
    </w:p>
    <w:bookmarkEnd w:id="71"/>
    <w:p w14:paraId="3271F90E" w14:textId="1DA30550" w:rsidR="006B3E49" w:rsidRPr="00B364CB" w:rsidRDefault="006B3E49" w:rsidP="00C52896">
      <w:pPr>
        <w:pStyle w:val="MAWPHeadingStyleLevel4"/>
        <w:rPr>
          <w:rStyle w:val="MAWPHeadingStyleLevel4Char"/>
        </w:rPr>
      </w:pPr>
      <w:r w:rsidRPr="00B364CB">
        <w:t xml:space="preserve">Rationale for </w:t>
      </w:r>
      <w:r w:rsidR="00461DFD" w:rsidRPr="00B364CB">
        <w:t>S</w:t>
      </w:r>
      <w:r w:rsidRPr="00B364CB">
        <w:t>upport</w:t>
      </w:r>
    </w:p>
    <w:p w14:paraId="596C5438" w14:textId="7F5CF21E" w:rsidR="006B3E49" w:rsidRPr="00B364CB" w:rsidRDefault="006B3E49" w:rsidP="006159FD">
      <w:pPr>
        <w:pStyle w:val="MAWP-Bodytext"/>
      </w:pPr>
      <w:r w:rsidRPr="00B364CB">
        <w:t>Traditionally, hydrogen has been produced from fossil sources by steam methane reforming of natural gas</w:t>
      </w:r>
      <w:r w:rsidR="00011C79" w:rsidRPr="00B364CB">
        <w:t>.</w:t>
      </w:r>
      <w:r w:rsidR="007A639A">
        <w:t xml:space="preserve"> </w:t>
      </w:r>
      <w:r w:rsidR="00011C79" w:rsidRPr="00B364CB">
        <w:t>H</w:t>
      </w:r>
      <w:r w:rsidRPr="00B364CB">
        <w:t>owever</w:t>
      </w:r>
      <w:r w:rsidR="00FE19E1" w:rsidRPr="00B364CB">
        <w:t>,</w:t>
      </w:r>
      <w:r w:rsidRPr="00B364CB">
        <w:t xml:space="preserve"> hydrogen can</w:t>
      </w:r>
      <w:r w:rsidR="00011C79" w:rsidRPr="00B364CB">
        <w:t xml:space="preserve"> also</w:t>
      </w:r>
      <w:r w:rsidRPr="00B364CB">
        <w:t xml:space="preserve"> be produced from a broad range of renewable energy sources, the technology of </w:t>
      </w:r>
      <w:r w:rsidR="00291C8F">
        <w:t>first</w:t>
      </w:r>
      <w:r w:rsidRPr="00B364CB">
        <w:t xml:space="preserve"> choice being water electrolysis using renewable electricity. Solutions at lower </w:t>
      </w:r>
      <w:r w:rsidR="00290634">
        <w:t>T</w:t>
      </w:r>
      <w:r w:rsidRPr="00B364CB">
        <w:t xml:space="preserve">echnology </w:t>
      </w:r>
      <w:r w:rsidR="00290634">
        <w:t>R</w:t>
      </w:r>
      <w:r w:rsidRPr="00B364CB">
        <w:t xml:space="preserve">eadiness </w:t>
      </w:r>
      <w:r w:rsidR="00290634">
        <w:t>L</w:t>
      </w:r>
      <w:r w:rsidRPr="00B364CB">
        <w:t>evel need also to be incentivised and developed</w:t>
      </w:r>
      <w:r w:rsidR="00FE19E1" w:rsidRPr="00B364CB">
        <w:t>,</w:t>
      </w:r>
      <w:r w:rsidRPr="00B364CB">
        <w:t xml:space="preserve"> such as hydrogen production from </w:t>
      </w:r>
      <w:r w:rsidR="00612753" w:rsidRPr="00B364CB">
        <w:t xml:space="preserve">biological origin (e.g. </w:t>
      </w:r>
      <w:r w:rsidRPr="00B364CB">
        <w:t>algae</w:t>
      </w:r>
      <w:r w:rsidR="006F320B" w:rsidRPr="00B364CB">
        <w:t>, microbes</w:t>
      </w:r>
      <w:r w:rsidR="0082236F" w:rsidRPr="00B364CB">
        <w:t>)</w:t>
      </w:r>
      <w:r w:rsidR="000D5A9E" w:rsidRPr="00B364CB">
        <w:rPr>
          <w:rStyle w:val="Bodytext2Bold1"/>
          <w:lang w:val="en-GB"/>
        </w:rPr>
        <w:t xml:space="preserve"> </w:t>
      </w:r>
      <w:r w:rsidR="000D5A9E" w:rsidRPr="00B364CB">
        <w:rPr>
          <w:rStyle w:val="Hyperlink0"/>
        </w:rPr>
        <w:t>through several processes (e.g. dark fermentation</w:t>
      </w:r>
      <w:r w:rsidR="00612753" w:rsidRPr="00B364CB">
        <w:rPr>
          <w:rStyle w:val="Hyperlink0"/>
        </w:rPr>
        <w:t>)</w:t>
      </w:r>
      <w:r w:rsidRPr="00B364CB">
        <w:t>, from direct solar water splitting using solar thermal heat or direct sunlight (photonic energy), or from pyrolysis</w:t>
      </w:r>
      <w:r w:rsidR="00256758" w:rsidRPr="00B364CB">
        <w:t>/gasification</w:t>
      </w:r>
      <w:r w:rsidRPr="00B364CB">
        <w:t xml:space="preserve"> processes </w:t>
      </w:r>
      <w:r w:rsidR="00883A65" w:rsidRPr="00B364CB">
        <w:t xml:space="preserve">for hydrogen production from biomass/biogas </w:t>
      </w:r>
      <w:r w:rsidRPr="00B364CB">
        <w:t xml:space="preserve">with solid carbon as </w:t>
      </w:r>
      <w:r w:rsidR="00FE19E1" w:rsidRPr="00B364CB">
        <w:t xml:space="preserve">a </w:t>
      </w:r>
      <w:r w:rsidR="00D17C8D">
        <w:t>by-</w:t>
      </w:r>
      <w:r w:rsidRPr="00B364CB">
        <w:t>product</w:t>
      </w:r>
      <w:r w:rsidR="00011C79" w:rsidRPr="00B364CB">
        <w:t>. At the same time</w:t>
      </w:r>
      <w:r w:rsidRPr="00B364CB">
        <w:t xml:space="preserve">, attention </w:t>
      </w:r>
      <w:r w:rsidR="00011C79" w:rsidRPr="00B364CB">
        <w:t xml:space="preserve">needs to be paid </w:t>
      </w:r>
      <w:r w:rsidRPr="00B364CB">
        <w:t xml:space="preserve">to sustainability requirements – these routes could </w:t>
      </w:r>
      <w:r w:rsidR="00580E97" w:rsidRPr="00B364CB">
        <w:t xml:space="preserve">potentially </w:t>
      </w:r>
      <w:r w:rsidRPr="00B364CB">
        <w:t>be environmentally positive</w:t>
      </w:r>
      <w:r w:rsidR="00BB3511">
        <w:t>.</w:t>
      </w:r>
      <w:r w:rsidR="00AB0B58">
        <w:t xml:space="preserve"> The topic of pyrolysis and carbon black production is outside the scope of the current </w:t>
      </w:r>
      <w:r w:rsidR="002967E8">
        <w:t>SRIA</w:t>
      </w:r>
      <w:r w:rsidR="00AB0B58">
        <w:t xml:space="preserve"> and will be covered through the synergies with P4P.</w:t>
      </w:r>
    </w:p>
    <w:p w14:paraId="2BE7C2C9" w14:textId="496FAA96" w:rsidR="006B3E49" w:rsidRPr="00B364CB" w:rsidRDefault="00461DFD" w:rsidP="00C52896">
      <w:pPr>
        <w:pStyle w:val="MAWPHeadingStyleLevel4"/>
        <w:rPr>
          <w:rFonts w:eastAsia="Arial"/>
        </w:rPr>
      </w:pPr>
      <w:r w:rsidRPr="00B364CB">
        <w:rPr>
          <w:rFonts w:eastAsia="Arial"/>
        </w:rPr>
        <w:t>State of the Art</w:t>
      </w:r>
    </w:p>
    <w:p w14:paraId="32145AE5" w14:textId="2ACA3769" w:rsidR="006B3E49" w:rsidRPr="00B364CB" w:rsidRDefault="006B3E49" w:rsidP="006159FD">
      <w:pPr>
        <w:pStyle w:val="MAWP-Bodytext"/>
      </w:pPr>
      <w:r w:rsidRPr="00B364CB">
        <w:t>Gasification of biomass and biowaste is an area being actively pursued by several SMEs worldwide.  Some small-scale demonstration plants have operat</w:t>
      </w:r>
      <w:r w:rsidR="005D24C5" w:rsidRPr="00B364CB">
        <w:t xml:space="preserve">ed successfully (e.g. Gas Goes Green </w:t>
      </w:r>
      <w:r w:rsidR="000E616B" w:rsidRPr="00B364CB">
        <w:t>Programme</w:t>
      </w:r>
      <w:r w:rsidR="006E111C" w:rsidRPr="00B364CB">
        <w:rPr>
          <w:rStyle w:val="FootnoteReference"/>
        </w:rPr>
        <w:footnoteReference w:id="57"/>
      </w:r>
      <w:r w:rsidR="0082236F" w:rsidRPr="00B364CB">
        <w:t xml:space="preserve"> </w:t>
      </w:r>
      <w:r w:rsidRPr="00B364CB">
        <w:t xml:space="preserve">in the UK), yet there are no MW scale plants operating. The </w:t>
      </w:r>
      <w:r w:rsidR="009500B2" w:rsidRPr="00B364CB">
        <w:t>FCH 2 JU</w:t>
      </w:r>
      <w:r w:rsidRPr="00B364CB">
        <w:t xml:space="preserve"> has supported </w:t>
      </w:r>
      <w:r w:rsidR="00314F2A" w:rsidRPr="00B364CB">
        <w:t xml:space="preserve">renewable </w:t>
      </w:r>
      <w:r w:rsidRPr="00B364CB">
        <w:t>hydrogen production from dry biomass through gasification or the reforming of raw biogas in novel reactors but efficiencies reached were around 40% (project BIONICO).</w:t>
      </w:r>
    </w:p>
    <w:p w14:paraId="51EFBFA8" w14:textId="37C6F615" w:rsidR="006B3E49" w:rsidRPr="00B364CB" w:rsidRDefault="00C749CB" w:rsidP="006159FD">
      <w:pPr>
        <w:pStyle w:val="MAWP-Bodytext"/>
      </w:pPr>
      <w:r w:rsidRPr="00B364CB">
        <w:t>Similarly,</w:t>
      </w:r>
      <w:r w:rsidR="006B3E49" w:rsidRPr="00B364CB">
        <w:t xml:space="preserve"> the </w:t>
      </w:r>
      <w:r w:rsidR="009500B2" w:rsidRPr="00B364CB">
        <w:t>FCH 2 JU</w:t>
      </w:r>
      <w:r w:rsidR="006B3E49" w:rsidRPr="00B364CB">
        <w:t xml:space="preserve"> has supported projects related to the thermal dissociation of water using concentrated light culminating to the construction of a demonstration plant of 750 kW</w:t>
      </w:r>
      <w:r w:rsidR="006B3E49" w:rsidRPr="00E4788A">
        <w:rPr>
          <w:vertAlign w:val="subscript"/>
        </w:rPr>
        <w:t xml:space="preserve">th </w:t>
      </w:r>
      <w:r w:rsidR="006B3E49" w:rsidRPr="00B364CB">
        <w:t>(Hydrosol-Plant</w:t>
      </w:r>
      <w:r w:rsidR="006E111C" w:rsidRPr="00B364CB">
        <w:rPr>
          <w:rStyle w:val="FootnoteReference"/>
        </w:rPr>
        <w:footnoteReference w:id="58"/>
      </w:r>
      <w:r w:rsidR="006B3E49" w:rsidRPr="00B364CB">
        <w:t xml:space="preserve">) </w:t>
      </w:r>
      <w:r w:rsidR="00F452B7" w:rsidRPr="00B364CB">
        <w:t>concluding</w:t>
      </w:r>
      <w:r w:rsidR="006B3E49" w:rsidRPr="00B364CB">
        <w:t xml:space="preserve"> that there is considerable room for further improvement in materials and processes as there is a significant gap between the theoretical and measured efficiency (25 and </w:t>
      </w:r>
      <w:r w:rsidR="001B5555" w:rsidRPr="00B364CB">
        <w:t xml:space="preserve">less than </w:t>
      </w:r>
      <w:r w:rsidR="006B3E49" w:rsidRPr="00B364CB">
        <w:t xml:space="preserve">1% respectively). There is a range of technologies being explored at the laboratory scale for using solar energy to split water by photochemical and </w:t>
      </w:r>
      <w:r w:rsidRPr="00B364CB">
        <w:t>photoelectrochemical</w:t>
      </w:r>
      <w:r w:rsidR="006B3E49" w:rsidRPr="00B364CB">
        <w:t xml:space="preserve"> means</w:t>
      </w:r>
      <w:r w:rsidRPr="00B364CB">
        <w:t>.</w:t>
      </w:r>
      <w:r w:rsidR="006B3E49" w:rsidRPr="00B364CB">
        <w:t xml:space="preserve"> Solar to </w:t>
      </w:r>
      <w:r w:rsidR="00314F2A" w:rsidRPr="00B364CB">
        <w:t xml:space="preserve">renewable </w:t>
      </w:r>
      <w:r w:rsidR="006B3E49" w:rsidRPr="00B364CB">
        <w:t xml:space="preserve">hydrogen efficiencies </w:t>
      </w:r>
      <w:r w:rsidR="001B5555" w:rsidRPr="00B364CB">
        <w:t xml:space="preserve">higher than </w:t>
      </w:r>
      <w:r w:rsidR="006B3E49" w:rsidRPr="00B364CB">
        <w:t>20% have been reached on small specimens in the lab</w:t>
      </w:r>
      <w:r w:rsidR="001B5555" w:rsidRPr="00B364CB">
        <w:t>,</w:t>
      </w:r>
      <w:r w:rsidR="006B3E49" w:rsidRPr="00B364CB">
        <w:t xml:space="preserve"> dropping to 10% for cells of a few </w:t>
      </w:r>
      <w:r w:rsidR="0082236F" w:rsidRPr="00B364CB">
        <w:t>m²</w:t>
      </w:r>
      <w:r w:rsidR="006B3E49" w:rsidRPr="00B364CB">
        <w:t xml:space="preserve"> operating with sunlight (project PECSYS).</w:t>
      </w:r>
    </w:p>
    <w:p w14:paraId="506BAC24" w14:textId="2D627A5D" w:rsidR="009500B2" w:rsidRPr="00B364CB" w:rsidRDefault="00573743" w:rsidP="006159FD">
      <w:pPr>
        <w:pStyle w:val="MAWP-Bodytext"/>
      </w:pPr>
      <w:r w:rsidRPr="00B364CB">
        <w:t xml:space="preserve">In </w:t>
      </w:r>
      <w:r w:rsidR="00AE258F" w:rsidRPr="00B364CB">
        <w:t>terms</w:t>
      </w:r>
      <w:r w:rsidR="009500B2" w:rsidRPr="00B364CB">
        <w:t xml:space="preserve"> of biological processes, </w:t>
      </w:r>
      <w:r w:rsidR="00AE258F" w:rsidRPr="00B364CB">
        <w:t xml:space="preserve">the FCH JU has supported only one project (HYTIME) and there is a need </w:t>
      </w:r>
      <w:r w:rsidR="009500B2" w:rsidRPr="00B364CB">
        <w:t>to move beyond the pilot-plant to demonstration scale. In the case of bio</w:t>
      </w:r>
      <w:r w:rsidR="00112DDE" w:rsidRPr="00B364CB">
        <w:t>-</w:t>
      </w:r>
      <w:r w:rsidR="009500B2" w:rsidRPr="00B364CB">
        <w:t>electrochemical processes, there are several pilot-plant systems throughout the world using different types of feedstocks, producing hydrogen and other by-products from different wastewaters. Currently, higher volume reactors range from 120</w:t>
      </w:r>
      <w:r w:rsidR="00112DDE" w:rsidRPr="00B364CB">
        <w:t xml:space="preserve"> </w:t>
      </w:r>
      <w:r w:rsidR="009500B2" w:rsidRPr="00B364CB">
        <w:t>l</w:t>
      </w:r>
      <w:r w:rsidR="00112DDE" w:rsidRPr="00B364CB">
        <w:t>itres</w:t>
      </w:r>
      <w:r w:rsidR="009500B2" w:rsidRPr="00B364CB">
        <w:t xml:space="preserve"> to </w:t>
      </w:r>
      <w:r w:rsidR="0082236F" w:rsidRPr="00B364CB">
        <w:t>1</w:t>
      </w:r>
      <w:r w:rsidR="00D17C8D">
        <w:t> </w:t>
      </w:r>
      <w:r w:rsidR="0082236F" w:rsidRPr="00B364CB">
        <w:t>m³</w:t>
      </w:r>
      <w:r w:rsidR="009500B2" w:rsidRPr="00B364CB">
        <w:t xml:space="preserve">, with a maximum </w:t>
      </w:r>
      <w:r w:rsidR="002F7C48" w:rsidRPr="00B364CB">
        <w:lastRenderedPageBreak/>
        <w:t>hydrogen</w:t>
      </w:r>
      <w:r w:rsidR="009500B2" w:rsidRPr="00B364CB">
        <w:t xml:space="preserve"> purity between 94</w:t>
      </w:r>
      <w:r w:rsidR="004F5D10" w:rsidRPr="00B364CB">
        <w:t>%</w:t>
      </w:r>
      <w:r w:rsidR="009500B2" w:rsidRPr="00B364CB">
        <w:t xml:space="preserve"> and around 100%. The EU has supported </w:t>
      </w:r>
      <w:r w:rsidR="00854A02" w:rsidRPr="00B364CB">
        <w:t xml:space="preserve">under FP7 some low TRL </w:t>
      </w:r>
      <w:r w:rsidR="009500B2" w:rsidRPr="00B364CB">
        <w:t xml:space="preserve">projects for the treatment of wastewater, or other wastes, and the simultaneous production of </w:t>
      </w:r>
      <w:r w:rsidR="002F7C48" w:rsidRPr="00B364CB">
        <w:t>hydrogen</w:t>
      </w:r>
      <w:r w:rsidR="009500B2" w:rsidRPr="00B364CB">
        <w:t xml:space="preserve"> (Waste2bioHy</w:t>
      </w:r>
      <w:r w:rsidR="006E111C" w:rsidRPr="00B364CB">
        <w:rPr>
          <w:rStyle w:val="FootnoteReference"/>
        </w:rPr>
        <w:footnoteReference w:id="59"/>
      </w:r>
      <w:r w:rsidR="00854A02" w:rsidRPr="00B364CB">
        <w:t>)</w:t>
      </w:r>
      <w:r w:rsidR="006159FD" w:rsidRPr="00B364CB">
        <w:t>.</w:t>
      </w:r>
      <w:r w:rsidR="009500B2" w:rsidRPr="00B364CB">
        <w:t xml:space="preserve"> </w:t>
      </w:r>
    </w:p>
    <w:p w14:paraId="7DBF24C6" w14:textId="77777777" w:rsidR="006B3E49" w:rsidRPr="00B364CB" w:rsidRDefault="006B3E49" w:rsidP="00C52896">
      <w:pPr>
        <w:pStyle w:val="MAWPHeadingStyleLevel4"/>
        <w:rPr>
          <w:rFonts w:eastAsia="Arial"/>
        </w:rPr>
      </w:pPr>
      <w:r w:rsidRPr="00B364CB">
        <w:rPr>
          <w:rFonts w:eastAsia="Arial"/>
        </w:rPr>
        <w:t>Objectives</w:t>
      </w:r>
    </w:p>
    <w:p w14:paraId="28F2BFFC" w14:textId="602EF48C" w:rsidR="006B3E49" w:rsidRPr="00B364CB" w:rsidRDefault="006B3E49" w:rsidP="006159FD">
      <w:pPr>
        <w:pStyle w:val="MAWP-Bodytext"/>
      </w:pPr>
      <w:r w:rsidRPr="00B364CB">
        <w:t xml:space="preserve">The objective of the </w:t>
      </w:r>
      <w:r w:rsidR="006E111C" w:rsidRPr="00B364CB">
        <w:t xml:space="preserve">research and innovation </w:t>
      </w:r>
      <w:r w:rsidRPr="00B364CB">
        <w:t xml:space="preserve">support </w:t>
      </w:r>
      <w:r w:rsidR="006E111C" w:rsidRPr="00B364CB">
        <w:t xml:space="preserve">to be </w:t>
      </w:r>
      <w:r w:rsidRPr="00B364CB">
        <w:t xml:space="preserve">provided by </w:t>
      </w:r>
      <w:r w:rsidR="006E111C" w:rsidRPr="00B364CB">
        <w:t xml:space="preserve">the </w:t>
      </w:r>
      <w:r w:rsidR="00831A2C">
        <w:t xml:space="preserve">Clean Hydrogen </w:t>
      </w:r>
      <w:r w:rsidR="006E111C" w:rsidRPr="00B364CB">
        <w:t xml:space="preserve">JU </w:t>
      </w:r>
      <w:r w:rsidRPr="00B364CB">
        <w:t xml:space="preserve">will </w:t>
      </w:r>
      <w:r w:rsidR="006E111C" w:rsidRPr="00B364CB">
        <w:t xml:space="preserve">aim to make </w:t>
      </w:r>
      <w:r w:rsidRPr="00B364CB">
        <w:t xml:space="preserve">a range of technologies </w:t>
      </w:r>
      <w:r w:rsidR="00FE19E1" w:rsidRPr="00B364CB">
        <w:t xml:space="preserve">available by 2030 </w:t>
      </w:r>
      <w:r w:rsidRPr="00B364CB">
        <w:t>which can produce renewable, low cost (</w:t>
      </w:r>
      <w:r w:rsidR="00AE258F" w:rsidRPr="00B364CB">
        <w:t xml:space="preserve">around </w:t>
      </w:r>
      <w:r w:rsidRPr="00B364CB">
        <w:t>3</w:t>
      </w:r>
      <w:r w:rsidR="00A10676" w:rsidRPr="00B364CB">
        <w:t xml:space="preserve"> €</w:t>
      </w:r>
      <w:r w:rsidRPr="00B364CB">
        <w:t>/kg</w:t>
      </w:r>
      <w:r w:rsidR="00AE258F" w:rsidRPr="00B364CB">
        <w:t xml:space="preserve"> including feedstock cost</w:t>
      </w:r>
      <w:r w:rsidRPr="00B364CB">
        <w:t xml:space="preserve">) hydrogen operating either at distributed or central facilities with capacities approaching MW of hydrogen production, with reduced land use. </w:t>
      </w:r>
    </w:p>
    <w:p w14:paraId="13917957" w14:textId="7EDBCD49" w:rsidR="008155B5" w:rsidRPr="00B364CB" w:rsidRDefault="008155B5" w:rsidP="006159FD">
      <w:pPr>
        <w:pStyle w:val="MAWP-Bodytext"/>
      </w:pPr>
      <w:r w:rsidRPr="00B364CB">
        <w:t>The objectives can be summarised below:</w:t>
      </w:r>
    </w:p>
    <w:p w14:paraId="4B25E7FB" w14:textId="40262ABF" w:rsidR="008155B5" w:rsidRPr="00B364CB" w:rsidRDefault="008155B5" w:rsidP="002256F6">
      <w:pPr>
        <w:pStyle w:val="MAWP-Bodytext"/>
        <w:numPr>
          <w:ilvl w:val="0"/>
          <w:numId w:val="51"/>
        </w:numPr>
      </w:pPr>
      <w:r w:rsidRPr="00B364CB">
        <w:t>Reducing CAPEX and OPEX</w:t>
      </w:r>
    </w:p>
    <w:p w14:paraId="1342BCE1" w14:textId="475D80B4" w:rsidR="00972E70" w:rsidRPr="00B364CB" w:rsidRDefault="00972E70" w:rsidP="002256F6">
      <w:pPr>
        <w:pStyle w:val="MAWP-Bodytext"/>
        <w:numPr>
          <w:ilvl w:val="0"/>
          <w:numId w:val="51"/>
        </w:numPr>
      </w:pPr>
      <w:r w:rsidRPr="00B364CB">
        <w:t>Improving the efficiency of processes</w:t>
      </w:r>
    </w:p>
    <w:p w14:paraId="691F6343" w14:textId="0A765EF1" w:rsidR="00972E70" w:rsidRPr="00B364CB" w:rsidRDefault="00972E70" w:rsidP="002256F6">
      <w:pPr>
        <w:pStyle w:val="MAWP-Bodytext"/>
        <w:numPr>
          <w:ilvl w:val="0"/>
          <w:numId w:val="51"/>
        </w:numPr>
      </w:pPr>
      <w:r w:rsidRPr="00B364CB">
        <w:t xml:space="preserve">Increasing carbon yield for processes based on biomass/raw biogas (kg </w:t>
      </w:r>
      <w:r w:rsidR="001D4071" w:rsidRPr="00B364CB">
        <w:t xml:space="preserve">hydrogen </w:t>
      </w:r>
      <w:r w:rsidRPr="00B364CB">
        <w:t>/</w:t>
      </w:r>
      <w:r w:rsidR="001D4071" w:rsidRPr="00B364CB">
        <w:t xml:space="preserve"> </w:t>
      </w:r>
      <w:r w:rsidRPr="00B364CB">
        <w:t>kg</w:t>
      </w:r>
      <w:r w:rsidR="001D4071" w:rsidRPr="00B364CB">
        <w:t xml:space="preserve"> carbon</w:t>
      </w:r>
      <w:r w:rsidRPr="00B364CB">
        <w:t>)</w:t>
      </w:r>
    </w:p>
    <w:p w14:paraId="480BAA36" w14:textId="1FCC1EA3" w:rsidR="00972E70" w:rsidRPr="00B364CB" w:rsidRDefault="00972E70" w:rsidP="002256F6">
      <w:pPr>
        <w:pStyle w:val="MAWP-Bodytext"/>
        <w:numPr>
          <w:ilvl w:val="0"/>
          <w:numId w:val="51"/>
        </w:numPr>
      </w:pPr>
      <w:r w:rsidRPr="00B364CB">
        <w:t>Scaling up</w:t>
      </w:r>
    </w:p>
    <w:p w14:paraId="72D1446A" w14:textId="3B71B09E" w:rsidR="00F91C34" w:rsidRPr="00B364CB" w:rsidRDefault="00F91C34" w:rsidP="006159FD">
      <w:pPr>
        <w:pStyle w:val="MAWP-Bodytext"/>
      </w:pPr>
      <w:r w:rsidRPr="00B364CB">
        <w:t xml:space="preserve">The alternative renewable hydrogen production routes on which the current Programme will be focusing </w:t>
      </w:r>
      <w:r w:rsidR="00FE19E1" w:rsidRPr="00B364CB">
        <w:t>are</w:t>
      </w:r>
      <w:r w:rsidRPr="00B364CB">
        <w:t>:</w:t>
      </w:r>
    </w:p>
    <w:p w14:paraId="5E187322" w14:textId="2BC172D8" w:rsidR="009500B2" w:rsidRPr="00B364CB" w:rsidRDefault="00F91C34" w:rsidP="002256F6">
      <w:pPr>
        <w:pStyle w:val="MAWP-Bodytext"/>
        <w:numPr>
          <w:ilvl w:val="0"/>
          <w:numId w:val="21"/>
        </w:numPr>
      </w:pPr>
      <w:r w:rsidRPr="00B364CB">
        <w:t xml:space="preserve">Biomass &amp; </w:t>
      </w:r>
      <w:r w:rsidR="00AE214F" w:rsidRPr="00B364CB">
        <w:t>bio-waste</w:t>
      </w:r>
      <w:r w:rsidRPr="00B364CB">
        <w:t xml:space="preserve"> gasification </w:t>
      </w:r>
      <w:r w:rsidR="001B6B8E" w:rsidRPr="00B364CB">
        <w:t xml:space="preserve">for distributed hydrogen production, potentially </w:t>
      </w:r>
      <w:r w:rsidR="009500B2" w:rsidRPr="00B364CB">
        <w:t xml:space="preserve">associated with </w:t>
      </w:r>
      <w:r w:rsidR="00403AA5" w:rsidRPr="00B364CB">
        <w:t xml:space="preserve">carbon, </w:t>
      </w:r>
      <w:r w:rsidR="009500B2" w:rsidRPr="00B364CB">
        <w:t>capture &amp; storage (</w:t>
      </w:r>
      <w:r w:rsidR="00403AA5" w:rsidRPr="00B364CB">
        <w:t>CCS</w:t>
      </w:r>
      <w:r w:rsidR="009500B2" w:rsidRPr="00B364CB">
        <w:t>)</w:t>
      </w:r>
      <w:r w:rsidR="00DF663C" w:rsidRPr="00B364CB">
        <w:t xml:space="preserve">, the latter being outside the scope of the </w:t>
      </w:r>
      <w:r w:rsidR="00831A2C">
        <w:t xml:space="preserve">Clean Hydrogen </w:t>
      </w:r>
      <w:r w:rsidR="00A51EDE" w:rsidRPr="00B364CB">
        <w:t>JU</w:t>
      </w:r>
      <w:r w:rsidR="00E67459" w:rsidRPr="00B364CB">
        <w:t>;</w:t>
      </w:r>
    </w:p>
    <w:p w14:paraId="1B39A965" w14:textId="375F8B61" w:rsidR="00F91C34" w:rsidRPr="00B364CB" w:rsidRDefault="00F91C34" w:rsidP="002256F6">
      <w:pPr>
        <w:pStyle w:val="MAWP-Bodytext"/>
        <w:numPr>
          <w:ilvl w:val="0"/>
          <w:numId w:val="21"/>
        </w:numPr>
      </w:pPr>
      <w:r w:rsidRPr="00B364CB">
        <w:t>Raw biogas reforming</w:t>
      </w:r>
      <w:r w:rsidR="0074124B" w:rsidRPr="00B364CB">
        <w:t xml:space="preserve"> for distributed hydrogen production</w:t>
      </w:r>
      <w:r w:rsidR="009500B2" w:rsidRPr="00B364CB">
        <w:t xml:space="preserve">, </w:t>
      </w:r>
      <w:r w:rsidR="001B6B8E" w:rsidRPr="00B364CB">
        <w:t>potentially</w:t>
      </w:r>
      <w:r w:rsidR="009500B2" w:rsidRPr="00B364CB">
        <w:t xml:space="preserve"> associated with </w:t>
      </w:r>
      <w:r w:rsidR="00403AA5" w:rsidRPr="00B364CB">
        <w:t>CC</w:t>
      </w:r>
      <w:r w:rsidR="007A639A">
        <w:t>U</w:t>
      </w:r>
      <w:r w:rsidR="00403AA5" w:rsidRPr="00B364CB">
        <w:t>S</w:t>
      </w:r>
      <w:r w:rsidR="009500B2" w:rsidRPr="00B364CB">
        <w:t xml:space="preserve"> (possible negative CO</w:t>
      </w:r>
      <w:r w:rsidR="009500B2" w:rsidRPr="00B364CB">
        <w:rPr>
          <w:vertAlign w:val="subscript"/>
        </w:rPr>
        <w:t>2</w:t>
      </w:r>
      <w:r w:rsidR="009500B2" w:rsidRPr="00B364CB">
        <w:t xml:space="preserve"> emissions</w:t>
      </w:r>
      <w:r w:rsidR="0082236F" w:rsidRPr="00B364CB">
        <w:t>)</w:t>
      </w:r>
      <w:r w:rsidR="006D3E97" w:rsidRPr="00B364CB">
        <w:t xml:space="preserve"> the latter being outside the scope of the </w:t>
      </w:r>
      <w:r w:rsidR="00831A2C">
        <w:t xml:space="preserve">Clean Hydrogen </w:t>
      </w:r>
      <w:r w:rsidR="00A51EDE" w:rsidRPr="00B364CB">
        <w:t>JU</w:t>
      </w:r>
      <w:r w:rsidR="0082236F" w:rsidRPr="00B364CB">
        <w:t>;</w:t>
      </w:r>
    </w:p>
    <w:p w14:paraId="0E243567" w14:textId="09FE8325" w:rsidR="00F91C34" w:rsidRPr="00B364CB" w:rsidRDefault="00F91C34" w:rsidP="002256F6">
      <w:pPr>
        <w:pStyle w:val="MAWP-Bodytext"/>
        <w:numPr>
          <w:ilvl w:val="0"/>
          <w:numId w:val="21"/>
        </w:numPr>
      </w:pPr>
      <w:r w:rsidRPr="00B364CB">
        <w:t>Thermochemical water splitting</w:t>
      </w:r>
      <w:r w:rsidR="00E67459" w:rsidRPr="00B364CB">
        <w:t>;</w:t>
      </w:r>
    </w:p>
    <w:p w14:paraId="1E215C41" w14:textId="4C32C4B1" w:rsidR="00F91C34" w:rsidRPr="00B364CB" w:rsidRDefault="00F91C34" w:rsidP="002256F6">
      <w:pPr>
        <w:pStyle w:val="MAWP-Bodytext"/>
        <w:numPr>
          <w:ilvl w:val="0"/>
          <w:numId w:val="21"/>
        </w:numPr>
      </w:pPr>
      <w:r w:rsidRPr="00B364CB">
        <w:t xml:space="preserve">Photo electrochemical </w:t>
      </w:r>
      <w:r w:rsidR="00612753" w:rsidRPr="00B364CB">
        <w:t xml:space="preserve">and photocatalytic </w:t>
      </w:r>
      <w:r w:rsidRPr="00B364CB">
        <w:t>water splitting</w:t>
      </w:r>
      <w:r w:rsidR="00E67459" w:rsidRPr="00B364CB">
        <w:t>;</w:t>
      </w:r>
    </w:p>
    <w:p w14:paraId="00DCE70F" w14:textId="5BB02558" w:rsidR="00F91C34" w:rsidRDefault="00F91C34" w:rsidP="002256F6">
      <w:pPr>
        <w:pStyle w:val="MAWP-Bodytext"/>
        <w:numPr>
          <w:ilvl w:val="0"/>
          <w:numId w:val="21"/>
        </w:numPr>
      </w:pPr>
      <w:r w:rsidRPr="00B364CB">
        <w:t xml:space="preserve">Biological </w:t>
      </w:r>
      <w:r w:rsidR="009500B2" w:rsidRPr="00B364CB">
        <w:t xml:space="preserve">and </w:t>
      </w:r>
      <w:r w:rsidR="00E67459" w:rsidRPr="00B364CB">
        <w:t>b</w:t>
      </w:r>
      <w:r w:rsidR="009500B2" w:rsidRPr="00B364CB">
        <w:t xml:space="preserve">ioelectrochemical </w:t>
      </w:r>
      <w:r w:rsidRPr="00B364CB">
        <w:t>hydrogen production (</w:t>
      </w:r>
      <w:r w:rsidR="00612753" w:rsidRPr="00B364CB">
        <w:t xml:space="preserve">e.g. </w:t>
      </w:r>
      <w:r w:rsidRPr="00B364CB">
        <w:t xml:space="preserve">dark </w:t>
      </w:r>
      <w:r w:rsidR="00E91EAE" w:rsidRPr="00B364CB">
        <w:t>and photo-</w:t>
      </w:r>
      <w:r w:rsidRPr="00B364CB">
        <w:t>fermentation</w:t>
      </w:r>
      <w:r w:rsidR="00612753" w:rsidRPr="00B364CB">
        <w:t>, algae</w:t>
      </w:r>
      <w:r w:rsidR="009500B2" w:rsidRPr="00B364CB">
        <w:t xml:space="preserve"> and electrohydrogenesis</w:t>
      </w:r>
      <w:r w:rsidRPr="00B364CB">
        <w:t>)</w:t>
      </w:r>
      <w:r w:rsidR="00E67459" w:rsidRPr="00B364CB">
        <w:t>.</w:t>
      </w:r>
    </w:p>
    <w:p w14:paraId="71C04AAB" w14:textId="4ED7F4D3" w:rsidR="00CE70C1" w:rsidRPr="00CE70C1" w:rsidRDefault="00CE70C1" w:rsidP="00CE70C1">
      <w:pPr>
        <w:pStyle w:val="MAWP-Bodytext"/>
        <w:rPr>
          <w:color w:val="auto"/>
        </w:rPr>
      </w:pPr>
      <w:r w:rsidRPr="00CE70C1">
        <w:rPr>
          <w:color w:val="auto"/>
        </w:rPr>
        <w:t xml:space="preserve">In order to contribute towards achieving the above objectives, the following areas of research and development appear as good candidates for the support by the </w:t>
      </w:r>
      <w:r w:rsidR="00831A2C">
        <w:t xml:space="preserve">Clean Hydrogen </w:t>
      </w:r>
      <w:r w:rsidRPr="00CE70C1">
        <w:rPr>
          <w:color w:val="auto"/>
        </w:rPr>
        <w:t>JU.</w:t>
      </w:r>
    </w:p>
    <w:p w14:paraId="03BBEA5C" w14:textId="542912CE" w:rsidR="006B3E49" w:rsidRPr="00B364CB" w:rsidRDefault="00461DFD" w:rsidP="00C52896">
      <w:pPr>
        <w:pStyle w:val="MAWPHeadingStyleLevel4"/>
        <w:rPr>
          <w:rFonts w:eastAsia="Arial"/>
        </w:rPr>
      </w:pPr>
      <w:r w:rsidRPr="00B364CB">
        <w:t xml:space="preserve">R&amp;D Priorities - </w:t>
      </w:r>
      <w:r w:rsidR="006B3E49" w:rsidRPr="00B364CB">
        <w:rPr>
          <w:rFonts w:eastAsia="Arial"/>
        </w:rPr>
        <w:t>Early Stage Research Actions</w:t>
      </w:r>
    </w:p>
    <w:p w14:paraId="5B1A8DA8" w14:textId="7BBA156D" w:rsidR="006B3E49" w:rsidRPr="00B364CB" w:rsidRDefault="006B3E49" w:rsidP="002256F6">
      <w:pPr>
        <w:pStyle w:val="MAWP-Bodytext"/>
        <w:numPr>
          <w:ilvl w:val="0"/>
          <w:numId w:val="22"/>
        </w:numPr>
      </w:pPr>
      <w:r w:rsidRPr="00B364CB">
        <w:t xml:space="preserve">Biomass &amp; </w:t>
      </w:r>
      <w:r w:rsidR="00842B07" w:rsidRPr="00B364CB">
        <w:t>bio-waste</w:t>
      </w:r>
      <w:r w:rsidRPr="00B364CB">
        <w:t xml:space="preserve"> gasification: </w:t>
      </w:r>
      <w:r w:rsidR="00D17C8D">
        <w:t>n</w:t>
      </w:r>
      <w:r w:rsidRPr="00B364CB">
        <w:t>ovel reactor design, materials and processes improving feedstock flexibility and hydrogen yields, novel solutions and methods for syngas cleaning and upgrade. Supercritical water gasification</w:t>
      </w:r>
      <w:r w:rsidR="00F91C34" w:rsidRPr="00B364CB">
        <w:t>;</w:t>
      </w:r>
      <w:r w:rsidR="009500B2" w:rsidRPr="00B364CB">
        <w:t xml:space="preserve"> </w:t>
      </w:r>
      <w:r w:rsidR="00842B07" w:rsidRPr="00B364CB">
        <w:t>investigation of CO</w:t>
      </w:r>
      <w:r w:rsidR="00842B07" w:rsidRPr="00B364CB">
        <w:rPr>
          <w:vertAlign w:val="subscript"/>
        </w:rPr>
        <w:t>2</w:t>
      </w:r>
      <w:r w:rsidR="00842B07" w:rsidRPr="00B364CB">
        <w:t xml:space="preserve"> </w:t>
      </w:r>
      <w:r w:rsidR="0082236F" w:rsidRPr="00B364CB">
        <w:t>emitted</w:t>
      </w:r>
      <w:r w:rsidR="00112DDE" w:rsidRPr="00B364CB">
        <w:t xml:space="preserve"> </w:t>
      </w:r>
      <w:r w:rsidR="00842B07" w:rsidRPr="00B364CB">
        <w:t>emi</w:t>
      </w:r>
      <w:r w:rsidR="00FE19E1" w:rsidRPr="00B364CB">
        <w:t>ssion</w:t>
      </w:r>
      <w:r w:rsidR="00112DDE" w:rsidRPr="00B364CB">
        <w:t>s</w:t>
      </w:r>
      <w:r w:rsidR="00842B07" w:rsidRPr="00B364CB">
        <w:t xml:space="preserve"> and of potential for integration with </w:t>
      </w:r>
      <w:r w:rsidR="009500B2" w:rsidRPr="00B364CB">
        <w:t>efficient CO</w:t>
      </w:r>
      <w:r w:rsidR="009500B2" w:rsidRPr="00B364CB">
        <w:rPr>
          <w:vertAlign w:val="subscript"/>
        </w:rPr>
        <w:t>2</w:t>
      </w:r>
      <w:r w:rsidR="009500B2" w:rsidRPr="00B364CB">
        <w:t xml:space="preserve"> capture processes</w:t>
      </w:r>
      <w:r w:rsidR="00E224F2">
        <w:t xml:space="preserve">, </w:t>
      </w:r>
      <w:r w:rsidR="00E224F2" w:rsidRPr="00B364CB">
        <w:t xml:space="preserve">the latter being outside the scope of the </w:t>
      </w:r>
      <w:r w:rsidR="00E224F2">
        <w:t xml:space="preserve">Clean Hydrogen </w:t>
      </w:r>
      <w:r w:rsidR="00E224F2" w:rsidRPr="00B364CB">
        <w:t>JU</w:t>
      </w:r>
      <w:r w:rsidR="009500B2" w:rsidRPr="00B364CB">
        <w:t>;</w:t>
      </w:r>
      <w:r w:rsidR="00F5379E" w:rsidRPr="00B364CB">
        <w:t xml:space="preserve"> </w:t>
      </w:r>
    </w:p>
    <w:p w14:paraId="751B79EB" w14:textId="20551E0D" w:rsidR="006B3E49" w:rsidRPr="00B364CB" w:rsidRDefault="006B3E49" w:rsidP="002256F6">
      <w:pPr>
        <w:pStyle w:val="MAWP-Bodytext"/>
        <w:numPr>
          <w:ilvl w:val="0"/>
          <w:numId w:val="22"/>
        </w:numPr>
      </w:pPr>
      <w:r w:rsidRPr="00B364CB">
        <w:t xml:space="preserve">Biological production: </w:t>
      </w:r>
      <w:r w:rsidR="00E224F2">
        <w:t>n</w:t>
      </w:r>
      <w:r w:rsidRPr="00B364CB">
        <w:t>ew concepts of bio</w:t>
      </w:r>
      <w:r w:rsidR="00F91C34" w:rsidRPr="00B364CB">
        <w:t>-</w:t>
      </w:r>
      <w:r w:rsidRPr="00B364CB">
        <w:t>reactors with a high rate of production for middle and large size plants</w:t>
      </w:r>
      <w:r w:rsidR="00F91C34" w:rsidRPr="00B364CB">
        <w:t>;</w:t>
      </w:r>
      <w:r w:rsidR="009500B2" w:rsidRPr="00B364CB">
        <w:t xml:space="preserve"> </w:t>
      </w:r>
      <w:r w:rsidR="00E224F2">
        <w:t>t</w:t>
      </w:r>
      <w:r w:rsidR="009500B2" w:rsidRPr="00B364CB">
        <w:t>echnical solutions to achieve high and stable hydrogen production e.g. inoculum</w:t>
      </w:r>
      <w:r w:rsidR="00E91EAE" w:rsidRPr="00B364CB">
        <w:t xml:space="preserve"> conditioning</w:t>
      </w:r>
      <w:r w:rsidR="009500B2" w:rsidRPr="00B364CB">
        <w:t>, feedstock pre</w:t>
      </w:r>
      <w:r w:rsidR="00E67459" w:rsidRPr="00B364CB">
        <w:t>-</w:t>
      </w:r>
      <w:r w:rsidR="009500B2" w:rsidRPr="00B364CB">
        <w:t>treatment</w:t>
      </w:r>
      <w:r w:rsidR="00E67459" w:rsidRPr="00B364CB">
        <w:t>;</w:t>
      </w:r>
    </w:p>
    <w:p w14:paraId="6BB1DBB0" w14:textId="3B7FBC28" w:rsidR="005B126C" w:rsidRPr="00B364CB" w:rsidRDefault="005B126C" w:rsidP="002256F6">
      <w:pPr>
        <w:pStyle w:val="MAWP-Bodytext"/>
        <w:numPr>
          <w:ilvl w:val="0"/>
          <w:numId w:val="22"/>
        </w:numPr>
      </w:pPr>
      <w:r w:rsidRPr="00B364CB">
        <w:t xml:space="preserve">Electrohydrogenesis: </w:t>
      </w:r>
      <w:r w:rsidR="00E224F2">
        <w:t>n</w:t>
      </w:r>
      <w:r w:rsidRPr="00B364CB">
        <w:t xml:space="preserve">ew reactors designs; low-cost, stable and efficient electrode and </w:t>
      </w:r>
      <w:r w:rsidRPr="00B364CB">
        <w:lastRenderedPageBreak/>
        <w:t>membrane materials; stable improvement of hydrogen production efficiencies and rates; as well as biomass and wastewater flexibility</w:t>
      </w:r>
      <w:r w:rsidR="00E67459" w:rsidRPr="00B364CB">
        <w:t>;</w:t>
      </w:r>
    </w:p>
    <w:p w14:paraId="3A211E0A" w14:textId="7BBBC1DC" w:rsidR="006B3E49" w:rsidRPr="00B364CB" w:rsidRDefault="006B3E49" w:rsidP="002256F6">
      <w:pPr>
        <w:pStyle w:val="MAWP-Bodytext"/>
        <w:numPr>
          <w:ilvl w:val="0"/>
          <w:numId w:val="22"/>
        </w:numPr>
      </w:pPr>
      <w:r w:rsidRPr="00B364CB">
        <w:t xml:space="preserve">Direct solar: </w:t>
      </w:r>
      <w:r w:rsidR="00E224F2">
        <w:t>r</w:t>
      </w:r>
      <w:r w:rsidRPr="00B364CB">
        <w:t>ange of photolysis, photo</w:t>
      </w:r>
      <w:r w:rsidR="00112DDE" w:rsidRPr="00B364CB">
        <w:t>-</w:t>
      </w:r>
      <w:r w:rsidRPr="00B364CB">
        <w:t>(electro)catalysis and thermo-chemical cycles developed and tested (simulation and experiment), novel architectures and system designs for collector/reactor integration, new materials and solutions for lower-temperature thermo-chemical cycles.</w:t>
      </w:r>
    </w:p>
    <w:p w14:paraId="079F9AFE" w14:textId="77777777" w:rsidR="00C23F20" w:rsidRPr="00B364CB" w:rsidRDefault="00C23F20" w:rsidP="00C52896">
      <w:pPr>
        <w:pStyle w:val="MAWPHeadingStyleLevel4"/>
      </w:pPr>
    </w:p>
    <w:p w14:paraId="238A2E3E" w14:textId="189E2FE1" w:rsidR="006B3E49" w:rsidRPr="00B364CB" w:rsidRDefault="00461DFD" w:rsidP="00C52896">
      <w:pPr>
        <w:pStyle w:val="MAWPHeadingStyleLevel4"/>
        <w:rPr>
          <w:rFonts w:eastAsia="Arial"/>
        </w:rPr>
      </w:pPr>
      <w:r w:rsidRPr="00B364CB">
        <w:t xml:space="preserve">R&amp;D Priorities - </w:t>
      </w:r>
      <w:r w:rsidR="009D00DB" w:rsidRPr="00B364CB">
        <w:rPr>
          <w:rFonts w:eastAsia="Arial"/>
        </w:rPr>
        <w:t>Development Research Actions</w:t>
      </w:r>
    </w:p>
    <w:p w14:paraId="709AF973" w14:textId="0035461A" w:rsidR="00F5379E" w:rsidRPr="00B364CB" w:rsidRDefault="00F5379E" w:rsidP="002256F6">
      <w:pPr>
        <w:pStyle w:val="MAWP-Bodytext"/>
        <w:numPr>
          <w:ilvl w:val="0"/>
          <w:numId w:val="23"/>
        </w:numPr>
      </w:pPr>
      <w:r w:rsidRPr="00B364CB">
        <w:t xml:space="preserve">Biogas: </w:t>
      </w:r>
      <w:r w:rsidR="00E224F2">
        <w:t>d</w:t>
      </w:r>
      <w:r w:rsidRPr="00B364CB">
        <w:t xml:space="preserve">evelopment of new, </w:t>
      </w:r>
      <w:r w:rsidR="00E91EAE" w:rsidRPr="00B364CB">
        <w:t xml:space="preserve">compact and </w:t>
      </w:r>
      <w:r w:rsidRPr="00B364CB">
        <w:t>energy efficient reactor concepts for raw biogas reforming;</w:t>
      </w:r>
      <w:r w:rsidR="00580E97" w:rsidRPr="00B364CB">
        <w:rPr>
          <w:noProof/>
          <w:lang w:bidi="ar-SA"/>
        </w:rPr>
        <w:t xml:space="preserve"> </w:t>
      </w:r>
    </w:p>
    <w:p w14:paraId="071CB461" w14:textId="16CEF3BE" w:rsidR="006B3E49" w:rsidRPr="00B364CB" w:rsidRDefault="006B3E49" w:rsidP="002256F6">
      <w:pPr>
        <w:pStyle w:val="MAWP-Bodytext"/>
        <w:numPr>
          <w:ilvl w:val="0"/>
          <w:numId w:val="23"/>
        </w:numPr>
      </w:pPr>
      <w:r w:rsidRPr="00B364CB">
        <w:t xml:space="preserve">Biomass &amp; </w:t>
      </w:r>
      <w:r w:rsidR="00842B07" w:rsidRPr="00B364CB">
        <w:t>bio-</w:t>
      </w:r>
      <w:r w:rsidRPr="00B364CB">
        <w:t xml:space="preserve">waste gasification: </w:t>
      </w:r>
      <w:r w:rsidR="007A639A">
        <w:t>s</w:t>
      </w:r>
      <w:r w:rsidRPr="00B364CB">
        <w:t>caling up of most promising technologies (including e.g. hybrid systems, solar gasification</w:t>
      </w:r>
      <w:r w:rsidR="00F91C34" w:rsidRPr="00B364CB">
        <w:t>);</w:t>
      </w:r>
    </w:p>
    <w:p w14:paraId="0FA1F255" w14:textId="7FFBB985" w:rsidR="006B3E49" w:rsidRPr="00B364CB" w:rsidRDefault="006B3E49" w:rsidP="002256F6">
      <w:pPr>
        <w:pStyle w:val="MAWP-Bodytext"/>
        <w:numPr>
          <w:ilvl w:val="0"/>
          <w:numId w:val="23"/>
        </w:numPr>
      </w:pPr>
      <w:r w:rsidRPr="00B364CB">
        <w:t xml:space="preserve">Biological production:  </w:t>
      </w:r>
      <w:r w:rsidR="00E224F2">
        <w:t>d</w:t>
      </w:r>
      <w:r w:rsidRPr="00B364CB">
        <w:t>evelopment of medium-scale bio-reactors</w:t>
      </w:r>
      <w:r w:rsidR="00F91C34" w:rsidRPr="00B364CB">
        <w:t>;</w:t>
      </w:r>
    </w:p>
    <w:p w14:paraId="3977A2A9" w14:textId="46867CC6" w:rsidR="005B126C" w:rsidRPr="00B364CB" w:rsidRDefault="005B126C" w:rsidP="002256F6">
      <w:pPr>
        <w:pStyle w:val="MAWP-Bodytext"/>
        <w:numPr>
          <w:ilvl w:val="0"/>
          <w:numId w:val="23"/>
        </w:numPr>
      </w:pPr>
      <w:r w:rsidRPr="00B364CB">
        <w:t>Electrohydrogenesis: improving the volumetric treatment rate, hydrogen production and reactors sizes. Increasing the pilot-plant systems efficiency and long-term operation. Standardi</w:t>
      </w:r>
      <w:r w:rsidR="00B776E1" w:rsidRPr="00B364CB">
        <w:t>s</w:t>
      </w:r>
      <w:r w:rsidRPr="00B364CB">
        <w:t>ation of reactor designs. Combination with renewables energies</w:t>
      </w:r>
      <w:r w:rsidR="00E67459" w:rsidRPr="00B364CB">
        <w:t>;</w:t>
      </w:r>
    </w:p>
    <w:p w14:paraId="52DA50C3" w14:textId="6A6F2937" w:rsidR="006B3E49" w:rsidRPr="00B364CB" w:rsidRDefault="006B3E49" w:rsidP="002256F6">
      <w:pPr>
        <w:pStyle w:val="MAWP-Bodytext"/>
        <w:numPr>
          <w:ilvl w:val="0"/>
          <w:numId w:val="23"/>
        </w:numPr>
      </w:pPr>
      <w:r w:rsidRPr="00B364CB">
        <w:t xml:space="preserve">Direct solar: </w:t>
      </w:r>
      <w:r w:rsidR="00E224F2">
        <w:t>s</w:t>
      </w:r>
      <w:r w:rsidRPr="00B364CB">
        <w:t>caling up of most promising technologies</w:t>
      </w:r>
      <w:r w:rsidR="00E67459" w:rsidRPr="00B364CB">
        <w:t>.</w:t>
      </w:r>
    </w:p>
    <w:p w14:paraId="25AABB52" w14:textId="3364B86B" w:rsidR="006B3E49" w:rsidRPr="00B364CB" w:rsidRDefault="00F43A04" w:rsidP="00C52896">
      <w:pPr>
        <w:pStyle w:val="MAWPHeadingStyleLevel4"/>
        <w:rPr>
          <w:rFonts w:eastAsia="Arial"/>
        </w:rPr>
      </w:pPr>
      <w:r w:rsidRPr="00B364CB">
        <w:rPr>
          <w:rFonts w:eastAsia="Arial"/>
        </w:rPr>
        <w:t>R&amp;D Priorities - Demonstration Actions</w:t>
      </w:r>
      <w:r w:rsidR="009D00DB" w:rsidRPr="00B364CB">
        <w:rPr>
          <w:rFonts w:eastAsia="Arial"/>
        </w:rPr>
        <w:t xml:space="preserve"> </w:t>
      </w:r>
    </w:p>
    <w:p w14:paraId="21E0FD6D" w14:textId="2F187688" w:rsidR="006B3E49" w:rsidRPr="00B364CB" w:rsidRDefault="006B3E49" w:rsidP="006159FD">
      <w:pPr>
        <w:pStyle w:val="MAWP-Bodytext"/>
      </w:pPr>
      <w:r w:rsidRPr="00B364CB">
        <w:t>Demonstration projects of most promising technologies</w:t>
      </w:r>
      <w:r w:rsidR="00E10D3C" w:rsidRPr="00B364CB">
        <w:t xml:space="preserve"> may include</w:t>
      </w:r>
      <w:r w:rsidRPr="00B364CB">
        <w:t>:</w:t>
      </w:r>
    </w:p>
    <w:p w14:paraId="4F6700C2" w14:textId="6E64976F" w:rsidR="006B3E49" w:rsidRPr="00B364CB" w:rsidRDefault="006B3E49" w:rsidP="002256F6">
      <w:pPr>
        <w:pStyle w:val="MAWP-Bodytext"/>
        <w:numPr>
          <w:ilvl w:val="0"/>
          <w:numId w:val="24"/>
        </w:numPr>
      </w:pPr>
      <w:r w:rsidRPr="00B364CB">
        <w:t>Demonstration-scale plant for waste &amp; biomass gasification</w:t>
      </w:r>
      <w:r w:rsidR="00F91C34" w:rsidRPr="00B364CB">
        <w:t>;</w:t>
      </w:r>
    </w:p>
    <w:p w14:paraId="3D94FB3A" w14:textId="1D39D6C9" w:rsidR="006B3E49" w:rsidRPr="00B364CB" w:rsidRDefault="006B3E49" w:rsidP="002256F6">
      <w:pPr>
        <w:pStyle w:val="MAWP-Bodytext"/>
        <w:numPr>
          <w:ilvl w:val="0"/>
          <w:numId w:val="24"/>
        </w:numPr>
      </w:pPr>
      <w:r w:rsidRPr="00B364CB">
        <w:t xml:space="preserve">Demonstration-scale plant with </w:t>
      </w:r>
      <w:r w:rsidR="00314F2A" w:rsidRPr="00B364CB">
        <w:t xml:space="preserve">renewable </w:t>
      </w:r>
      <w:r w:rsidRPr="00B364CB">
        <w:t>hydrogen production from biogas</w:t>
      </w:r>
      <w:r w:rsidR="00F91C34" w:rsidRPr="00B364CB">
        <w:t>;</w:t>
      </w:r>
    </w:p>
    <w:p w14:paraId="1776B75D" w14:textId="24126DB8" w:rsidR="006B3E49" w:rsidRPr="00B364CB" w:rsidRDefault="006B3E49" w:rsidP="002256F6">
      <w:pPr>
        <w:pStyle w:val="MAWP-Bodytext"/>
        <w:numPr>
          <w:ilvl w:val="0"/>
          <w:numId w:val="24"/>
        </w:numPr>
      </w:pPr>
      <w:r w:rsidRPr="00B364CB">
        <w:t>Full sized biological reactor demonstration project</w:t>
      </w:r>
      <w:r w:rsidR="00F91C34" w:rsidRPr="00B364CB">
        <w:t>;</w:t>
      </w:r>
    </w:p>
    <w:p w14:paraId="406535B7" w14:textId="2153CC68" w:rsidR="006B3E49" w:rsidRPr="00B364CB" w:rsidRDefault="006B3E49" w:rsidP="002256F6">
      <w:pPr>
        <w:pStyle w:val="MAWP-Bodytext"/>
        <w:numPr>
          <w:ilvl w:val="0"/>
          <w:numId w:val="24"/>
        </w:numPr>
      </w:pPr>
      <w:r w:rsidRPr="00B364CB">
        <w:t xml:space="preserve">Medium-sized </w:t>
      </w:r>
      <w:r w:rsidR="00537A00" w:rsidRPr="00B364CB">
        <w:t>(100s of kW</w:t>
      </w:r>
      <w:r w:rsidR="002A1CD8" w:rsidRPr="00B364CB">
        <w:t>th</w:t>
      </w:r>
      <w:r w:rsidR="00537A00" w:rsidRPr="00B364CB">
        <w:t xml:space="preserve">) </w:t>
      </w:r>
      <w:r w:rsidRPr="00B364CB">
        <w:t>pilots of most promising direct sunlight technologies.</w:t>
      </w:r>
    </w:p>
    <w:p w14:paraId="43A53E42" w14:textId="1894183F" w:rsidR="006B3E49" w:rsidRPr="00B364CB" w:rsidRDefault="009D00DB" w:rsidP="00C52896">
      <w:pPr>
        <w:pStyle w:val="MAWPHeadingStyleLevel4"/>
        <w:rPr>
          <w:rFonts w:eastAsia="Arial"/>
        </w:rPr>
      </w:pPr>
      <w:r w:rsidRPr="00B364CB">
        <w:rPr>
          <w:rFonts w:eastAsia="Arial"/>
        </w:rPr>
        <w:t xml:space="preserve">Flagship Actions </w:t>
      </w:r>
    </w:p>
    <w:p w14:paraId="35523A60" w14:textId="522479B4" w:rsidR="006B3E49" w:rsidRPr="00B364CB" w:rsidRDefault="006B3E49" w:rsidP="006159FD">
      <w:pPr>
        <w:pStyle w:val="MAWP-Bodytext"/>
      </w:pPr>
      <w:r w:rsidRPr="00B364CB">
        <w:t xml:space="preserve">Support for </w:t>
      </w:r>
      <w:r w:rsidR="007A639A">
        <w:t xml:space="preserve">renewable </w:t>
      </w:r>
      <w:r w:rsidRPr="00B364CB">
        <w:t xml:space="preserve">hydrogen </w:t>
      </w:r>
      <w:r w:rsidR="007A639A">
        <w:t xml:space="preserve">production </w:t>
      </w:r>
      <w:r w:rsidRPr="00B364CB">
        <w:t xml:space="preserve">in all deployment schemes </w:t>
      </w:r>
      <w:r w:rsidR="007A639A">
        <w:t>is</w:t>
      </w:r>
      <w:r w:rsidRPr="00B364CB">
        <w:t xml:space="preserve"> available from policy and regulation. There is a case for supporting one very large-scale deployment in Europe of the most promising direct sunlight technology given the potential for this technology to revolutionise the energy system.</w:t>
      </w:r>
    </w:p>
    <w:p w14:paraId="4CAC0E59" w14:textId="4A5DE876" w:rsidR="00F91C34" w:rsidRPr="00B364CB" w:rsidRDefault="00F91C34" w:rsidP="00F91C34">
      <w:pPr>
        <w:pStyle w:val="MAWPHeadingStyleLevel4"/>
      </w:pPr>
      <w:r w:rsidRPr="00B364CB">
        <w:t xml:space="preserve">Synergies </w:t>
      </w:r>
    </w:p>
    <w:p w14:paraId="1768BEAA" w14:textId="77777777" w:rsidR="0093747B" w:rsidRPr="00B364CB" w:rsidRDefault="00EF0B10" w:rsidP="0093747B">
      <w:pPr>
        <w:pStyle w:val="MAWP-Bodytext"/>
      </w:pPr>
      <w:r w:rsidRPr="00B364CB">
        <w:t xml:space="preserve">Potential synergies will be explored with </w:t>
      </w:r>
      <w:r w:rsidR="00E87875">
        <w:t>P4P</w:t>
      </w:r>
      <w:r w:rsidR="007D562D">
        <w:t xml:space="preserve"> especially in the field of pyrolysis of biomass/biogas</w:t>
      </w:r>
      <w:r w:rsidRPr="00B364CB">
        <w:t xml:space="preserve">. </w:t>
      </w:r>
      <w:r w:rsidR="0093747B" w:rsidRPr="00B364CB">
        <w:t xml:space="preserve">See Section </w:t>
      </w:r>
      <w:r w:rsidR="0093747B" w:rsidRPr="00B364CB">
        <w:fldChar w:fldCharType="begin"/>
      </w:r>
      <w:r w:rsidR="0093747B" w:rsidRPr="00B364CB">
        <w:instrText xml:space="preserve"> REF _Ref55249545 \r \h  \* MERGEFORMAT </w:instrText>
      </w:r>
      <w:r w:rsidR="0093747B" w:rsidRPr="00B364CB">
        <w:fldChar w:fldCharType="separate"/>
      </w:r>
      <w:r w:rsidR="0093747B">
        <w:t>4.1</w:t>
      </w:r>
      <w:r w:rsidR="0093747B" w:rsidRPr="00B364CB">
        <w:fldChar w:fldCharType="end"/>
      </w:r>
      <w:r w:rsidR="0093747B" w:rsidRPr="00B364CB">
        <w:t xml:space="preserve"> </w:t>
      </w:r>
      <w:r w:rsidR="0093747B">
        <w:t xml:space="preserve">and Annex 7 </w:t>
      </w:r>
      <w:r w:rsidR="0093747B" w:rsidRPr="00B364CB">
        <w:t xml:space="preserve">for more details on the synergies. </w:t>
      </w:r>
    </w:p>
    <w:p w14:paraId="4F31EE97" w14:textId="656E8425" w:rsidR="00154D01" w:rsidRPr="00DE6AFE" w:rsidRDefault="00154D01" w:rsidP="006802D3">
      <w:pPr>
        <w:pStyle w:val="Subtitle"/>
      </w:pPr>
      <w:bookmarkStart w:id="72" w:name="_Ref64056699"/>
      <w:bookmarkStart w:id="73" w:name="_Toc64640550"/>
      <w:bookmarkStart w:id="74" w:name="_Toc93907318"/>
      <w:r w:rsidRPr="00DE6AFE">
        <w:t xml:space="preserve">Hydrogen </w:t>
      </w:r>
      <w:r w:rsidR="00030776" w:rsidRPr="00DE6AFE">
        <w:t xml:space="preserve">storage and </w:t>
      </w:r>
      <w:r w:rsidRPr="00DE6AFE">
        <w:t>distribution</w:t>
      </w:r>
      <w:bookmarkEnd w:id="72"/>
      <w:bookmarkEnd w:id="73"/>
      <w:bookmarkEnd w:id="74"/>
    </w:p>
    <w:p w14:paraId="38869D26" w14:textId="1A6EC6C4" w:rsidR="005D5BC5" w:rsidRDefault="001E60AA" w:rsidP="005D5BC5">
      <w:pPr>
        <w:pStyle w:val="MAWP-Bodytext"/>
      </w:pPr>
      <w:r w:rsidRPr="000E0534">
        <w:t>As explicitly mentioned in</w:t>
      </w:r>
      <w:r w:rsidRPr="00B279F2">
        <w:t xml:space="preserve"> the EU Hydrogen Strategy, it is essential that hydrogen becomes an intrinsic part of an integrated energy system. </w:t>
      </w:r>
      <w:r w:rsidR="007D5F91" w:rsidRPr="00A551CC">
        <w:t>In order for this to happen</w:t>
      </w:r>
      <w:r w:rsidR="0082236F" w:rsidRPr="00A551CC">
        <w:t>,</w:t>
      </w:r>
      <w:r w:rsidR="007D5F91" w:rsidRPr="00A551CC">
        <w:t xml:space="preserve"> hydrogen will have to be used for daily </w:t>
      </w:r>
      <w:r w:rsidR="00BE4BD1">
        <w:t>and/</w:t>
      </w:r>
      <w:r w:rsidR="007D5F91" w:rsidRPr="00A551CC">
        <w:t>or seasonal storage providing buffering functions thereby enhancing security of supply in the medium term.</w:t>
      </w:r>
      <w:r w:rsidR="001E2868" w:rsidRPr="00A551CC">
        <w:t xml:space="preserve"> The strategy also calls for an EU-wide logistical infrastructure that needs to be developed in order to transport hydrogen from areas with large renewable potential to demand centres across Europe. </w:t>
      </w:r>
      <w:r w:rsidR="0051015A" w:rsidRPr="005258E6">
        <w:t>Consequently, a pan-Eur</w:t>
      </w:r>
      <w:r w:rsidR="0051015A" w:rsidRPr="00D544E4">
        <w:t xml:space="preserve">opean grid will </w:t>
      </w:r>
      <w:r w:rsidR="0051015A" w:rsidRPr="00D544E4">
        <w:lastRenderedPageBreak/>
        <w:t>have to be established</w:t>
      </w:r>
      <w:r w:rsidR="00DE6AFE" w:rsidRPr="00525971">
        <w:rPr>
          <w:rStyle w:val="FootnoteReference"/>
        </w:rPr>
        <w:footnoteReference w:id="60"/>
      </w:r>
      <w:r w:rsidR="0051015A" w:rsidRPr="00DE6AFE">
        <w:t xml:space="preserve"> along with a far-reaching network of Hydrogen Refuelling Stations</w:t>
      </w:r>
      <w:r w:rsidR="00DE6AFE" w:rsidRPr="00525971">
        <w:rPr>
          <w:rStyle w:val="FootnoteReference"/>
        </w:rPr>
        <w:footnoteReference w:id="61"/>
      </w:r>
      <w:r w:rsidR="0051015A" w:rsidRPr="00DE6AFE">
        <w:t xml:space="preserve">. </w:t>
      </w:r>
      <w:r w:rsidR="000B1768" w:rsidRPr="00DE6AFE">
        <w:t>A</w:t>
      </w:r>
      <w:r w:rsidR="0000712A">
        <w:t xml:space="preserve"> policy brief</w:t>
      </w:r>
      <w:r w:rsidR="0000712A">
        <w:rPr>
          <w:rStyle w:val="FootnoteReference"/>
        </w:rPr>
        <w:footnoteReference w:id="62"/>
      </w:r>
      <w:r w:rsidR="0000712A">
        <w:t xml:space="preserve"> by the Joint Research Centre</w:t>
      </w:r>
      <w:r w:rsidR="000B1768">
        <w:t xml:space="preserve"> assessing </w:t>
      </w:r>
      <w:r w:rsidR="0000712A">
        <w:t>hydrogen delivery options</w:t>
      </w:r>
      <w:r w:rsidR="000B1768">
        <w:t xml:space="preserve"> concludes</w:t>
      </w:r>
      <w:r w:rsidR="0000712A">
        <w:t xml:space="preserve"> that there </w:t>
      </w:r>
      <w:r w:rsidR="005D5BC5">
        <w:t>is no single optimal hydrogen delivery solution across every transport scenario. The most cost effective way to deliver renewable hydrogen depends on</w:t>
      </w:r>
      <w:r w:rsidR="000B1768">
        <w:t xml:space="preserve"> a number of parameters, notably </w:t>
      </w:r>
      <w:r w:rsidR="005D5BC5">
        <w:t>distance, amount</w:t>
      </w:r>
      <w:r w:rsidR="000B1768">
        <w:t xml:space="preserve"> of hydrogen</w:t>
      </w:r>
      <w:r w:rsidR="005D5BC5">
        <w:t>, final use and whether there is infrastructure already available.</w:t>
      </w:r>
      <w:r w:rsidR="000C27BB" w:rsidRPr="000C27BB">
        <w:t xml:space="preserve"> </w:t>
      </w:r>
      <w:r w:rsidR="000C27BB">
        <w:t>The calculation becomes even more complex when the whole coupled energy system and its congestion management costs and capabilities to integrate renewables are considered, taking into due account electricity, molecules and heat (as a single whole).</w:t>
      </w:r>
    </w:p>
    <w:p w14:paraId="0386DE1D" w14:textId="314C2BC0" w:rsidR="00D51347" w:rsidRDefault="002A145C" w:rsidP="00D51347">
      <w:pPr>
        <w:pStyle w:val="MAWP-Bodytext"/>
      </w:pPr>
      <w:r>
        <w:t>In general, t</w:t>
      </w:r>
      <w:r w:rsidR="00D51347">
        <w:t xml:space="preserve">he development of infrastructure </w:t>
      </w:r>
      <w:r>
        <w:t>requires</w:t>
      </w:r>
      <w:r w:rsidR="00D51347">
        <w:t xml:space="preserve"> significant investment</w:t>
      </w:r>
      <w:r>
        <w:t>s</w:t>
      </w:r>
      <w:r w:rsidR="00D51347">
        <w:t xml:space="preserve"> and should therefore be planned in a sound manner across </w:t>
      </w:r>
      <w:r w:rsidR="00B0369A">
        <w:t>the</w:t>
      </w:r>
      <w:r w:rsidR="00D51347">
        <w:t xml:space="preserve"> whole </w:t>
      </w:r>
      <w:r>
        <w:t xml:space="preserve">energy </w:t>
      </w:r>
      <w:r w:rsidR="00D51347">
        <w:t>system</w:t>
      </w:r>
      <w:r>
        <w:t>,</w:t>
      </w:r>
      <w:r w:rsidR="00D51347">
        <w:t xml:space="preserve"> not only at vehicle or hydrogen production and delivery level, to avoid costly stranded assets and duplications (for instance between gaseous and liquid hydrogen infrastructure).</w:t>
      </w:r>
    </w:p>
    <w:p w14:paraId="1A9B7971" w14:textId="6A1D04C3" w:rsidR="005D5BC5" w:rsidRPr="00114F53" w:rsidRDefault="005D5BC5" w:rsidP="005D5BC5">
      <w:pPr>
        <w:pStyle w:val="MAWP-Bodytext"/>
      </w:pPr>
      <w:r>
        <w:t xml:space="preserve">For distances compatible with the European territory, compressed and liquefied hydrogen solutions, and especially compressed hydrogen pipelines, offer lower costs than chemical carriers do. The repurposing of existing natural gas pipelines for hydrogen use is expected to significantly lower the delivery cost, making </w:t>
      </w:r>
      <w:r w:rsidRPr="00114F53">
        <w:t xml:space="preserve">the pipeline option even more competitive in the future. By contrast, chemical carriers become more competitive the longer the delivery distance (due to their lower transport costs) and </w:t>
      </w:r>
      <w:r w:rsidR="00114F53">
        <w:t xml:space="preserve">thus can more easily be traded </w:t>
      </w:r>
      <w:r w:rsidR="00ED2FCE" w:rsidRPr="00114F53">
        <w:t>in the global hydrogen markets</w:t>
      </w:r>
      <w:r w:rsidRPr="00114F53">
        <w:t>.</w:t>
      </w:r>
      <w:r w:rsidR="0000712A" w:rsidRPr="00114F53">
        <w:t xml:space="preserve"> </w:t>
      </w:r>
    </w:p>
    <w:p w14:paraId="61F03B6F" w14:textId="7EF0AAC8" w:rsidR="0000712A" w:rsidRDefault="0000712A" w:rsidP="005D5BC5">
      <w:pPr>
        <w:pStyle w:val="MAWP-Bodytext"/>
      </w:pPr>
      <w:r w:rsidRPr="00114F53">
        <w:t xml:space="preserve">In </w:t>
      </w:r>
      <w:r w:rsidR="00CC6DE6" w:rsidRPr="00114F53">
        <w:t xml:space="preserve">line with the </w:t>
      </w:r>
      <w:r w:rsidR="00114F53">
        <w:t>above</w:t>
      </w:r>
      <w:r w:rsidR="00CC6DE6" w:rsidRPr="00114F53">
        <w:t>, a pluralistic approach with respect to the technologies that will be investigated and supported</w:t>
      </w:r>
      <w:r w:rsidR="00CC6DE6">
        <w:t xml:space="preserve"> is envisaged</w:t>
      </w:r>
      <w:r w:rsidR="00114F53">
        <w:t>,</w:t>
      </w:r>
      <w:r w:rsidR="00CC6DE6">
        <w:t xml:space="preserve"> in order to have a complete set of technologies that </w:t>
      </w:r>
      <w:r w:rsidR="00114F53">
        <w:t xml:space="preserve">can </w:t>
      </w:r>
      <w:r w:rsidR="00CC6DE6">
        <w:t xml:space="preserve">serve as building blocks of the EU-wide logistical infrastructure. </w:t>
      </w:r>
    </w:p>
    <w:p w14:paraId="3BF78159" w14:textId="7BBA39A6" w:rsidR="00AC766C" w:rsidRPr="00B364CB" w:rsidRDefault="0094406A" w:rsidP="006802D3">
      <w:pPr>
        <w:pStyle w:val="MAWPsubtitle2"/>
      </w:pPr>
      <w:bookmarkStart w:id="75" w:name="_Toc64640551"/>
      <w:bookmarkStart w:id="76" w:name="_Toc93907319"/>
      <w:r>
        <w:t>Hydrogen</w:t>
      </w:r>
      <w:r w:rsidR="00AC766C" w:rsidRPr="00B364CB">
        <w:t xml:space="preserve"> Storage</w:t>
      </w:r>
      <w:bookmarkEnd w:id="75"/>
      <w:bookmarkEnd w:id="76"/>
    </w:p>
    <w:p w14:paraId="627982FC" w14:textId="787E029D" w:rsidR="00AC766C" w:rsidRPr="00B364CB" w:rsidRDefault="00AC766C" w:rsidP="00C52896">
      <w:pPr>
        <w:pStyle w:val="MAWPHeadingStyleLevel4"/>
      </w:pPr>
      <w:r w:rsidRPr="00B364CB">
        <w:t xml:space="preserve">Rationale for </w:t>
      </w:r>
      <w:r w:rsidR="00461DFD" w:rsidRPr="00B364CB">
        <w:t>S</w:t>
      </w:r>
      <w:r w:rsidRPr="00B364CB">
        <w:t>upport</w:t>
      </w:r>
    </w:p>
    <w:p w14:paraId="09078AC6" w14:textId="53B66F83" w:rsidR="00AC766C" w:rsidRDefault="00AC766C" w:rsidP="006159FD">
      <w:pPr>
        <w:pStyle w:val="MAWP-Bodytext"/>
      </w:pPr>
      <w:r w:rsidRPr="00B364CB">
        <w:t xml:space="preserve">For hydrogen to become a </w:t>
      </w:r>
      <w:r w:rsidR="006F4E96" w:rsidRPr="00B364CB">
        <w:t xml:space="preserve">key solution in the energy transition </w:t>
      </w:r>
      <w:r w:rsidR="006E31A5" w:rsidRPr="00B364CB">
        <w:t>and to enable</w:t>
      </w:r>
      <w:r w:rsidR="006F4E96" w:rsidRPr="00B364CB">
        <w:t xml:space="preserve"> the integration of </w:t>
      </w:r>
      <w:r w:rsidR="006E31A5" w:rsidRPr="00B364CB">
        <w:t xml:space="preserve">intermittent </w:t>
      </w:r>
      <w:r w:rsidR="006F4E96" w:rsidRPr="00B364CB">
        <w:t xml:space="preserve">renewable energy sources in the grid there </w:t>
      </w:r>
      <w:r w:rsidRPr="00B364CB">
        <w:t xml:space="preserve">needs to be an available and </w:t>
      </w:r>
      <w:r w:rsidR="001E2868" w:rsidRPr="00B364CB">
        <w:t>low-cost form of bulk storage</w:t>
      </w:r>
      <w:r w:rsidR="006E31A5" w:rsidRPr="00B364CB">
        <w:t xml:space="preserve"> that can act as a buffer</w:t>
      </w:r>
      <w:r w:rsidR="00D867E8">
        <w:t xml:space="preserve"> but also in order to support the industrial use of hydrogen</w:t>
      </w:r>
      <w:r w:rsidR="001E2868" w:rsidRPr="00B364CB">
        <w:t xml:space="preserve">. </w:t>
      </w:r>
      <w:r w:rsidRPr="00B364CB">
        <w:t xml:space="preserve">Large-scale seasonal energy storage can be achieved by storing hydrogen in underground salt caverns and </w:t>
      </w:r>
      <w:r w:rsidR="001E60AA" w:rsidRPr="00B364CB">
        <w:t>gas fields</w:t>
      </w:r>
      <w:r w:rsidRPr="00B364CB">
        <w:t>, which are located in many places in Europe. Some of the salt caverns</w:t>
      </w:r>
      <w:r w:rsidR="00DE7EB1" w:rsidRPr="00B364CB">
        <w:t>,</w:t>
      </w:r>
      <w:r w:rsidRPr="00B364CB">
        <w:t xml:space="preserve"> which are used to store natural gas toda</w:t>
      </w:r>
      <w:r w:rsidR="00DE7EB1" w:rsidRPr="00B364CB">
        <w:t>y, could b</w:t>
      </w:r>
      <w:r w:rsidRPr="00B364CB">
        <w:t xml:space="preserve">e repurposed to store hydrogen. </w:t>
      </w:r>
      <w:r w:rsidR="006E31A5" w:rsidRPr="00B364CB">
        <w:t xml:space="preserve">However, as underground storage sites are not </w:t>
      </w:r>
      <w:r w:rsidR="00404DA9" w:rsidRPr="00B364CB">
        <w:t>so common</w:t>
      </w:r>
      <w:r w:rsidR="006E31A5" w:rsidRPr="00B364CB">
        <w:t>, there will also be a need to store large quantities of hydrogen above</w:t>
      </w:r>
      <w:r w:rsidR="00404DA9" w:rsidRPr="00B364CB">
        <w:t xml:space="preserve"> </w:t>
      </w:r>
      <w:r w:rsidR="006E31A5" w:rsidRPr="00B364CB">
        <w:t>ground in</w:t>
      </w:r>
      <w:r w:rsidR="002B30ED" w:rsidRPr="00B364CB">
        <w:t xml:space="preserve"> </w:t>
      </w:r>
      <w:r w:rsidRPr="00B364CB">
        <w:t>large pressurised cylinders</w:t>
      </w:r>
      <w:r w:rsidR="007763F5" w:rsidRPr="00B364CB">
        <w:t>,</w:t>
      </w:r>
      <w:r w:rsidR="006E31A5" w:rsidRPr="00B364CB">
        <w:t xml:space="preserve"> in liquid form</w:t>
      </w:r>
      <w:r w:rsidR="007763F5" w:rsidRPr="00B364CB">
        <w:t xml:space="preserve"> or in solid-state to redu</w:t>
      </w:r>
      <w:r w:rsidR="006E31A5" w:rsidRPr="00B364CB">
        <w:t>ce footprint and improve safety to support the hydrogen clusters of the future.</w:t>
      </w:r>
    </w:p>
    <w:p w14:paraId="612502B4" w14:textId="6DFE4E7F" w:rsidR="00AC766C" w:rsidRPr="00B364CB" w:rsidRDefault="00AC766C" w:rsidP="00C52896">
      <w:pPr>
        <w:pStyle w:val="MAWPHeadingStyleLevel4"/>
      </w:pPr>
      <w:r w:rsidRPr="00B364CB">
        <w:t>State of the Art</w:t>
      </w:r>
    </w:p>
    <w:p w14:paraId="0F013A0D" w14:textId="5943E7B3" w:rsidR="001375F9" w:rsidRDefault="00AC766C" w:rsidP="000A238B">
      <w:pPr>
        <w:pStyle w:val="MAWP-Bodytext"/>
      </w:pPr>
      <w:r w:rsidRPr="00B364CB">
        <w:t>Hydrogen has been successfully stored at a large scale for industrial applications for many years. For</w:t>
      </w:r>
      <w:r w:rsidR="000B155C" w:rsidRPr="00B364CB">
        <w:t xml:space="preserve"> example, underground gas storage</w:t>
      </w:r>
      <w:r w:rsidR="00956422" w:rsidRPr="00B364CB">
        <w:t xml:space="preserve"> sites</w:t>
      </w:r>
      <w:r w:rsidRPr="00B364CB">
        <w:t xml:space="preserve"> in salt caverns were used to store hydrogen </w:t>
      </w:r>
      <w:r w:rsidRPr="00B364CB">
        <w:lastRenderedPageBreak/>
        <w:t>in the Teesside chemical complex in the UK for many years</w:t>
      </w:r>
      <w:r w:rsidR="00FA5D99" w:rsidRPr="00B364CB">
        <w:t>.</w:t>
      </w:r>
    </w:p>
    <w:p w14:paraId="1D1C9FF6" w14:textId="59F065F1" w:rsidR="00184046" w:rsidRPr="00B364CB" w:rsidRDefault="00184046" w:rsidP="000A238B">
      <w:pPr>
        <w:pStyle w:val="MAWP-Bodytext"/>
      </w:pPr>
      <w:r>
        <w:t>The i</w:t>
      </w:r>
      <w:r w:rsidRPr="006E2BCE">
        <w:t>ndustrial and chemicals sector is very experienced in handling and storing large quantities</w:t>
      </w:r>
      <w:r>
        <w:t xml:space="preserve"> of hydrogen in salt caverns (Gulf coast). Europe’s industrial actors have tremendous experience in storing large quantities of natural gas in porous or natural caverns</w:t>
      </w:r>
      <w:r w:rsidRPr="006E2BCE">
        <w:t xml:space="preserve">. </w:t>
      </w:r>
      <w:r>
        <w:t>Further work will be necessary to enrich this expertise for the storage of hydrogen in this media.</w:t>
      </w:r>
    </w:p>
    <w:p w14:paraId="78CC7D93" w14:textId="32AE1AFE" w:rsidR="00AC766C" w:rsidRPr="00B364CB" w:rsidRDefault="00AC766C" w:rsidP="000A238B">
      <w:pPr>
        <w:pStyle w:val="MAWP-Bodytext"/>
      </w:pPr>
      <w:r w:rsidRPr="00B364CB">
        <w:t xml:space="preserve">Large-scale </w:t>
      </w:r>
      <w:r w:rsidR="00184046">
        <w:t xml:space="preserve">hydrogen industrial </w:t>
      </w:r>
      <w:r w:rsidRPr="00B364CB">
        <w:t>stor</w:t>
      </w:r>
      <w:r w:rsidR="002B30ED" w:rsidRPr="00B364CB">
        <w:t>ag</w:t>
      </w:r>
      <w:r w:rsidRPr="00B364CB">
        <w:t>e</w:t>
      </w:r>
      <w:r w:rsidR="002B30ED" w:rsidRPr="00B364CB">
        <w:t xml:space="preserve"> sites</w:t>
      </w:r>
      <w:r w:rsidRPr="00B364CB">
        <w:t xml:space="preserve"> are </w:t>
      </w:r>
      <w:r w:rsidR="003B4CD2" w:rsidRPr="00B364CB">
        <w:t>linked</w:t>
      </w:r>
      <w:r w:rsidRPr="00B364CB">
        <w:t xml:space="preserve"> with the pipeline networks in the Benelux region and in Teesside, UK. The stor</w:t>
      </w:r>
      <w:r w:rsidR="001375F9" w:rsidRPr="00B364CB">
        <w:t>ag</w:t>
      </w:r>
      <w:r w:rsidRPr="00B364CB">
        <w:t xml:space="preserve">e of </w:t>
      </w:r>
      <w:r w:rsidR="002F7C48" w:rsidRPr="00B364CB">
        <w:t>hydrogen</w:t>
      </w:r>
      <w:r w:rsidRPr="00B364CB">
        <w:t xml:space="preserve"> </w:t>
      </w:r>
      <w:r w:rsidR="003B4CD2" w:rsidRPr="00B364CB">
        <w:t xml:space="preserve">through </w:t>
      </w:r>
      <w:r w:rsidRPr="00B364CB">
        <w:t>blending is also being tested in Europe in aquifer and depleted gas reservoirs.</w:t>
      </w:r>
      <w:r w:rsidR="00184046">
        <w:rPr>
          <w:rStyle w:val="FootnoteReference"/>
        </w:rPr>
        <w:footnoteReference w:id="63"/>
      </w:r>
    </w:p>
    <w:p w14:paraId="128837D0" w14:textId="7CAE55D2" w:rsidR="0025231F" w:rsidRPr="00B364CB" w:rsidRDefault="0025231F" w:rsidP="0025231F">
      <w:pPr>
        <w:pStyle w:val="MAWP-Bodytext"/>
      </w:pPr>
      <w:r w:rsidRPr="00B364CB">
        <w:t xml:space="preserve">Regarding cryogenic options, it should be stressed that </w:t>
      </w:r>
      <w:r w:rsidR="00184046">
        <w:t xml:space="preserve">over the past decade </w:t>
      </w:r>
      <w:r w:rsidRPr="00B364CB">
        <w:t xml:space="preserve">Europe has developed a unique industrial expertise in cryogenic storage for </w:t>
      </w:r>
      <w:r w:rsidR="00A51EDE" w:rsidRPr="00B364CB">
        <w:t>Liquefied Natural Gas (</w:t>
      </w:r>
      <w:r w:rsidRPr="00B364CB">
        <w:t>LNG</w:t>
      </w:r>
      <w:r w:rsidR="00A51EDE" w:rsidRPr="00B364CB">
        <w:t>)</w:t>
      </w:r>
      <w:r w:rsidRPr="00B364CB">
        <w:t>.</w:t>
      </w:r>
      <w:r w:rsidR="00184046">
        <w:t xml:space="preserve"> </w:t>
      </w:r>
      <w:r w:rsidR="00184046">
        <w:rPr>
          <w:lang w:val="en-US"/>
        </w:rPr>
        <w:t xml:space="preserve">It therefore has the industrial and academic competences to support the development of liquid </w:t>
      </w:r>
      <w:r w:rsidR="006E2CE5">
        <w:rPr>
          <w:lang w:val="en-US"/>
        </w:rPr>
        <w:t xml:space="preserve">cryogenic </w:t>
      </w:r>
      <w:r w:rsidR="00184046">
        <w:rPr>
          <w:lang w:val="en-US"/>
        </w:rPr>
        <w:t xml:space="preserve">hydrogen storage. </w:t>
      </w:r>
      <w:r w:rsidRPr="00B364CB">
        <w:t xml:space="preserve"> </w:t>
      </w:r>
    </w:p>
    <w:p w14:paraId="04B18AA4" w14:textId="59066675" w:rsidR="00461DFD" w:rsidRPr="00B364CB" w:rsidRDefault="00461DFD" w:rsidP="009D707B">
      <w:pPr>
        <w:pStyle w:val="MAWPHeadingStyleLevel4"/>
      </w:pPr>
      <w:r w:rsidRPr="00B364CB">
        <w:t>Objectives</w:t>
      </w:r>
    </w:p>
    <w:p w14:paraId="4AF138C4" w14:textId="33A792AB" w:rsidR="0064370C" w:rsidRPr="00B364CB" w:rsidRDefault="0064370C" w:rsidP="002256F6">
      <w:pPr>
        <w:pStyle w:val="MAWP-Bodytext"/>
        <w:numPr>
          <w:ilvl w:val="0"/>
          <w:numId w:val="25"/>
        </w:numPr>
      </w:pPr>
      <w:r w:rsidRPr="00B364CB">
        <w:t xml:space="preserve">To undertake research aimed at improving cost and efficiency of aboveground storage solutions. </w:t>
      </w:r>
    </w:p>
    <w:p w14:paraId="3E0D9741" w14:textId="4BCFD382" w:rsidR="0064370C" w:rsidRPr="00B364CB" w:rsidRDefault="008C3E7E" w:rsidP="002256F6">
      <w:pPr>
        <w:pStyle w:val="MAWP-Bodytext"/>
        <w:numPr>
          <w:ilvl w:val="0"/>
          <w:numId w:val="25"/>
        </w:numPr>
      </w:pPr>
      <w:r w:rsidRPr="00B364CB">
        <w:t>To d</w:t>
      </w:r>
      <w:r w:rsidR="0064370C" w:rsidRPr="00B364CB">
        <w:t xml:space="preserve">emonstrate distributed aboveground storage solutions available at </w:t>
      </w:r>
      <w:r w:rsidRPr="00B364CB">
        <w:t xml:space="preserve">a capital cost </w:t>
      </w:r>
      <w:r w:rsidR="00A51EDE" w:rsidRPr="00B364CB">
        <w:t xml:space="preserve">lower than </w:t>
      </w:r>
      <w:r w:rsidR="0064370C" w:rsidRPr="00B364CB">
        <w:t>300</w:t>
      </w:r>
      <w:r w:rsidR="00A10676" w:rsidRPr="00B364CB">
        <w:t xml:space="preserve"> €</w:t>
      </w:r>
      <w:r w:rsidR="0064370C" w:rsidRPr="00B364CB">
        <w:t>/kg by 2030</w:t>
      </w:r>
    </w:p>
    <w:p w14:paraId="728FDE0F" w14:textId="4CE35A9A" w:rsidR="008C3E7E" w:rsidRPr="00B364CB" w:rsidRDefault="008C3E7E" w:rsidP="002256F6">
      <w:pPr>
        <w:pStyle w:val="MAWP-Bodytext"/>
        <w:numPr>
          <w:ilvl w:val="0"/>
          <w:numId w:val="25"/>
        </w:numPr>
      </w:pPr>
      <w:r w:rsidRPr="00B364CB">
        <w:t xml:space="preserve">To undertake </w:t>
      </w:r>
      <w:r w:rsidR="00705FCA" w:rsidRPr="00B364CB">
        <w:t>research</w:t>
      </w:r>
      <w:r w:rsidRPr="00B364CB">
        <w:t xml:space="preserve"> activities on underground storage to validate the performance in different geologies, to identify better and more cost effective materials and to encourage improved designs.</w:t>
      </w:r>
    </w:p>
    <w:p w14:paraId="1A8A12B9" w14:textId="7D35D26B" w:rsidR="00461DFD" w:rsidRPr="00B364CB" w:rsidRDefault="00342194" w:rsidP="002256F6">
      <w:pPr>
        <w:pStyle w:val="MAWP-Bodytext"/>
        <w:numPr>
          <w:ilvl w:val="0"/>
          <w:numId w:val="25"/>
        </w:numPr>
      </w:pPr>
      <w:r w:rsidRPr="00B364CB">
        <w:t>D</w:t>
      </w:r>
      <w:r w:rsidR="00E97510" w:rsidRPr="00B364CB">
        <w:t xml:space="preserve">emonstrate the large-scale underground storage across various media at </w:t>
      </w:r>
      <w:r w:rsidR="008C3E7E" w:rsidRPr="00B364CB">
        <w:t xml:space="preserve">a capital cost </w:t>
      </w:r>
      <w:r w:rsidR="00A51EDE" w:rsidRPr="00B364CB">
        <w:t xml:space="preserve">lower than </w:t>
      </w:r>
      <w:r w:rsidR="00E97510" w:rsidRPr="00B364CB">
        <w:t>30</w:t>
      </w:r>
      <w:r w:rsidR="00A10676" w:rsidRPr="00B364CB">
        <w:t xml:space="preserve"> €</w:t>
      </w:r>
      <w:r w:rsidR="00E97510" w:rsidRPr="00B364CB">
        <w:t>/kg by 2030</w:t>
      </w:r>
    </w:p>
    <w:p w14:paraId="572B46E2" w14:textId="0848804B" w:rsidR="00CE70C1" w:rsidRDefault="00CE70C1" w:rsidP="00CE70C1">
      <w:pPr>
        <w:pStyle w:val="MAWP-Bodytext"/>
      </w:pPr>
      <w:r w:rsidRPr="00CE70C1">
        <w:rPr>
          <w:color w:val="auto"/>
        </w:rPr>
        <w:t xml:space="preserve">In order to contribute towards achieving the above objectives, the following areas of research and development appear as good candidates for the support by the </w:t>
      </w:r>
      <w:r w:rsidR="00831A2C">
        <w:t xml:space="preserve">Clean Hydrogen </w:t>
      </w:r>
      <w:r w:rsidRPr="00CE70C1">
        <w:rPr>
          <w:color w:val="auto"/>
        </w:rPr>
        <w:t>JU.</w:t>
      </w:r>
    </w:p>
    <w:p w14:paraId="48E54720" w14:textId="1CC89C92" w:rsidR="00AC766C" w:rsidRPr="00B364CB" w:rsidRDefault="00AC766C" w:rsidP="006E2BCE">
      <w:pPr>
        <w:pStyle w:val="MAWPHeadingStyleLevel4"/>
      </w:pPr>
      <w:r w:rsidRPr="00B364CB">
        <w:t>R&amp;D Priorities</w:t>
      </w:r>
      <w:r w:rsidR="006E2BCE" w:rsidRPr="00B364CB">
        <w:t xml:space="preserve"> - </w:t>
      </w:r>
      <w:r w:rsidRPr="00B364CB">
        <w:t xml:space="preserve">Early Stage Research Actions </w:t>
      </w:r>
    </w:p>
    <w:p w14:paraId="07A0CBFC" w14:textId="69F1F010" w:rsidR="00AC766C" w:rsidRPr="00B364CB" w:rsidRDefault="00AC766C" w:rsidP="006159FD">
      <w:pPr>
        <w:pStyle w:val="MAWP-Bodytext"/>
      </w:pPr>
      <w:r w:rsidRPr="00B364CB">
        <w:t>Develop novel concepts that can reduce the cost and improve the efficiency of hydrogen storage at a bulk level. This includes the use of lower pressure (lower cost) vessels in concert with low-cost hydride or adsorbent storage materials with high reversibility (</w:t>
      </w:r>
      <w:r w:rsidR="002D7F30" w:rsidRPr="00B364CB">
        <w:t xml:space="preserve">higher than </w:t>
      </w:r>
      <w:r w:rsidRPr="00B364CB">
        <w:t>90% of original storage capacity over at least 1,000 cycles) using lower targets for weight density than needed for other applications.</w:t>
      </w:r>
    </w:p>
    <w:p w14:paraId="250854E0" w14:textId="0F5E2182" w:rsidR="00AC766C" w:rsidRPr="00B364CB" w:rsidRDefault="006E2BCE" w:rsidP="006E2BCE">
      <w:pPr>
        <w:pStyle w:val="MAWPHeadingStyleLevel4"/>
      </w:pPr>
      <w:r w:rsidRPr="00B364CB">
        <w:t xml:space="preserve">R&amp;D Priorities - </w:t>
      </w:r>
      <w:r w:rsidR="00AC766C" w:rsidRPr="00B364CB">
        <w:t>Development Research Actions</w:t>
      </w:r>
    </w:p>
    <w:p w14:paraId="420EDD6C" w14:textId="690CC74A" w:rsidR="00AC766C" w:rsidRPr="00B364CB" w:rsidRDefault="00AC766C" w:rsidP="006159FD">
      <w:pPr>
        <w:pStyle w:val="MAWP-Bodytext"/>
      </w:pPr>
      <w:r w:rsidRPr="00B364CB">
        <w:t>Development projects are required to develop the maturity of new concepts for aboveground and underground storage and their integration into the energy system including energy system modelling. Examples of areas for development are:</w:t>
      </w:r>
    </w:p>
    <w:p w14:paraId="275C619C" w14:textId="77777777" w:rsidR="00320A01" w:rsidRPr="00B364CB" w:rsidRDefault="00320A01" w:rsidP="002256F6">
      <w:pPr>
        <w:pStyle w:val="MAWP-Bodytext"/>
        <w:numPr>
          <w:ilvl w:val="0"/>
          <w:numId w:val="24"/>
        </w:numPr>
      </w:pPr>
      <w:r w:rsidRPr="00B364CB">
        <w:t>Sustainable and safe designs for underground storage and the associated aboveground infrastructure more suited to energy system applications. This should include improving discharge rates and increasing pressure ranges within the underground storage, while also addressing the purity aspects for the recovery of hydrogen from the storage media;</w:t>
      </w:r>
    </w:p>
    <w:p w14:paraId="21861CB8" w14:textId="4DD3B66C" w:rsidR="00320A01" w:rsidRPr="00B364CB" w:rsidRDefault="00320A01" w:rsidP="002256F6">
      <w:pPr>
        <w:pStyle w:val="MAWP-Bodytext"/>
        <w:numPr>
          <w:ilvl w:val="0"/>
          <w:numId w:val="24"/>
        </w:numPr>
      </w:pPr>
      <w:r w:rsidRPr="00B364CB">
        <w:lastRenderedPageBreak/>
        <w:t>Studies on materials to enable long-lasting wells i</w:t>
      </w:r>
      <w:r w:rsidR="0018298F" w:rsidRPr="00B364CB">
        <w:t>n hydrogen underground storage</w:t>
      </w:r>
      <w:r w:rsidRPr="00B364CB">
        <w:t xml:space="preserve">. Consequently, address costs reduction of these materials, if possible; </w:t>
      </w:r>
    </w:p>
    <w:p w14:paraId="48577FFB" w14:textId="0BE804FA" w:rsidR="00320A01" w:rsidRPr="00B364CB" w:rsidRDefault="00320A01" w:rsidP="002256F6">
      <w:pPr>
        <w:pStyle w:val="MAWP-Bodytext"/>
        <w:numPr>
          <w:ilvl w:val="0"/>
          <w:numId w:val="24"/>
        </w:numPr>
      </w:pPr>
      <w:r w:rsidRPr="00B364CB">
        <w:t xml:space="preserve">Studies on lined mined caverns for storing </w:t>
      </w:r>
      <w:r w:rsidR="002F7C48" w:rsidRPr="00B364CB">
        <w:t>hydrogen</w:t>
      </w:r>
      <w:r w:rsidRPr="00B364CB">
        <w:t xml:space="preserve"> when neither salt nor porous media are available. Cryogenic and pressurised solutions to be considered;</w:t>
      </w:r>
    </w:p>
    <w:p w14:paraId="0C0E9089" w14:textId="77777777" w:rsidR="00394224" w:rsidRPr="00B364CB" w:rsidRDefault="00394224" w:rsidP="002256F6">
      <w:pPr>
        <w:pStyle w:val="MAWP-Bodytext"/>
        <w:numPr>
          <w:ilvl w:val="0"/>
          <w:numId w:val="24"/>
        </w:numPr>
      </w:pPr>
      <w:r w:rsidRPr="00B364CB">
        <w:t xml:space="preserve">Studies on microbial activity and effects depending on the underground media; </w:t>
      </w:r>
    </w:p>
    <w:p w14:paraId="44D0A76D" w14:textId="1BF9CB39" w:rsidR="00BA0C2B" w:rsidRPr="00B364CB" w:rsidRDefault="00C07804" w:rsidP="002256F6">
      <w:pPr>
        <w:pStyle w:val="MAWP-Bodytext"/>
        <w:numPr>
          <w:ilvl w:val="0"/>
          <w:numId w:val="24"/>
        </w:numPr>
      </w:pPr>
      <w:r w:rsidRPr="00B364CB">
        <w:t>Developing low-</w:t>
      </w:r>
      <w:r w:rsidR="00AC766C" w:rsidRPr="00B364CB">
        <w:t xml:space="preserve">cost materials </w:t>
      </w:r>
      <w:r w:rsidR="00140388" w:rsidRPr="00B364CB">
        <w:t xml:space="preserve">and system architectures </w:t>
      </w:r>
      <w:r w:rsidR="00AC766C" w:rsidRPr="00B364CB">
        <w:t>for aboveground storage tanks, targeting optimised pressures</w:t>
      </w:r>
      <w:r w:rsidR="003A42E5" w:rsidRPr="00B364CB">
        <w:t>;</w:t>
      </w:r>
    </w:p>
    <w:p w14:paraId="5AC09204" w14:textId="1F11B843" w:rsidR="00850EA8" w:rsidRPr="00B364CB" w:rsidRDefault="00850EA8" w:rsidP="002256F6">
      <w:pPr>
        <w:pStyle w:val="MAWP-Bodytext"/>
        <w:numPr>
          <w:ilvl w:val="0"/>
          <w:numId w:val="24"/>
        </w:numPr>
      </w:pPr>
      <w:r w:rsidRPr="00B364CB">
        <w:t xml:space="preserve">Storage using solid nanostructured absorbers (microporous materials, </w:t>
      </w:r>
      <w:r w:rsidR="002D7F30" w:rsidRPr="00B364CB">
        <w:t xml:space="preserve">metal-organic framework materials - </w:t>
      </w:r>
      <w:r w:rsidRPr="00B364CB">
        <w:t>MOFs)</w:t>
      </w:r>
      <w:r w:rsidR="003A42E5" w:rsidRPr="00B364CB">
        <w:t>;</w:t>
      </w:r>
    </w:p>
    <w:p w14:paraId="1B8410F2" w14:textId="28BC584B" w:rsidR="00320A01" w:rsidRPr="00B364CB" w:rsidRDefault="00320A01" w:rsidP="002256F6">
      <w:pPr>
        <w:pStyle w:val="MAWP-Bodytext"/>
        <w:numPr>
          <w:ilvl w:val="0"/>
          <w:numId w:val="24"/>
        </w:numPr>
      </w:pPr>
      <w:r w:rsidRPr="00B364CB">
        <w:t>Low cost metal hydride and adsorbent hydrogen storage materials</w:t>
      </w:r>
      <w:r w:rsidR="003A42E5" w:rsidRPr="00B364CB">
        <w:t>;</w:t>
      </w:r>
    </w:p>
    <w:p w14:paraId="4B149638" w14:textId="6A4D2957" w:rsidR="00AC766C" w:rsidRPr="00B364CB" w:rsidRDefault="00AC766C" w:rsidP="002256F6">
      <w:pPr>
        <w:pStyle w:val="MAWP-Bodytext"/>
        <w:numPr>
          <w:ilvl w:val="0"/>
          <w:numId w:val="24"/>
        </w:numPr>
      </w:pPr>
      <w:r w:rsidRPr="00B364CB">
        <w:t>Novel designs and hybrid solutions for storage containers</w:t>
      </w:r>
      <w:r w:rsidR="001375F9" w:rsidRPr="00B364CB">
        <w:t>;</w:t>
      </w:r>
    </w:p>
    <w:p w14:paraId="11F8E9EB" w14:textId="007A2F1D" w:rsidR="004C64A2" w:rsidRPr="00B364CB" w:rsidRDefault="00773F05" w:rsidP="002256F6">
      <w:pPr>
        <w:pStyle w:val="MAWP-Bodytext"/>
        <w:numPr>
          <w:ilvl w:val="0"/>
          <w:numId w:val="24"/>
        </w:numPr>
      </w:pPr>
      <w:r w:rsidRPr="00B364CB">
        <w:t xml:space="preserve">Techno-economic analysis on the </w:t>
      </w:r>
      <w:r w:rsidR="0082236F" w:rsidRPr="00B364CB">
        <w:t>optimisation</w:t>
      </w:r>
      <w:r w:rsidRPr="00B364CB">
        <w:t xml:space="preserve"> of the logistics and operation for </w:t>
      </w:r>
      <w:r w:rsidR="002F7C48" w:rsidRPr="00B364CB">
        <w:t xml:space="preserve">hydrogen </w:t>
      </w:r>
      <w:r w:rsidRPr="00B364CB">
        <w:t xml:space="preserve">underground storage (iteration with the power market </w:t>
      </w:r>
      <w:r w:rsidR="00BA0876">
        <w:t xml:space="preserve">-including ancillaries congestion management and network physics basics-, </w:t>
      </w:r>
      <w:r w:rsidRPr="00B364CB">
        <w:t>and renewable energy production, transport strategies, electrolysis operation mode, sizing, etc)</w:t>
      </w:r>
      <w:r w:rsidR="003A42E5" w:rsidRPr="00B364CB">
        <w:t>;</w:t>
      </w:r>
    </w:p>
    <w:p w14:paraId="194592EF" w14:textId="34D09643" w:rsidR="0025231F" w:rsidRPr="00B364CB" w:rsidRDefault="0025231F" w:rsidP="002256F6">
      <w:pPr>
        <w:pStyle w:val="MAWP-Bodytext"/>
        <w:numPr>
          <w:ilvl w:val="0"/>
          <w:numId w:val="24"/>
        </w:numPr>
      </w:pPr>
      <w:r w:rsidRPr="00B364CB">
        <w:t>Feasibility studies are further proposed to study the consequences</w:t>
      </w:r>
      <w:r w:rsidR="004C64A2" w:rsidRPr="00B364CB">
        <w:t xml:space="preserve"> of hydrogen</w:t>
      </w:r>
      <w:r w:rsidRPr="00B364CB">
        <w:t xml:space="preserve"> over main natural gas underground storage infrastructures</w:t>
      </w:r>
      <w:r w:rsidR="004C64A2" w:rsidRPr="00B364CB">
        <w:t xml:space="preserve"> (e.g</w:t>
      </w:r>
      <w:r w:rsidR="005972C8">
        <w:t>.</w:t>
      </w:r>
      <w:r w:rsidR="004C64A2" w:rsidRPr="00B364CB">
        <w:t xml:space="preserve"> reservoir, wells and treatments plants). In particular:</w:t>
      </w:r>
    </w:p>
    <w:p w14:paraId="2832F0F3" w14:textId="66482469" w:rsidR="0025231F" w:rsidRPr="00B364CB" w:rsidRDefault="004C64A2" w:rsidP="002256F6">
      <w:pPr>
        <w:pStyle w:val="MAWP-Bodytext"/>
        <w:numPr>
          <w:ilvl w:val="1"/>
          <w:numId w:val="24"/>
        </w:numPr>
      </w:pPr>
      <w:r w:rsidRPr="00B364CB">
        <w:t>Effects on</w:t>
      </w:r>
      <w:r w:rsidR="0025231F" w:rsidRPr="00B364CB">
        <w:t xml:space="preserve"> cap rock and reservoir integrity due to diffusion issues and acidification of reservoir fluids</w:t>
      </w:r>
      <w:r w:rsidR="003A42E5" w:rsidRPr="00B364CB">
        <w:t>;</w:t>
      </w:r>
    </w:p>
    <w:p w14:paraId="455263C8" w14:textId="5F7400A6" w:rsidR="0025231F" w:rsidRPr="00B364CB" w:rsidRDefault="0025231F" w:rsidP="002256F6">
      <w:pPr>
        <w:pStyle w:val="MAWP-Bodytext"/>
        <w:numPr>
          <w:ilvl w:val="1"/>
          <w:numId w:val="24"/>
        </w:numPr>
      </w:pPr>
      <w:r w:rsidRPr="00B364CB">
        <w:t>Changes on the storage efficiency due to diffusion issues, geochemical &amp; microbiological reactions that could impact on the gas quality, effective porosity &amp; permeability, losses in pressure &amp; energy</w:t>
      </w:r>
      <w:r w:rsidR="003A42E5" w:rsidRPr="00B364CB">
        <w:t>;</w:t>
      </w:r>
    </w:p>
    <w:p w14:paraId="04CAD0C4" w14:textId="47A6946B" w:rsidR="0025231F" w:rsidRPr="00B364CB" w:rsidRDefault="0025231F" w:rsidP="002256F6">
      <w:pPr>
        <w:pStyle w:val="MAWP-Bodytext"/>
        <w:numPr>
          <w:ilvl w:val="1"/>
          <w:numId w:val="24"/>
        </w:numPr>
      </w:pPr>
      <w:r w:rsidRPr="00B364CB">
        <w:t>Wells integrity (cement, tubular couplings &amp; elastomers)</w:t>
      </w:r>
      <w:r w:rsidR="003A42E5" w:rsidRPr="00B364CB">
        <w:t>;</w:t>
      </w:r>
    </w:p>
    <w:p w14:paraId="73B7B243" w14:textId="7B5F7C9B" w:rsidR="0025231F" w:rsidRPr="00B364CB" w:rsidRDefault="0025231F" w:rsidP="002256F6">
      <w:pPr>
        <w:pStyle w:val="MAWP-Bodytext"/>
        <w:numPr>
          <w:ilvl w:val="1"/>
          <w:numId w:val="24"/>
        </w:numPr>
      </w:pPr>
      <w:r w:rsidRPr="00B364CB">
        <w:t>Changes on surface facilities efficiency (fluids &amp; treatment process) and integrity</w:t>
      </w:r>
      <w:r w:rsidR="003A42E5" w:rsidRPr="00B364CB">
        <w:t>.</w:t>
      </w:r>
    </w:p>
    <w:p w14:paraId="3B5E4588" w14:textId="0ACCD57D" w:rsidR="00AC766C" w:rsidRPr="00B364CB" w:rsidRDefault="00F43A04" w:rsidP="006E2BCE">
      <w:pPr>
        <w:pStyle w:val="MAWPHeadingStyleLevel4"/>
      </w:pPr>
      <w:r w:rsidRPr="00B364CB">
        <w:t>R&amp;D Priorities - Demonstration Actions</w:t>
      </w:r>
    </w:p>
    <w:p w14:paraId="130B7F27" w14:textId="77777777" w:rsidR="00AC766C" w:rsidRPr="00B364CB" w:rsidRDefault="00AC766C" w:rsidP="006159FD">
      <w:pPr>
        <w:pStyle w:val="MAWP-Bodytext"/>
      </w:pPr>
      <w:r w:rsidRPr="00B364CB">
        <w:t>A demonstration phase is necessary to highlight the readiness of hydrogen storage for integration within the overall energy system. There is the need for demonstrations of projects for both aboveground and underground operation, aiming to reduce cost and improve efficiency, including:</w:t>
      </w:r>
    </w:p>
    <w:p w14:paraId="7CF393A2" w14:textId="38678FD2" w:rsidR="00320A01" w:rsidRPr="00B364CB" w:rsidRDefault="00FA40AE" w:rsidP="002256F6">
      <w:pPr>
        <w:pStyle w:val="MAWP-Bodytext"/>
        <w:numPr>
          <w:ilvl w:val="0"/>
          <w:numId w:val="24"/>
        </w:numPr>
      </w:pPr>
      <w:r w:rsidRPr="00B364CB">
        <w:t>M</w:t>
      </w:r>
      <w:r w:rsidR="00AC766C" w:rsidRPr="00B364CB">
        <w:t>edium-scale projects to both prove and optimise aboveground hydrogen storage solutions</w:t>
      </w:r>
      <w:r w:rsidR="003A42E5" w:rsidRPr="00B364CB">
        <w:t>.</w:t>
      </w:r>
      <w:r w:rsidR="00320A01" w:rsidRPr="00B364CB">
        <w:t xml:space="preserve"> Examples here could be:</w:t>
      </w:r>
    </w:p>
    <w:p w14:paraId="348F20CB" w14:textId="6589A649" w:rsidR="00320A01" w:rsidRPr="00B364CB" w:rsidRDefault="00320A01" w:rsidP="002256F6">
      <w:pPr>
        <w:pStyle w:val="MAWP-Bodytext"/>
        <w:numPr>
          <w:ilvl w:val="1"/>
          <w:numId w:val="24"/>
        </w:numPr>
      </w:pPr>
      <w:r w:rsidRPr="00B364CB">
        <w:t>Bulk hydrogen storage for residential quarters running on hydrogen energy</w:t>
      </w:r>
      <w:r w:rsidR="003A42E5" w:rsidRPr="00B364CB">
        <w:t>;</w:t>
      </w:r>
    </w:p>
    <w:p w14:paraId="71E9DA58" w14:textId="474407C3" w:rsidR="00320A01" w:rsidRPr="00B364CB" w:rsidRDefault="00320A01" w:rsidP="002256F6">
      <w:pPr>
        <w:pStyle w:val="MAWP-Bodytext"/>
        <w:numPr>
          <w:ilvl w:val="1"/>
          <w:numId w:val="24"/>
        </w:numPr>
      </w:pPr>
      <w:r w:rsidRPr="00B364CB">
        <w:t xml:space="preserve">Bulk hydrogen storage for local hydrogen distribution </w:t>
      </w:r>
      <w:r w:rsidR="006159FD" w:rsidRPr="00B364CB">
        <w:t>centres</w:t>
      </w:r>
      <w:r w:rsidR="003A42E5" w:rsidRPr="00B364CB">
        <w:t>;</w:t>
      </w:r>
    </w:p>
    <w:p w14:paraId="336A5090" w14:textId="23675E92" w:rsidR="00320A01" w:rsidRPr="00B364CB" w:rsidRDefault="00320A01" w:rsidP="002256F6">
      <w:pPr>
        <w:pStyle w:val="MAWP-Bodytext"/>
        <w:numPr>
          <w:ilvl w:val="1"/>
          <w:numId w:val="24"/>
        </w:numPr>
      </w:pPr>
      <w:r w:rsidRPr="00B364CB">
        <w:t xml:space="preserve">Bulk hydrogen storage for </w:t>
      </w:r>
      <w:r w:rsidR="00CD1942" w:rsidRPr="00B364CB">
        <w:t>Hydrogen Refuelling Stations (</w:t>
      </w:r>
      <w:r w:rsidRPr="00B364CB">
        <w:t>HRS</w:t>
      </w:r>
      <w:r w:rsidR="00CD1942" w:rsidRPr="00B364CB">
        <w:t>)</w:t>
      </w:r>
      <w:r w:rsidRPr="00B364CB">
        <w:t xml:space="preserve"> in densely populated regions</w:t>
      </w:r>
      <w:r w:rsidR="003A42E5" w:rsidRPr="00B364CB">
        <w:t>;</w:t>
      </w:r>
    </w:p>
    <w:p w14:paraId="010756D0" w14:textId="73EECA53" w:rsidR="00585FA4" w:rsidRPr="00B364CB" w:rsidRDefault="00585FA4" w:rsidP="002256F6">
      <w:pPr>
        <w:pStyle w:val="MAWP-Bodytext"/>
        <w:numPr>
          <w:ilvl w:val="1"/>
          <w:numId w:val="24"/>
        </w:numPr>
      </w:pPr>
      <w:r w:rsidRPr="00B364CB">
        <w:t xml:space="preserve">Bulk hydrogen storage for isolated systems in remote territories like islands with high penetration of intermittent </w:t>
      </w:r>
      <w:r w:rsidR="002C7A2C" w:rsidRPr="00B364CB">
        <w:t>Renewable Energy Sources (</w:t>
      </w:r>
      <w:r w:rsidRPr="00B364CB">
        <w:t>RES</w:t>
      </w:r>
      <w:r w:rsidR="002C7A2C" w:rsidRPr="00B364CB">
        <w:t>)</w:t>
      </w:r>
    </w:p>
    <w:p w14:paraId="63A3FDBB" w14:textId="4F258C7A" w:rsidR="00AC766C" w:rsidRPr="00B364CB" w:rsidRDefault="00AC766C" w:rsidP="002256F6">
      <w:pPr>
        <w:pStyle w:val="MAWP-Bodytext"/>
        <w:numPr>
          <w:ilvl w:val="0"/>
          <w:numId w:val="24"/>
        </w:numPr>
      </w:pPr>
      <w:r w:rsidRPr="00B364CB">
        <w:lastRenderedPageBreak/>
        <w:t xml:space="preserve">A large-scale demonstration project for underground </w:t>
      </w:r>
      <w:r w:rsidR="002F7C48" w:rsidRPr="00B364CB">
        <w:t xml:space="preserve">hydrogen </w:t>
      </w:r>
      <w:r w:rsidRPr="00B364CB">
        <w:t>storage</w:t>
      </w:r>
      <w:r w:rsidR="00AB5F0F" w:rsidRPr="00B364CB">
        <w:t xml:space="preserve"> that is progressing in terms of state of the art. (e.g. </w:t>
      </w:r>
      <w:r w:rsidR="005972C8">
        <w:t>i</w:t>
      </w:r>
      <w:r w:rsidR="00AB5F0F" w:rsidRPr="00B364CB">
        <w:t>n terms of capacity, or volumetric density)</w:t>
      </w:r>
      <w:r w:rsidR="003A42E5" w:rsidRPr="00B364CB">
        <w:t>.</w:t>
      </w:r>
    </w:p>
    <w:p w14:paraId="2549E625" w14:textId="42986C93" w:rsidR="00AC766C" w:rsidRPr="00B364CB" w:rsidRDefault="00AC766C" w:rsidP="006E2BCE">
      <w:pPr>
        <w:pStyle w:val="MAWPHeadingStyleLevel4"/>
      </w:pPr>
      <w:r w:rsidRPr="00B364CB">
        <w:t>Flagship Action</w:t>
      </w:r>
    </w:p>
    <w:p w14:paraId="1B89837A" w14:textId="6E8B0F64" w:rsidR="00AC766C" w:rsidRPr="00B364CB" w:rsidRDefault="00AC766C" w:rsidP="002256F6">
      <w:pPr>
        <w:pStyle w:val="MAWP-Bodytext"/>
        <w:numPr>
          <w:ilvl w:val="0"/>
          <w:numId w:val="24"/>
        </w:numPr>
      </w:pPr>
      <w:r w:rsidRPr="00B364CB">
        <w:t xml:space="preserve">Flagship action for a bulk </w:t>
      </w:r>
      <w:r w:rsidR="00397D08" w:rsidRPr="00B364CB">
        <w:t xml:space="preserve">underground </w:t>
      </w:r>
      <w:r w:rsidRPr="00B364CB">
        <w:t>storage</w:t>
      </w:r>
      <w:r w:rsidR="00397D08" w:rsidRPr="00B364CB">
        <w:t xml:space="preserve"> of hydrogen</w:t>
      </w:r>
      <w:r w:rsidRPr="00B364CB">
        <w:t xml:space="preserve"> </w:t>
      </w:r>
      <w:r w:rsidR="00397D08" w:rsidRPr="00B364CB">
        <w:t>of</w:t>
      </w:r>
      <w:r w:rsidRPr="00B364CB">
        <w:t xml:space="preserve"> a</w:t>
      </w:r>
      <w:r w:rsidR="006F098D" w:rsidRPr="00B364CB">
        <w:t>t least</w:t>
      </w:r>
      <w:r w:rsidR="00397D08" w:rsidRPr="00B364CB">
        <w:t xml:space="preserve"> 250,000</w:t>
      </w:r>
      <w:r w:rsidR="005972C8">
        <w:t> </w:t>
      </w:r>
      <w:r w:rsidR="00397D08" w:rsidRPr="00B364CB">
        <w:t>m³</w:t>
      </w:r>
      <w:r w:rsidRPr="00B364CB">
        <w:t>. Alternatively, future projects should focus on including large-scale storage within large-scale projects</w:t>
      </w:r>
      <w:r w:rsidR="0025231F" w:rsidRPr="00B364CB">
        <w:t xml:space="preserve">. </w:t>
      </w:r>
    </w:p>
    <w:p w14:paraId="0585A6F5" w14:textId="7DDB26FE" w:rsidR="00AC766C" w:rsidRPr="00B364CB" w:rsidRDefault="00AC766C" w:rsidP="002256F6">
      <w:pPr>
        <w:pStyle w:val="MAWP-Bodytext"/>
        <w:numPr>
          <w:ilvl w:val="0"/>
          <w:numId w:val="24"/>
        </w:numPr>
      </w:pPr>
      <w:r w:rsidRPr="00B364CB">
        <w:t>Policy studies should be used to develop the underpinning</w:t>
      </w:r>
      <w:r w:rsidR="00397D08" w:rsidRPr="00B364CB">
        <w:t xml:space="preserve"> evidence on the need for bulk </w:t>
      </w:r>
      <w:r w:rsidRPr="00B364CB">
        <w:t>hydrogen</w:t>
      </w:r>
      <w:r w:rsidR="006362E7" w:rsidRPr="00B364CB">
        <w:t xml:space="preserve"> storage for energy or fo</w:t>
      </w:r>
      <w:r w:rsidR="00397D08" w:rsidRPr="00B364CB">
        <w:t xml:space="preserve">r other industrial applications. This should be done </w:t>
      </w:r>
      <w:r w:rsidR="006362E7" w:rsidRPr="00B364CB">
        <w:t xml:space="preserve">in order to make </w:t>
      </w:r>
      <w:r w:rsidRPr="00B364CB">
        <w:t>the case for policy and regulatory support for market activation.</w:t>
      </w:r>
    </w:p>
    <w:p w14:paraId="331F3C84" w14:textId="2267A2AD" w:rsidR="001A3927" w:rsidRPr="00B364CB" w:rsidRDefault="001A3927" w:rsidP="004A1B65">
      <w:pPr>
        <w:pStyle w:val="MAWPHeadingStyleLevel4"/>
      </w:pPr>
      <w:r w:rsidRPr="00B364CB">
        <w:t xml:space="preserve">Synergies </w:t>
      </w:r>
    </w:p>
    <w:p w14:paraId="76874D48" w14:textId="0C486FC1" w:rsidR="00342194" w:rsidRPr="00B364CB" w:rsidRDefault="00342194" w:rsidP="00342194">
      <w:pPr>
        <w:pStyle w:val="MAWP-Bodytext"/>
      </w:pPr>
      <w:r w:rsidRPr="00B364CB">
        <w:t xml:space="preserve">Potential synergies </w:t>
      </w:r>
      <w:r w:rsidR="00E238EE" w:rsidRPr="00B364CB">
        <w:t>can</w:t>
      </w:r>
      <w:r w:rsidRPr="00B364CB">
        <w:t xml:space="preserve"> be explored with P4P in successfully demonstrating </w:t>
      </w:r>
      <w:r w:rsidR="00E238EE" w:rsidRPr="00B364CB">
        <w:t>underground storage of hydrogen in depleted gas fields</w:t>
      </w:r>
      <w:r w:rsidRPr="00B364CB">
        <w:t xml:space="preserve">. Other potential synergies can be identified with </w:t>
      </w:r>
      <w:r w:rsidR="00E238EE" w:rsidRPr="00B364CB">
        <w:t>the Innovation Fund, which foresees the funding of large-scale energy storage projects</w:t>
      </w:r>
      <w:r w:rsidRPr="00B364CB">
        <w:t xml:space="preserve">. </w:t>
      </w:r>
      <w:r w:rsidR="00E238EE" w:rsidRPr="00B364CB">
        <w:t>S</w:t>
      </w:r>
      <w:r w:rsidRPr="00B364CB">
        <w:t xml:space="preserve">ee Section </w:t>
      </w:r>
      <w:r w:rsidRPr="00B364CB">
        <w:fldChar w:fldCharType="begin"/>
      </w:r>
      <w:r w:rsidRPr="00B364CB">
        <w:instrText xml:space="preserve"> REF _Ref55249545 \r \h  \* MERGEFORMAT </w:instrText>
      </w:r>
      <w:r w:rsidRPr="00B364CB">
        <w:fldChar w:fldCharType="separate"/>
      </w:r>
      <w:r w:rsidR="00331EBC">
        <w:t>4.1</w:t>
      </w:r>
      <w:r w:rsidRPr="00B364CB">
        <w:fldChar w:fldCharType="end"/>
      </w:r>
      <w:r w:rsidRPr="00B364CB">
        <w:t xml:space="preserve"> </w:t>
      </w:r>
      <w:r w:rsidR="00B77E48">
        <w:t xml:space="preserve">and Annex 7 </w:t>
      </w:r>
      <w:r w:rsidRPr="00B364CB">
        <w:t xml:space="preserve">for more details on the synergies. </w:t>
      </w:r>
    </w:p>
    <w:p w14:paraId="01D343C0" w14:textId="480C7BFD" w:rsidR="00AC766C" w:rsidRPr="00B364CB" w:rsidRDefault="00AC766C" w:rsidP="006802D3">
      <w:pPr>
        <w:pStyle w:val="MAWPsubtitle2"/>
      </w:pPr>
      <w:bookmarkStart w:id="77" w:name="_Toc64640552"/>
      <w:bookmarkStart w:id="78" w:name="_Toc93907320"/>
      <w:r w:rsidRPr="00B364CB">
        <w:t>Hydrogen in the Natural Gas Grid</w:t>
      </w:r>
      <w:bookmarkEnd w:id="77"/>
      <w:bookmarkEnd w:id="78"/>
    </w:p>
    <w:p w14:paraId="20DADB05" w14:textId="691AE50B" w:rsidR="00AC766C" w:rsidRPr="00B364CB" w:rsidRDefault="00AC766C" w:rsidP="006E2BCE">
      <w:pPr>
        <w:pStyle w:val="MAWPHeadingStyleLevel4"/>
      </w:pPr>
      <w:r w:rsidRPr="00B364CB">
        <w:t>Rationale for Support</w:t>
      </w:r>
    </w:p>
    <w:p w14:paraId="328A7880" w14:textId="5EC38BAF" w:rsidR="0077547E" w:rsidRDefault="0077547E" w:rsidP="00BE61BB">
      <w:pPr>
        <w:pStyle w:val="MAWP-Bodytext"/>
      </w:pPr>
      <w:r>
        <w:t xml:space="preserve">According to the recent </w:t>
      </w:r>
      <w:r w:rsidRPr="0077547E">
        <w:t>Hydrogen and Decarbonised Gas Package</w:t>
      </w:r>
      <w:r>
        <w:t xml:space="preserve"> proposed by the European Commission</w:t>
      </w:r>
      <w:r>
        <w:rPr>
          <w:rStyle w:val="FootnoteReference"/>
        </w:rPr>
        <w:footnoteReference w:id="64"/>
      </w:r>
      <w:r>
        <w:t xml:space="preserve">, low carbon hydrogen and other low carbon or carbon neutral gaseous fuels are expected to gradually replace the use of fossil gas. </w:t>
      </w:r>
      <w:r w:rsidR="000C1D0C">
        <w:t xml:space="preserve">In terms of </w:t>
      </w:r>
      <w:r w:rsidR="006F7086">
        <w:t>transportation of hydrogen via pipelines, d</w:t>
      </w:r>
      <w:r>
        <w:t xml:space="preserve">eveloping a dedicated hydrogen infrastructure </w:t>
      </w:r>
      <w:r w:rsidR="006F7086">
        <w:t xml:space="preserve">in the long-term </w:t>
      </w:r>
      <w:r>
        <w:t xml:space="preserve">is necessary to release the full potential of this energy carrier is specific end-use applications. </w:t>
      </w:r>
      <w:r w:rsidR="00BE61BB">
        <w:t>In the short and medium term, other forms of low-carbon gases in particular low-carbon hydrogen can play a role, primarily to rapidly reduce emissions from existing hydrogen production and support the parallel and future uptake of renewable hydrogen.</w:t>
      </w:r>
    </w:p>
    <w:p w14:paraId="55FFF4AD" w14:textId="2312BEE3" w:rsidR="0077547E" w:rsidRDefault="0077547E" w:rsidP="006159FD">
      <w:pPr>
        <w:pStyle w:val="MAWP-Bodytext"/>
      </w:pPr>
      <w:r>
        <w:t xml:space="preserve">Therefore, the deployment of various renewable and low carbon types of gases </w:t>
      </w:r>
      <w:r w:rsidR="00BE61BB">
        <w:t>is</w:t>
      </w:r>
      <w:r>
        <w:t xml:space="preserve"> likely to </w:t>
      </w:r>
      <w:r w:rsidR="00BE61BB">
        <w:t>happen</w:t>
      </w:r>
      <w:r>
        <w:t xml:space="preserve"> in parallel and </w:t>
      </w:r>
      <w:r w:rsidR="00BE61BB">
        <w:t>is</w:t>
      </w:r>
      <w:r>
        <w:t xml:space="preserve"> expected to develop at a different pace across the EU</w:t>
      </w:r>
      <w:r w:rsidR="00BE61BB">
        <w:t>, requiring</w:t>
      </w:r>
      <w:r>
        <w:t xml:space="preserve">: </w:t>
      </w:r>
    </w:p>
    <w:p w14:paraId="20BCBD93" w14:textId="7FD0FE40" w:rsidR="0077547E" w:rsidRDefault="0077547E" w:rsidP="0077547E">
      <w:pPr>
        <w:pStyle w:val="MAWPBodytextbullets"/>
      </w:pPr>
      <w:r>
        <w:t xml:space="preserve">a hydrogen-based infrastructure </w:t>
      </w:r>
      <w:r w:rsidR="00BE61BB">
        <w:t>to</w:t>
      </w:r>
      <w:r>
        <w:t xml:space="preserve"> progressively complement the natural gas</w:t>
      </w:r>
      <w:r w:rsidR="00BE61BB">
        <w:t xml:space="preserve"> grid</w:t>
      </w:r>
      <w:r>
        <w:t>;</w:t>
      </w:r>
      <w:r w:rsidR="00BE61BB">
        <w:t xml:space="preserve"> </w:t>
      </w:r>
    </w:p>
    <w:p w14:paraId="019380D9" w14:textId="3A112FBD" w:rsidR="0077547E" w:rsidRDefault="0077547E" w:rsidP="0077547E">
      <w:pPr>
        <w:pStyle w:val="MAWPBodytextbullets"/>
      </w:pPr>
      <w:r>
        <w:t xml:space="preserve">a gas infrastructure </w:t>
      </w:r>
      <w:r w:rsidR="00BE61BB">
        <w:t xml:space="preserve">where natural gas will </w:t>
      </w:r>
      <w:r>
        <w:t xml:space="preserve">progressively be replaced by </w:t>
      </w:r>
      <w:r w:rsidR="00BE61BB">
        <w:t>clean gases.</w:t>
      </w:r>
    </w:p>
    <w:p w14:paraId="535C239A" w14:textId="77777777" w:rsidR="000C1D0C" w:rsidRDefault="00AA76D8" w:rsidP="006159FD">
      <w:pPr>
        <w:pStyle w:val="MAWP-Bodytext"/>
      </w:pPr>
      <w:r w:rsidRPr="00B364CB">
        <w:t xml:space="preserve">Beyond the </w:t>
      </w:r>
      <w:r w:rsidR="00844CA6" w:rsidRPr="00B364CB">
        <w:t>importance of the natural gas grid</w:t>
      </w:r>
      <w:r w:rsidRPr="00B364CB">
        <w:t xml:space="preserve"> for </w:t>
      </w:r>
      <w:r w:rsidR="00844CA6" w:rsidRPr="00B364CB">
        <w:t xml:space="preserve">transporting </w:t>
      </w:r>
      <w:r w:rsidRPr="00B364CB">
        <w:t xml:space="preserve">the hydrogen molecule across </w:t>
      </w:r>
      <w:r w:rsidR="00844CA6" w:rsidRPr="00B364CB">
        <w:t>long</w:t>
      </w:r>
      <w:r w:rsidRPr="00B364CB">
        <w:t xml:space="preserve"> distances</w:t>
      </w:r>
      <w:r w:rsidR="00844CA6" w:rsidRPr="00B364CB">
        <w:t>, it</w:t>
      </w:r>
      <w:r w:rsidRPr="00B364CB">
        <w:t xml:space="preserve"> also offers an enormous storage potential</w:t>
      </w:r>
      <w:r w:rsidR="00844CA6" w:rsidRPr="00B364CB">
        <w:t>,</w:t>
      </w:r>
      <w:r w:rsidRPr="00B364CB">
        <w:t xml:space="preserve"> which can play a </w:t>
      </w:r>
      <w:r w:rsidR="00844CA6" w:rsidRPr="00B364CB">
        <w:t>critical</w:t>
      </w:r>
      <w:r w:rsidRPr="00B364CB">
        <w:t xml:space="preserve"> role in a </w:t>
      </w:r>
      <w:r w:rsidR="00844CA6" w:rsidRPr="00B364CB">
        <w:t>climate neutral</w:t>
      </w:r>
      <w:r w:rsidRPr="00B364CB">
        <w:t xml:space="preserve"> future.</w:t>
      </w:r>
      <w:r w:rsidR="000C1D0C">
        <w:t xml:space="preserve"> </w:t>
      </w:r>
      <w:r w:rsidR="00AC766C" w:rsidRPr="00B364CB">
        <w:t>There is</w:t>
      </w:r>
      <w:r w:rsidR="00844CA6" w:rsidRPr="00B364CB">
        <w:t xml:space="preserve"> therefore a</w:t>
      </w:r>
      <w:r w:rsidR="00AC766C" w:rsidRPr="00B364CB">
        <w:t xml:space="preserve"> significant energy system benefit in using existing gas assets</w:t>
      </w:r>
      <w:r w:rsidR="00844CA6" w:rsidRPr="00B364CB">
        <w:t xml:space="preserve">, as they can provide </w:t>
      </w:r>
      <w:r w:rsidR="00AC766C" w:rsidRPr="00B364CB">
        <w:t xml:space="preserve">large seasonal storage potential and </w:t>
      </w:r>
      <w:r w:rsidR="00844CA6" w:rsidRPr="00B364CB">
        <w:t>help</w:t>
      </w:r>
      <w:r w:rsidR="00AC766C" w:rsidRPr="00B364CB">
        <w:t xml:space="preserve"> manage large swings in daily demand. </w:t>
      </w:r>
    </w:p>
    <w:p w14:paraId="323E83AC" w14:textId="5CB62952" w:rsidR="00AC766C" w:rsidRPr="00B364CB" w:rsidRDefault="00AC766C" w:rsidP="006159FD">
      <w:pPr>
        <w:pStyle w:val="MAWP-Bodytext"/>
      </w:pPr>
      <w:r w:rsidRPr="00B364CB">
        <w:t>The pathways that will be explored for the decarbonisation of the natural gas grid and for the distribution of hydrogen are the following:</w:t>
      </w:r>
    </w:p>
    <w:p w14:paraId="09E9C59F" w14:textId="4BD5AF62" w:rsidR="00AC766C" w:rsidRPr="00B364CB" w:rsidRDefault="00AC766C" w:rsidP="006159FD">
      <w:pPr>
        <w:pStyle w:val="MAWPBodytextbullets"/>
      </w:pPr>
      <w:r w:rsidRPr="00B364CB">
        <w:t xml:space="preserve">Blending </w:t>
      </w:r>
      <w:r w:rsidR="002F7C48" w:rsidRPr="00B364CB">
        <w:t>hydrogen</w:t>
      </w:r>
      <w:r w:rsidRPr="00B364CB">
        <w:t xml:space="preserve"> with natural gas</w:t>
      </w:r>
      <w:r w:rsidR="00BE61BB">
        <w:t>;</w:t>
      </w:r>
      <w:r w:rsidR="001375F9" w:rsidRPr="00B364CB">
        <w:t xml:space="preserve"> </w:t>
      </w:r>
    </w:p>
    <w:p w14:paraId="55BC78C4" w14:textId="77777777" w:rsidR="00BE61BB" w:rsidRDefault="00AC766C" w:rsidP="006159FD">
      <w:pPr>
        <w:pStyle w:val="MAWPBodytextbullets"/>
      </w:pPr>
      <w:r w:rsidRPr="00B364CB">
        <w:t>Repurposing natural gas pipelines for transmission and distribution of 100% hydrogen</w:t>
      </w:r>
      <w:r w:rsidR="00BE61BB">
        <w:t>;</w:t>
      </w:r>
    </w:p>
    <w:p w14:paraId="684F2379" w14:textId="444ECEF1" w:rsidR="00AC766C" w:rsidRPr="00B364CB" w:rsidRDefault="00BE61BB" w:rsidP="006159FD">
      <w:pPr>
        <w:pStyle w:val="MAWPBodytextbullets"/>
      </w:pPr>
      <w:r>
        <w:lastRenderedPageBreak/>
        <w:t>Building new pipelines for 100% hydrogen transmission and distribution.</w:t>
      </w:r>
      <w:r w:rsidR="00AC766C" w:rsidRPr="00B364CB">
        <w:t xml:space="preserve"> </w:t>
      </w:r>
    </w:p>
    <w:p w14:paraId="527A0EF7" w14:textId="70EE548C" w:rsidR="00FA3557" w:rsidRDefault="00FA3557" w:rsidP="00FA3557">
      <w:pPr>
        <w:pStyle w:val="MAWP-Bodytext"/>
      </w:pPr>
      <w:r>
        <w:t>ACER conducted a study on “Transporting Pure Hydrogen by Repurposing Existing Gas Infrastructure</w:t>
      </w:r>
      <w:r w:rsidR="00BE61BB">
        <w:t>:</w:t>
      </w:r>
      <w:r>
        <w:t xml:space="preserve"> Overview of existing studies and reflections on the conditions for repurposing”</w:t>
      </w:r>
      <w:r w:rsidR="00BE61BB">
        <w:t xml:space="preserve">. The study concludes </w:t>
      </w:r>
      <w:r>
        <w:t xml:space="preserve">that all the following conditions should be met in order to consider repurposing for hydrogen as a serious option: </w:t>
      </w:r>
    </w:p>
    <w:p w14:paraId="2F9CEE40" w14:textId="77777777" w:rsidR="00FA3557" w:rsidRDefault="00FA3557" w:rsidP="00FA3557">
      <w:pPr>
        <w:pStyle w:val="MAWPBodytextbullets"/>
      </w:pPr>
      <w:r>
        <w:t xml:space="preserve">Presence of loop (parallel) lines of NG pipeline systems, of which at least one string could be repurposed for pure hydrogen. </w:t>
      </w:r>
    </w:p>
    <w:p w14:paraId="326CE2E5" w14:textId="77777777" w:rsidR="00FA3557" w:rsidRDefault="00FA3557" w:rsidP="00FA3557">
      <w:pPr>
        <w:pStyle w:val="MAWPBodytextbullets"/>
      </w:pPr>
      <w:r>
        <w:t xml:space="preserve">Ensuring security of NG supply to consumers, during and after the conversion of a line (or loop) to pure hydrogen. This means that there should be free available capacity for NG transport in that segment of the network, or alternative routes of supply. </w:t>
      </w:r>
    </w:p>
    <w:p w14:paraId="16493646" w14:textId="77777777" w:rsidR="00FA3557" w:rsidRPr="00B364CB" w:rsidRDefault="00FA3557" w:rsidP="00FA3557">
      <w:pPr>
        <w:pStyle w:val="MAWPBodytextbullets"/>
      </w:pPr>
      <w:r>
        <w:t>Hydrogen market uptake in the location or regions serving that pure hydrogen corridor. There should be supply developments of clean hydrogen production from RES or CSS, synchronously with demand developments. This hydrogen demand could stem from switching from “grey” to “green” or “blue” hydrogen for existing hydrogen industrial consumers, and switching from fossil fuels (coal, gas) to hydrogen for new hydrogen industrial consumers for high-grade heat applications.</w:t>
      </w:r>
    </w:p>
    <w:p w14:paraId="6FA65B34" w14:textId="6504D738" w:rsidR="00AC766C" w:rsidRPr="00B364CB" w:rsidRDefault="00AC766C" w:rsidP="006E2BCE">
      <w:pPr>
        <w:pStyle w:val="MAWPHeadingStyleLevel4"/>
      </w:pPr>
      <w:r w:rsidRPr="00B364CB">
        <w:t>State of the Art</w:t>
      </w:r>
    </w:p>
    <w:p w14:paraId="2BBDFAC2" w14:textId="0E86D18C" w:rsidR="00FA3557" w:rsidRPr="00B364CB" w:rsidRDefault="00FA3557" w:rsidP="00FA3557">
      <w:pPr>
        <w:pStyle w:val="MAWP-Bodytext"/>
      </w:pPr>
      <w:r w:rsidRPr="00B364CB">
        <w:t>Injecting hydrogen into the natural gas distribution networks is technically feasible today</w:t>
      </w:r>
      <w:r>
        <w:t>.</w:t>
      </w:r>
      <w:r w:rsidRPr="00B364CB">
        <w:t xml:space="preserve"> </w:t>
      </w:r>
      <w:r>
        <w:t>Depending on the specific network and / or region</w:t>
      </w:r>
      <w:r w:rsidRPr="00B364CB">
        <w:t xml:space="preserve">, </w:t>
      </w:r>
      <w:r>
        <w:t>as pipeline networks vary significantly between Member States,</w:t>
      </w:r>
      <w:r w:rsidRPr="00FA3557">
        <w:t xml:space="preserve"> </w:t>
      </w:r>
      <w:r>
        <w:t>b</w:t>
      </w:r>
      <w:r w:rsidRPr="00B364CB">
        <w:t>lends of hydrogen up to 20% by volume may be possible without requiring pipeline or appliance conversion.</w:t>
      </w:r>
      <w:r w:rsidRPr="00FA3557">
        <w:t xml:space="preserve"> </w:t>
      </w:r>
      <w:r w:rsidRPr="00B364CB">
        <w:t>High-pressure transmission pipelines have more uncertainties, regarding the impact of hydrogen depending on the materials that are utilised and the pressure ranges of operation. Projects like HyDeploy</w:t>
      </w:r>
      <w:bookmarkStart w:id="79" w:name="_Ref74909430"/>
      <w:r w:rsidRPr="00B364CB">
        <w:rPr>
          <w:rStyle w:val="FootnoteReference"/>
        </w:rPr>
        <w:footnoteReference w:id="65"/>
      </w:r>
      <w:bookmarkEnd w:id="79"/>
      <w:r w:rsidRPr="00B364CB">
        <w:t xml:space="preserve"> (UK) and Hyblend</w:t>
      </w:r>
      <w:r w:rsidRPr="00B364CB">
        <w:rPr>
          <w:rStyle w:val="FootnoteReference"/>
        </w:rPr>
        <w:footnoteReference w:id="66"/>
      </w:r>
      <w:r w:rsidRPr="00B364CB">
        <w:t xml:space="preserve"> (US) aim to understand </w:t>
      </w:r>
      <w:r w:rsidRPr="00B364CB">
        <w:rPr>
          <w:color w:val="333333"/>
          <w:shd w:val="clear" w:color="auto" w:fill="FFFFFF"/>
        </w:rPr>
        <w:t xml:space="preserve">how higher concentrations of hydrogen could work on different parts of the gas grid and what could be their effects on piping and pipeline materials. </w:t>
      </w:r>
      <w:r w:rsidRPr="00B364CB">
        <w:t>In all cases, safety must also be assessed.</w:t>
      </w:r>
    </w:p>
    <w:p w14:paraId="06EC1784" w14:textId="1DE11046" w:rsidR="00F105EC" w:rsidRDefault="00AC766C" w:rsidP="006159FD">
      <w:pPr>
        <w:pStyle w:val="MAWP-Bodytext"/>
      </w:pPr>
      <w:r w:rsidRPr="00B364CB">
        <w:t xml:space="preserve">For deeper decarbonisation, </w:t>
      </w:r>
      <w:r w:rsidR="001375F9" w:rsidRPr="00B364CB">
        <w:t xml:space="preserve">conversion to </w:t>
      </w:r>
      <w:r w:rsidRPr="00B364CB">
        <w:t>100% hydrogen is possible. Conversion of parts of the gas T&amp;D infrastructure to 100% hydrogen is under consideration in the UK (H21</w:t>
      </w:r>
      <w:r w:rsidR="00E8096D" w:rsidRPr="00B364CB">
        <w:rPr>
          <w:rStyle w:val="FootnoteReference"/>
        </w:rPr>
        <w:footnoteReference w:id="67"/>
      </w:r>
      <w:r w:rsidRPr="00B364CB">
        <w:t>, H100</w:t>
      </w:r>
      <w:r w:rsidR="00E8096D" w:rsidRPr="00B364CB">
        <w:rPr>
          <w:rStyle w:val="FootnoteReference"/>
        </w:rPr>
        <w:footnoteReference w:id="68"/>
      </w:r>
      <w:r w:rsidRPr="00B364CB">
        <w:t>, HYNET</w:t>
      </w:r>
      <w:r w:rsidR="00E8096D" w:rsidRPr="00B364CB">
        <w:rPr>
          <w:rStyle w:val="FootnoteReference"/>
        </w:rPr>
        <w:footnoteReference w:id="69"/>
      </w:r>
      <w:r w:rsidRPr="00B364CB">
        <w:t>) and plans are developing in countries such as the Netherlands, Germany, Belgium</w:t>
      </w:r>
      <w:r w:rsidR="00276C9B">
        <w:t>,</w:t>
      </w:r>
      <w:r w:rsidRPr="00B364CB">
        <w:t xml:space="preserve"> France</w:t>
      </w:r>
      <w:r w:rsidR="00276C9B">
        <w:t xml:space="preserve"> and Slovakia</w:t>
      </w:r>
      <w:r w:rsidRPr="00B364CB">
        <w:t xml:space="preserve">. In these cases, existing transmission </w:t>
      </w:r>
      <w:r w:rsidR="0028260E" w:rsidRPr="00B364CB">
        <w:t xml:space="preserve">and distribution </w:t>
      </w:r>
      <w:r w:rsidRPr="00B364CB">
        <w:t>infrastructure could be repurposed for hydrogen. Existing pipelines</w:t>
      </w:r>
      <w:r w:rsidR="00F105EC">
        <w:t>, as a whole or certain of their critical components,</w:t>
      </w:r>
      <w:r w:rsidRPr="00B364CB">
        <w:t xml:space="preserve"> need to be </w:t>
      </w:r>
      <w:r w:rsidR="00CC1AE2">
        <w:t>adapted to tolerate hydrogen content</w:t>
      </w:r>
      <w:r w:rsidR="00F105EC">
        <w:t xml:space="preserve">. Similarly, other system components, including </w:t>
      </w:r>
      <w:r w:rsidRPr="00B364CB">
        <w:t xml:space="preserve">compression </w:t>
      </w:r>
      <w:r w:rsidR="00BB657D">
        <w:t xml:space="preserve">and drivetrain </w:t>
      </w:r>
      <w:r w:rsidR="0028260E" w:rsidRPr="00B364CB">
        <w:t>solutions</w:t>
      </w:r>
      <w:r w:rsidR="00F105EC">
        <w:t>, may need to be replaced. For th</w:t>
      </w:r>
      <w:r w:rsidR="00CA2AF9">
        <w:t>e</w:t>
      </w:r>
      <w:r w:rsidR="00F105EC">
        <w:t>s</w:t>
      </w:r>
      <w:r w:rsidR="00CA2AF9">
        <w:t>e</w:t>
      </w:r>
      <w:r w:rsidR="00F105EC">
        <w:t xml:space="preserve"> purpose</w:t>
      </w:r>
      <w:r w:rsidR="00CA2AF9">
        <w:t>s</w:t>
      </w:r>
      <w:r w:rsidR="00F105EC">
        <w:t xml:space="preserve">, international research and innovation actions across Europe </w:t>
      </w:r>
      <w:r w:rsidR="00CA2AF9">
        <w:t xml:space="preserve">will be important. </w:t>
      </w:r>
    </w:p>
    <w:p w14:paraId="5E2C70BD" w14:textId="75666B33" w:rsidR="00AC766C" w:rsidRPr="00B364CB" w:rsidRDefault="00AC766C" w:rsidP="006159FD">
      <w:pPr>
        <w:pStyle w:val="MAWP-Bodytext"/>
      </w:pPr>
      <w:r w:rsidRPr="00B364CB">
        <w:t xml:space="preserve">There are several demonstration projects injecting hydrogen into natural gas distribution grids, generally </w:t>
      </w:r>
      <w:r w:rsidR="00703F64" w:rsidRPr="00B364CB">
        <w:t xml:space="preserve">up to </w:t>
      </w:r>
      <w:r w:rsidRPr="00B364CB">
        <w:t xml:space="preserve">20% </w:t>
      </w:r>
      <w:r w:rsidR="00703F64" w:rsidRPr="00B364CB">
        <w:t xml:space="preserve">in terms of </w:t>
      </w:r>
      <w:r w:rsidR="00402160">
        <w:t>volume</w:t>
      </w:r>
      <w:r w:rsidR="00630EAF" w:rsidRPr="00B364CB">
        <w:rPr>
          <w:rStyle w:val="FootnoteReference"/>
        </w:rPr>
        <w:footnoteReference w:id="70"/>
      </w:r>
      <w:r w:rsidR="00630EAF" w:rsidRPr="00B364CB">
        <w:rPr>
          <w:vertAlign w:val="superscript"/>
        </w:rPr>
        <w:t>,</w:t>
      </w:r>
      <w:r w:rsidR="00630EAF" w:rsidRPr="00B364CB">
        <w:rPr>
          <w:rStyle w:val="FootnoteReference"/>
        </w:rPr>
        <w:footnoteReference w:id="71"/>
      </w:r>
      <w:r w:rsidR="00402160">
        <w:t xml:space="preserve">. </w:t>
      </w:r>
      <w:r w:rsidRPr="00B364CB">
        <w:t xml:space="preserve">Limited demonstrations of conversions of steel </w:t>
      </w:r>
      <w:r w:rsidRPr="00B364CB">
        <w:lastRenderedPageBreak/>
        <w:t xml:space="preserve">pipes to 100% </w:t>
      </w:r>
      <w:r w:rsidR="002F7C48" w:rsidRPr="00B364CB">
        <w:t>hydrogen</w:t>
      </w:r>
      <w:r w:rsidRPr="00B364CB">
        <w:t xml:space="preserve"> are commencing. </w:t>
      </w:r>
      <w:r w:rsidR="001213D2" w:rsidRPr="00B364CB">
        <w:t>An example is a 12 km pipeline formerly used for transporting natural gas that has been transformed for transportation of 100% hydrogen in the south west of the Netherlands</w:t>
      </w:r>
      <w:r w:rsidR="001213D2" w:rsidRPr="00B364CB">
        <w:rPr>
          <w:rStyle w:val="FootnoteReference"/>
        </w:rPr>
        <w:footnoteReference w:id="72"/>
      </w:r>
      <w:r w:rsidR="001213D2" w:rsidRPr="00B364CB">
        <w:rPr>
          <w:vertAlign w:val="superscript"/>
        </w:rPr>
        <w:t xml:space="preserve"> </w:t>
      </w:r>
      <w:r w:rsidR="001213D2" w:rsidRPr="00B364CB">
        <w:t>in 2018.</w:t>
      </w:r>
      <w:r w:rsidR="00DA7A09">
        <w:t>Another example is the launch of the “NortH2” in Groningen that is expected to produce and distribute around 800,000 tonnes of hydrogen through Gasunie’s natural gas infrastructure.</w:t>
      </w:r>
      <w:r w:rsidR="00DA7A09">
        <w:rPr>
          <w:rStyle w:val="FootnoteReference"/>
        </w:rPr>
        <w:footnoteReference w:id="73"/>
      </w:r>
    </w:p>
    <w:p w14:paraId="60BBAFFA" w14:textId="064917FC" w:rsidR="00715A2D" w:rsidRPr="00B364CB" w:rsidRDefault="00715A2D" w:rsidP="00715A2D">
      <w:pPr>
        <w:pStyle w:val="MAWP-Bodytext"/>
      </w:pPr>
      <w:r>
        <w:t>The formation European Hydrogen Backbone (EHB) initiative is another indication for the increasing momentum on the repurposing of natural gas pipelines in Europe. The EHB group</w:t>
      </w:r>
      <w:r w:rsidRPr="00EC2118">
        <w:t xml:space="preserve"> vision</w:t>
      </w:r>
      <w:r>
        <w:t xml:space="preserve"> currently involves</w:t>
      </w:r>
      <w:r w:rsidRPr="00EC2118">
        <w:t xml:space="preserve"> 23 gas infrastructure companies from 21 countries.</w:t>
      </w:r>
      <w:r>
        <w:t xml:space="preserve"> In their most recent report it presents a vision for a 39,700km hydrogen pipeline infrastructure expanding in 21 countries. Two-thirds of the network is based on repurposing of natural gas pipelines.</w:t>
      </w:r>
      <w:r>
        <w:rPr>
          <w:rStyle w:val="FootnoteReference"/>
        </w:rPr>
        <w:footnoteReference w:id="74"/>
      </w:r>
    </w:p>
    <w:p w14:paraId="227F2485" w14:textId="77777777" w:rsidR="00461DFD" w:rsidRPr="00B364CB" w:rsidRDefault="00461DFD" w:rsidP="00461DFD">
      <w:pPr>
        <w:pStyle w:val="MAWPHeadingStyleLevel4"/>
      </w:pPr>
      <w:r w:rsidRPr="00B364CB">
        <w:t>Objectives</w:t>
      </w:r>
    </w:p>
    <w:p w14:paraId="67129D9B" w14:textId="7E7E5D27" w:rsidR="00DA505B" w:rsidRDefault="00DA505B" w:rsidP="002256F6">
      <w:pPr>
        <w:pStyle w:val="MAWPBodyTextNumbered"/>
        <w:numPr>
          <w:ilvl w:val="0"/>
          <w:numId w:val="52"/>
        </w:numPr>
      </w:pPr>
      <w:r w:rsidRPr="00DA505B">
        <w:t xml:space="preserve">Development of technologies and materials to </w:t>
      </w:r>
      <w:r w:rsidR="00D51347">
        <w:t xml:space="preserve">explore and support </w:t>
      </w:r>
      <w:r w:rsidRPr="00DA505B">
        <w:t>the transportation of H2 via the natural gas grid</w:t>
      </w:r>
      <w:r>
        <w:t>.</w:t>
      </w:r>
    </w:p>
    <w:p w14:paraId="2153CD7E" w14:textId="6E6C77B2" w:rsidR="00DA505B" w:rsidRDefault="00DA505B" w:rsidP="002256F6">
      <w:pPr>
        <w:pStyle w:val="MAWPBodyTextNumbered"/>
        <w:numPr>
          <w:ilvl w:val="0"/>
          <w:numId w:val="52"/>
        </w:numPr>
      </w:pPr>
      <w:r w:rsidRPr="00DA505B">
        <w:t xml:space="preserve">Enable through research and demonstration activities the transportation of hydrogen through the natural gas grid either by blending or via </w:t>
      </w:r>
      <w:r w:rsidR="00F21BAE">
        <w:t>repurposing to 100% hydrogen.</w:t>
      </w:r>
    </w:p>
    <w:p w14:paraId="5238DD27" w14:textId="1FE70AA1" w:rsidR="00CE70C1" w:rsidRDefault="00CE70C1" w:rsidP="00CE70C1">
      <w:pPr>
        <w:pStyle w:val="MAWP-Bodytext"/>
      </w:pPr>
      <w:r w:rsidRPr="00CE70C1">
        <w:rPr>
          <w:color w:val="auto"/>
        </w:rPr>
        <w:t xml:space="preserve">In order to contribute towards achieving the above objectives, the following areas of research and development appear as good candidates for the support by the </w:t>
      </w:r>
      <w:r w:rsidR="00831A2C">
        <w:t xml:space="preserve">Clean Hydrogen </w:t>
      </w:r>
      <w:r w:rsidRPr="00CE70C1">
        <w:rPr>
          <w:color w:val="auto"/>
        </w:rPr>
        <w:t>JU.</w:t>
      </w:r>
    </w:p>
    <w:p w14:paraId="635DB2C5" w14:textId="615BFF08" w:rsidR="00AC766C" w:rsidRPr="00DA505B" w:rsidRDefault="00AC766C" w:rsidP="00DA505B">
      <w:pPr>
        <w:pStyle w:val="MAWPBodyTextNumbered"/>
        <w:numPr>
          <w:ilvl w:val="0"/>
          <w:numId w:val="0"/>
        </w:numPr>
        <w:rPr>
          <w:u w:val="single"/>
        </w:rPr>
      </w:pPr>
      <w:r w:rsidRPr="00DA505B">
        <w:rPr>
          <w:u w:val="single"/>
        </w:rPr>
        <w:t>R&amp;D Priorities</w:t>
      </w:r>
      <w:r w:rsidR="006E2BCE" w:rsidRPr="00DA505B">
        <w:rPr>
          <w:u w:val="single"/>
        </w:rPr>
        <w:t xml:space="preserve"> - </w:t>
      </w:r>
      <w:r w:rsidRPr="00DA505B">
        <w:rPr>
          <w:u w:val="single"/>
        </w:rPr>
        <w:t>Early Stage Research Actions</w:t>
      </w:r>
    </w:p>
    <w:p w14:paraId="466140BE" w14:textId="25385E98" w:rsidR="00AC766C" w:rsidRDefault="00B52724" w:rsidP="006159FD">
      <w:pPr>
        <w:pStyle w:val="MAWPBodytextbullets"/>
      </w:pPr>
      <w:r w:rsidRPr="00B364CB">
        <w:t>Develop testing</w:t>
      </w:r>
      <w:r w:rsidR="00342194" w:rsidRPr="00B364CB">
        <w:t xml:space="preserve"> </w:t>
      </w:r>
      <w:r w:rsidRPr="00B364CB">
        <w:t xml:space="preserve">techniques in order to precisely map </w:t>
      </w:r>
      <w:r w:rsidR="00AC766C" w:rsidRPr="00B364CB">
        <w:t>the influence of hydrogen on</w:t>
      </w:r>
      <w:r w:rsidR="00342194" w:rsidRPr="00B364CB">
        <w:t xml:space="preserve"> </w:t>
      </w:r>
      <w:r w:rsidR="00DA505B">
        <w:t xml:space="preserve">different pipeline </w:t>
      </w:r>
      <w:r w:rsidR="00342194" w:rsidRPr="00B364CB">
        <w:t>materials</w:t>
      </w:r>
    </w:p>
    <w:p w14:paraId="3BCEDBB5" w14:textId="753DBF41" w:rsidR="00DA505B" w:rsidRPr="00B364CB" w:rsidRDefault="00DA505B" w:rsidP="006159FD">
      <w:pPr>
        <w:pStyle w:val="MAWPBodytextbullets"/>
      </w:pPr>
      <w:r>
        <w:t>Qualify the effects of hydrogen on the following types of materials and components:</w:t>
      </w:r>
    </w:p>
    <w:p w14:paraId="1BFD8694" w14:textId="2506E5A8" w:rsidR="00AC766C" w:rsidRPr="00B364CB" w:rsidRDefault="001375F9" w:rsidP="002256F6">
      <w:pPr>
        <w:pStyle w:val="MAWPBodytextbullets"/>
        <w:numPr>
          <w:ilvl w:val="1"/>
          <w:numId w:val="24"/>
        </w:numPr>
      </w:pPr>
      <w:r w:rsidRPr="00B364CB">
        <w:t xml:space="preserve">Grades </w:t>
      </w:r>
      <w:r w:rsidR="00AC766C" w:rsidRPr="00B364CB">
        <w:t>of steel in pipes and their welded joints and induced phenomena (embrittlement, crack propagation, etc)</w:t>
      </w:r>
      <w:r w:rsidR="00342194" w:rsidRPr="00B364CB">
        <w:t>;</w:t>
      </w:r>
    </w:p>
    <w:p w14:paraId="638AFF6A" w14:textId="1C58517F" w:rsidR="005B15D5" w:rsidRPr="00B364CB" w:rsidRDefault="001375F9" w:rsidP="002256F6">
      <w:pPr>
        <w:pStyle w:val="MAWPBodytextbullets"/>
        <w:numPr>
          <w:ilvl w:val="1"/>
          <w:numId w:val="24"/>
        </w:numPr>
      </w:pPr>
      <w:r w:rsidRPr="00B364CB">
        <w:t xml:space="preserve">Metallic </w:t>
      </w:r>
      <w:r w:rsidR="00AC766C" w:rsidRPr="00B364CB">
        <w:t xml:space="preserve">materials existing </w:t>
      </w:r>
      <w:r w:rsidR="00F41A3F" w:rsidRPr="00B364CB">
        <w:t>i</w:t>
      </w:r>
      <w:r w:rsidR="00AC766C" w:rsidRPr="00B364CB">
        <w:t>n the distribution network (cast iron, copper, brass, lead, aluminium) and induced phenomena (embrittlement, propagation of cracks, fatigue, etc)</w:t>
      </w:r>
      <w:r w:rsidR="00342194" w:rsidRPr="00B364CB">
        <w:t>;</w:t>
      </w:r>
    </w:p>
    <w:p w14:paraId="44212F53" w14:textId="3312A3A3" w:rsidR="00AC766C" w:rsidRPr="00B364CB" w:rsidRDefault="001375F9" w:rsidP="002256F6">
      <w:pPr>
        <w:pStyle w:val="MAWPBodytextbullets"/>
        <w:numPr>
          <w:ilvl w:val="1"/>
          <w:numId w:val="24"/>
        </w:numPr>
      </w:pPr>
      <w:r w:rsidRPr="00B364CB">
        <w:t xml:space="preserve">Materials </w:t>
      </w:r>
      <w:r w:rsidR="00AC766C" w:rsidRPr="00B364CB">
        <w:t>of elastomer types present mainly in equipment in the distribution network (regulator membranes, meters, etc</w:t>
      </w:r>
      <w:r w:rsidR="0082236F" w:rsidRPr="00B364CB">
        <w:t>)</w:t>
      </w:r>
      <w:r w:rsidR="00342194" w:rsidRPr="00B364CB">
        <w:t>.</w:t>
      </w:r>
    </w:p>
    <w:p w14:paraId="4386279C" w14:textId="234A0845" w:rsidR="00AC766C" w:rsidRPr="00B364CB" w:rsidRDefault="00AC766C" w:rsidP="006159FD">
      <w:pPr>
        <w:pStyle w:val="MAWPBodytextbullets"/>
      </w:pPr>
      <w:r w:rsidRPr="00B364CB">
        <w:t>Precisely model the influence of hydrogen including blends on identified safety and risk areas in order to update design and operating methods, and ensure safe operation</w:t>
      </w:r>
      <w:r w:rsidR="001375F9" w:rsidRPr="00B364CB">
        <w:t>;</w:t>
      </w:r>
    </w:p>
    <w:p w14:paraId="2384A526" w14:textId="4454BF61" w:rsidR="00AC766C" w:rsidRPr="00B364CB" w:rsidRDefault="00AC766C" w:rsidP="006159FD">
      <w:pPr>
        <w:pStyle w:val="MAWPBodytextbullets"/>
      </w:pPr>
      <w:r w:rsidRPr="00B364CB">
        <w:t>Develop insight in the effects of contamination in existing networks on the purity of the hydrogen at the exit point</w:t>
      </w:r>
      <w:r w:rsidR="001375F9" w:rsidRPr="00B364CB">
        <w:t>.</w:t>
      </w:r>
    </w:p>
    <w:p w14:paraId="32C06292" w14:textId="175ED204" w:rsidR="00AC766C" w:rsidRPr="00B364CB" w:rsidRDefault="00A12A70" w:rsidP="006E2BCE">
      <w:pPr>
        <w:pStyle w:val="MAWPHeadingStyleLevel4"/>
      </w:pPr>
      <w:r w:rsidRPr="00B364CB">
        <w:t xml:space="preserve">R&amp;D Priorities - </w:t>
      </w:r>
      <w:r w:rsidR="00AC766C" w:rsidRPr="00B364CB">
        <w:t xml:space="preserve">Development Research Actions </w:t>
      </w:r>
    </w:p>
    <w:p w14:paraId="4EE0D8D1" w14:textId="591B605E" w:rsidR="000020E8" w:rsidRPr="00B364CB" w:rsidRDefault="000020E8" w:rsidP="006159FD">
      <w:pPr>
        <w:pStyle w:val="MAWPBodytextbullets"/>
      </w:pPr>
      <w:r w:rsidRPr="00B364CB">
        <w:t>Develop technologies to limit the impact o</w:t>
      </w:r>
      <w:r w:rsidR="00F41A3F" w:rsidRPr="00B364CB">
        <w:t>f</w:t>
      </w:r>
      <w:r w:rsidRPr="00B364CB">
        <w:t xml:space="preserve"> hydrogen on the existing network using an internal coating and in si</w:t>
      </w:r>
      <w:r w:rsidR="00826E15" w:rsidRPr="00B364CB">
        <w:t>tu robotic application or other</w:t>
      </w:r>
      <w:r w:rsidRPr="00B364CB">
        <w:t xml:space="preserve"> solutions (</w:t>
      </w:r>
      <w:r w:rsidR="00826E15" w:rsidRPr="00B364CB">
        <w:t>e.g</w:t>
      </w:r>
      <w:r w:rsidR="00EB1CA4">
        <w:t>.</w:t>
      </w:r>
      <w:r w:rsidR="00826E15" w:rsidRPr="00B364CB">
        <w:t xml:space="preserve"> </w:t>
      </w:r>
      <w:r w:rsidRPr="00B364CB">
        <w:t>pipe in pipe);</w:t>
      </w:r>
    </w:p>
    <w:p w14:paraId="1B5F497A" w14:textId="04552B5E" w:rsidR="00AC766C" w:rsidRPr="00B364CB" w:rsidRDefault="00AC766C" w:rsidP="006159FD">
      <w:pPr>
        <w:pStyle w:val="MAWPBodytextbullets"/>
      </w:pPr>
      <w:r w:rsidRPr="00B364CB">
        <w:t>Identification and development of new materials (steels, joints, components,</w:t>
      </w:r>
      <w:r w:rsidR="00A12A70" w:rsidRPr="00B364CB">
        <w:t xml:space="preserve"> coatings</w:t>
      </w:r>
      <w:r w:rsidRPr="00B364CB">
        <w:t xml:space="preserve">) </w:t>
      </w:r>
      <w:r w:rsidR="0082236F" w:rsidRPr="00B364CB">
        <w:lastRenderedPageBreak/>
        <w:t>optimised</w:t>
      </w:r>
      <w:r w:rsidRPr="00B364CB">
        <w:t xml:space="preserve"> for hydrogen transport</w:t>
      </w:r>
      <w:r w:rsidR="001375F9" w:rsidRPr="00B364CB">
        <w:t>;</w:t>
      </w:r>
      <w:r w:rsidRPr="00B364CB">
        <w:t xml:space="preserve"> </w:t>
      </w:r>
    </w:p>
    <w:p w14:paraId="25869FBD" w14:textId="77777777" w:rsidR="000020E8" w:rsidRPr="00B364CB" w:rsidRDefault="000020E8" w:rsidP="006159FD">
      <w:pPr>
        <w:pStyle w:val="MAWPBodytextbullets"/>
      </w:pPr>
      <w:r w:rsidRPr="00B364CB">
        <w:t>Develop time energy content tracking for energy billing that are able to cope with admixtures;</w:t>
      </w:r>
    </w:p>
    <w:p w14:paraId="5E1BAFFE" w14:textId="7B126294" w:rsidR="00AC766C" w:rsidRPr="00B364CB" w:rsidRDefault="00AC766C" w:rsidP="006159FD">
      <w:pPr>
        <w:pStyle w:val="MAWPBodytextbullets"/>
      </w:pPr>
      <w:r w:rsidRPr="00B364CB">
        <w:t>Specify, develop and adapt leak detection</w:t>
      </w:r>
      <w:r w:rsidR="006A2405" w:rsidRPr="00B364CB">
        <w:t>/tracking</w:t>
      </w:r>
      <w:r w:rsidRPr="00B364CB">
        <w:t xml:space="preserve"> tools in the presence of hydrogen</w:t>
      </w:r>
      <w:r w:rsidR="001375F9" w:rsidRPr="00B364CB">
        <w:t>;</w:t>
      </w:r>
    </w:p>
    <w:p w14:paraId="673B9251" w14:textId="14E3464F" w:rsidR="00AC766C" w:rsidRPr="00B364CB" w:rsidRDefault="00AC766C" w:rsidP="006159FD">
      <w:pPr>
        <w:pStyle w:val="MAWPBodytextbullets"/>
      </w:pPr>
      <w:r w:rsidRPr="00B364CB">
        <w:t>Compact blending and mixing units for hydrogen injection</w:t>
      </w:r>
      <w:r w:rsidR="001375F9" w:rsidRPr="00B364CB">
        <w:t>;</w:t>
      </w:r>
    </w:p>
    <w:p w14:paraId="73690E9B" w14:textId="60D9AEB7" w:rsidR="00AC766C" w:rsidRPr="00B364CB" w:rsidRDefault="00AC766C" w:rsidP="006159FD">
      <w:pPr>
        <w:pStyle w:val="MAWPBodytextbullets"/>
      </w:pPr>
      <w:r w:rsidRPr="00B364CB">
        <w:t>Check the metrological response and the potential drift of metering at different levels of hydrogen rate under dynamic network conditions</w:t>
      </w:r>
      <w:r w:rsidR="001375F9" w:rsidRPr="00B364CB">
        <w:t>;</w:t>
      </w:r>
    </w:p>
    <w:p w14:paraId="206240B4" w14:textId="6D9BE492" w:rsidR="00AC766C" w:rsidRDefault="00AC766C" w:rsidP="006159FD">
      <w:pPr>
        <w:pStyle w:val="MAWPBodytextbullets"/>
      </w:pPr>
      <w:r w:rsidRPr="00B364CB">
        <w:t>Qualify the impact of hydrogen on network compressor</w:t>
      </w:r>
      <w:r w:rsidR="0025231F" w:rsidRPr="00B364CB">
        <w:t xml:space="preserve"> stations and its components, as well as components regularly found in metering and regulating stations such as filters, heat exchangers, pressure regulators</w:t>
      </w:r>
      <w:r w:rsidRPr="00B364CB">
        <w:t xml:space="preserve"> and develop new compatible components</w:t>
      </w:r>
      <w:r w:rsidR="001375F9" w:rsidRPr="00B364CB">
        <w:t>;</w:t>
      </w:r>
    </w:p>
    <w:p w14:paraId="109C9A1F" w14:textId="13EA3EA4" w:rsidR="00CF5E92" w:rsidRPr="00B364CB" w:rsidRDefault="00CF5E92" w:rsidP="00CF5E92">
      <w:pPr>
        <w:pStyle w:val="MAWPBodytextbullets"/>
      </w:pPr>
      <w:r w:rsidRPr="00CF5E92">
        <w:t>Since a major cost component for hydrogen transport through  pipelines  is the construction  cost  of  new infrastructure,  actions  aimed  at  understanding  the techno-economic potential  for repurposing</w:t>
      </w:r>
      <w:r>
        <w:t xml:space="preserve"> </w:t>
      </w:r>
      <w:r w:rsidRPr="00CF5E92">
        <w:t>natural gas pipelines should be supported.</w:t>
      </w:r>
    </w:p>
    <w:p w14:paraId="152A33CD" w14:textId="293EDD77" w:rsidR="00AC766C" w:rsidRPr="00B364CB" w:rsidRDefault="00F43A04" w:rsidP="006E2BCE">
      <w:pPr>
        <w:pStyle w:val="MAWPHeadingStyleLevel4"/>
      </w:pPr>
      <w:r w:rsidRPr="00B364CB">
        <w:t>R&amp;D Priorities - Demonstration Actions</w:t>
      </w:r>
    </w:p>
    <w:p w14:paraId="4250FB88" w14:textId="1AC72CA0" w:rsidR="00AC766C" w:rsidRPr="00B364CB" w:rsidRDefault="00AC766C" w:rsidP="006159FD">
      <w:pPr>
        <w:pStyle w:val="MAWPBodytextbullets"/>
      </w:pPr>
      <w:r w:rsidRPr="00B364CB">
        <w:t>Develop methods for connecting current off-grid projects to the gas market</w:t>
      </w:r>
      <w:r w:rsidR="001375F9" w:rsidRPr="00B364CB">
        <w:t>;</w:t>
      </w:r>
    </w:p>
    <w:p w14:paraId="37CE60CE" w14:textId="4C25B503" w:rsidR="00AC766C" w:rsidRPr="00B364CB" w:rsidRDefault="00AC766C" w:rsidP="006159FD">
      <w:pPr>
        <w:pStyle w:val="MAWPBodytextbullets"/>
      </w:pPr>
      <w:r w:rsidRPr="00B364CB">
        <w:t xml:space="preserve">Construct local demonstration projects </w:t>
      </w:r>
      <w:r w:rsidR="00375A4E" w:rsidRPr="00B364CB">
        <w:t xml:space="preserve">both </w:t>
      </w:r>
      <w:r w:rsidRPr="00B364CB">
        <w:t xml:space="preserve">for </w:t>
      </w:r>
      <w:r w:rsidR="001375F9" w:rsidRPr="00B364CB">
        <w:t xml:space="preserve">hydrogen </w:t>
      </w:r>
      <w:r w:rsidRPr="00B364CB">
        <w:t xml:space="preserve">blending and </w:t>
      </w:r>
      <w:r w:rsidR="00375A4E" w:rsidRPr="00B364CB">
        <w:t xml:space="preserve">pure hydrogen pipelines </w:t>
      </w:r>
      <w:r w:rsidRPr="00B364CB">
        <w:t xml:space="preserve">with cross border participation, </w:t>
      </w:r>
      <w:r w:rsidR="00375A4E" w:rsidRPr="00B364CB">
        <w:t>aiming to a gradual shift to pure hydrogen pipelines.</w:t>
      </w:r>
    </w:p>
    <w:p w14:paraId="036494DC" w14:textId="77777777" w:rsidR="00AC766C" w:rsidRPr="00B364CB" w:rsidRDefault="00AC766C" w:rsidP="006E2BCE">
      <w:pPr>
        <w:pStyle w:val="MAWPHeadingStyleLevel4"/>
      </w:pPr>
      <w:r w:rsidRPr="00B364CB">
        <w:t xml:space="preserve">Flagship Actions </w:t>
      </w:r>
    </w:p>
    <w:p w14:paraId="16940D49" w14:textId="05703E78" w:rsidR="00AC766C" w:rsidRPr="00B364CB" w:rsidRDefault="00AC766C" w:rsidP="006159FD">
      <w:pPr>
        <w:pStyle w:val="MAWP-Bodytext"/>
      </w:pPr>
      <w:r w:rsidRPr="00B364CB">
        <w:t>Flagship cluster projects</w:t>
      </w:r>
      <w:r w:rsidR="005B2CD0" w:rsidRPr="00B364CB">
        <w:t xml:space="preserve"> could be foreseen</w:t>
      </w:r>
      <w:r w:rsidRPr="00B364CB">
        <w:t xml:space="preserve"> demonst</w:t>
      </w:r>
      <w:r w:rsidR="005B2CD0" w:rsidRPr="00B364CB">
        <w:t>rating cross b</w:t>
      </w:r>
      <w:r w:rsidR="00856BA4" w:rsidRPr="00B364CB">
        <w:t xml:space="preserve">order transmission. </w:t>
      </w:r>
      <w:r w:rsidR="00E238EE" w:rsidRPr="00B364CB">
        <w:t>Additionally</w:t>
      </w:r>
      <w:r w:rsidR="00856BA4" w:rsidRPr="00B364CB">
        <w:t xml:space="preserve">, </w:t>
      </w:r>
      <w:r w:rsidR="005B2CD0" w:rsidRPr="00B364CB">
        <w:t>possible project</w:t>
      </w:r>
      <w:r w:rsidR="00856BA4" w:rsidRPr="00B364CB">
        <w:t>s</w:t>
      </w:r>
      <w:r w:rsidR="005B2CD0" w:rsidRPr="00B364CB">
        <w:t xml:space="preserve"> could focus on</w:t>
      </w:r>
      <w:r w:rsidRPr="00B364CB">
        <w:t xml:space="preserve"> blending</w:t>
      </w:r>
      <w:r w:rsidR="005B2CD0" w:rsidRPr="00B364CB">
        <w:t>,</w:t>
      </w:r>
      <w:r w:rsidRPr="00B364CB">
        <w:t xml:space="preserve"> </w:t>
      </w:r>
      <w:r w:rsidR="005B2CD0" w:rsidRPr="00B364CB">
        <w:t xml:space="preserve">and a mix </w:t>
      </w:r>
      <w:r w:rsidRPr="00B364CB">
        <w:t>i</w:t>
      </w:r>
      <w:r w:rsidR="005B2CD0" w:rsidRPr="00B364CB">
        <w:t>ndustrial, mobility and</w:t>
      </w:r>
      <w:r w:rsidRPr="00B364CB">
        <w:t xml:space="preserve"> residential use</w:t>
      </w:r>
      <w:r w:rsidR="005B2CD0" w:rsidRPr="00B364CB">
        <w:t>s</w:t>
      </w:r>
      <w:r w:rsidRPr="00B364CB">
        <w:t xml:space="preserve">. </w:t>
      </w:r>
      <w:r w:rsidR="005B2CD0" w:rsidRPr="00B364CB">
        <w:t xml:space="preserve">A </w:t>
      </w:r>
      <w:r w:rsidR="00501839" w:rsidRPr="00B364CB">
        <w:t>current example</w:t>
      </w:r>
      <w:r w:rsidRPr="00B364CB">
        <w:t xml:space="preserve"> </w:t>
      </w:r>
      <w:r w:rsidR="005B2CD0" w:rsidRPr="00B364CB">
        <w:t xml:space="preserve">of the latter </w:t>
      </w:r>
      <w:r w:rsidRPr="00B364CB">
        <w:t>is the HyNet / H100 project in the UK</w:t>
      </w:r>
      <w:r w:rsidR="00375A4E" w:rsidRPr="00B364CB">
        <w:t>.</w:t>
      </w:r>
    </w:p>
    <w:p w14:paraId="2B79D612" w14:textId="307D92C7" w:rsidR="001A3927" w:rsidRPr="00B364CB" w:rsidRDefault="001A3927" w:rsidP="001A3927">
      <w:pPr>
        <w:pStyle w:val="MAWPHeadingStyleLevel4"/>
      </w:pPr>
      <w:r w:rsidRPr="00B364CB">
        <w:t xml:space="preserve">Synergies </w:t>
      </w:r>
    </w:p>
    <w:p w14:paraId="24511F4D" w14:textId="18AB25A4" w:rsidR="00E238EE" w:rsidRPr="00B364CB" w:rsidRDefault="001E7A12" w:rsidP="006159FD">
      <w:pPr>
        <w:pStyle w:val="MAWP-Bodytext"/>
      </w:pPr>
      <w:r w:rsidRPr="00B364CB">
        <w:t xml:space="preserve">Synergies with </w:t>
      </w:r>
      <w:r w:rsidR="009926CE" w:rsidRPr="00B364CB">
        <w:t xml:space="preserve">the Connecting Europe Facility </w:t>
      </w:r>
      <w:r w:rsidR="00DB20F7" w:rsidRPr="00B364CB">
        <w:t xml:space="preserve">(CEF) </w:t>
      </w:r>
      <w:r w:rsidR="009926CE" w:rsidRPr="00B364CB">
        <w:t>could be investigated for the Flagship Actions</w:t>
      </w:r>
      <w:r w:rsidR="004B2299" w:rsidRPr="00B364CB">
        <w:t>.</w:t>
      </w:r>
      <w:r w:rsidR="00E238EE" w:rsidRPr="00B364CB">
        <w:t xml:space="preserve"> See Section </w:t>
      </w:r>
      <w:r w:rsidR="00E238EE" w:rsidRPr="00B364CB">
        <w:fldChar w:fldCharType="begin"/>
      </w:r>
      <w:r w:rsidR="00E238EE" w:rsidRPr="00B364CB">
        <w:instrText xml:space="preserve"> REF _Ref55249545 \r \h  \* MERGEFORMAT </w:instrText>
      </w:r>
      <w:r w:rsidR="00E238EE" w:rsidRPr="00B364CB">
        <w:fldChar w:fldCharType="separate"/>
      </w:r>
      <w:r w:rsidR="00331EBC">
        <w:t>4.1</w:t>
      </w:r>
      <w:r w:rsidR="00E238EE" w:rsidRPr="00B364CB">
        <w:fldChar w:fldCharType="end"/>
      </w:r>
      <w:r w:rsidR="00E238EE" w:rsidRPr="00B364CB">
        <w:t xml:space="preserve"> </w:t>
      </w:r>
      <w:r w:rsidR="00B77E48">
        <w:t xml:space="preserve">and Annex 7 </w:t>
      </w:r>
      <w:r w:rsidR="00E238EE" w:rsidRPr="00B364CB">
        <w:t xml:space="preserve">for more details on the synergies. </w:t>
      </w:r>
    </w:p>
    <w:p w14:paraId="57A2B8BC" w14:textId="23937C2B" w:rsidR="00AC766C" w:rsidRPr="00B364CB" w:rsidRDefault="00AC766C" w:rsidP="006802D3">
      <w:pPr>
        <w:pStyle w:val="MAWPsubtitle2"/>
      </w:pPr>
      <w:bookmarkStart w:id="80" w:name="_Toc64640553"/>
      <w:bookmarkStart w:id="81" w:name="_Toc93907321"/>
      <w:r w:rsidRPr="00B364CB">
        <w:t>Liquid Hydrogen Carriers</w:t>
      </w:r>
      <w:bookmarkEnd w:id="80"/>
      <w:bookmarkEnd w:id="81"/>
    </w:p>
    <w:p w14:paraId="74F3CF91" w14:textId="0D36FCB9" w:rsidR="00461DFD" w:rsidRPr="00B364CB" w:rsidRDefault="00461DFD" w:rsidP="009D707B">
      <w:pPr>
        <w:pStyle w:val="MAWPHeadingStyleLevel4"/>
      </w:pPr>
      <w:r w:rsidRPr="00B364CB">
        <w:t>Rationale for Support</w:t>
      </w:r>
    </w:p>
    <w:p w14:paraId="6FC32893" w14:textId="6FAF3C2C" w:rsidR="009D3834" w:rsidRDefault="00AC766C" w:rsidP="006159FD">
      <w:pPr>
        <w:pStyle w:val="MAWP-Bodytext"/>
      </w:pPr>
      <w:r w:rsidRPr="00B364CB">
        <w:t xml:space="preserve">Hydrogen is one of the most </w:t>
      </w:r>
      <w:r w:rsidR="00D337E6" w:rsidRPr="00B364CB">
        <w:t>dense energy carriers</w:t>
      </w:r>
      <w:r w:rsidRPr="00B364CB">
        <w:t xml:space="preserve"> by mass, but it is extremely light and so the volumetric energy density in standard conditions is very low. </w:t>
      </w:r>
      <w:r w:rsidR="009D3834">
        <w:t xml:space="preserve">Moreover, liquid hydrogen carriers are currently the only mean of importing mass quantities of renewables (TWh to PWh-order) from long distances (Australia, South America). </w:t>
      </w:r>
      <w:r w:rsidRPr="00B364CB">
        <w:t>There is therefore a huge advantage in developing cost effective and efficient ways of transporting hydrogen in liquid form. This c</w:t>
      </w:r>
      <w:r w:rsidR="009A63F8" w:rsidRPr="00B364CB">
        <w:t xml:space="preserve">an </w:t>
      </w:r>
      <w:r w:rsidRPr="00B364CB">
        <w:t xml:space="preserve">be done by liquefying hydrogen or by </w:t>
      </w:r>
      <w:r w:rsidR="00E45F09" w:rsidRPr="00B364CB">
        <w:t xml:space="preserve">bonding </w:t>
      </w:r>
      <w:r w:rsidRPr="00B364CB">
        <w:t xml:space="preserve">it with other molecules forming </w:t>
      </w:r>
      <w:r w:rsidR="009A63F8" w:rsidRPr="00B364CB">
        <w:t xml:space="preserve">hydrogen carriers such as </w:t>
      </w:r>
      <w:r w:rsidR="00F41A3F" w:rsidRPr="00B364CB">
        <w:t>liquid organic hydrogen carriers</w:t>
      </w:r>
      <w:r w:rsidR="00740DDF" w:rsidRPr="00B364CB">
        <w:t xml:space="preserve"> </w:t>
      </w:r>
      <w:r w:rsidR="00F41A3F" w:rsidRPr="00B364CB">
        <w:t>(</w:t>
      </w:r>
      <w:r w:rsidR="009A63F8" w:rsidRPr="00B364CB">
        <w:t>LOHCs</w:t>
      </w:r>
      <w:r w:rsidR="00F41A3F" w:rsidRPr="00B364CB">
        <w:t>)</w:t>
      </w:r>
      <w:r w:rsidR="009A63F8" w:rsidRPr="00B364CB">
        <w:t>, ammonia and other CO</w:t>
      </w:r>
      <w:r w:rsidR="009A63F8" w:rsidRPr="00B364CB">
        <w:rPr>
          <w:vertAlign w:val="subscript"/>
        </w:rPr>
        <w:t>2</w:t>
      </w:r>
      <w:r w:rsidR="009A63F8" w:rsidRPr="00B364CB">
        <w:t xml:space="preserve"> neutral carriers. In order to be able to transport significant amounts of hydrogen in the coming years, all types of hydrogen carriers will be considered</w:t>
      </w:r>
      <w:r w:rsidR="00E502DF" w:rsidRPr="00B364CB">
        <w:t>.</w:t>
      </w:r>
      <w:r w:rsidR="009A63F8" w:rsidRPr="00B364CB">
        <w:t xml:space="preserve"> </w:t>
      </w:r>
    </w:p>
    <w:p w14:paraId="4537465B" w14:textId="77777777" w:rsidR="00AC766C" w:rsidRPr="00B364CB" w:rsidRDefault="00AC766C" w:rsidP="006E2BCE">
      <w:pPr>
        <w:pStyle w:val="MAWPHeadingStyleLevel4"/>
      </w:pPr>
      <w:r w:rsidRPr="00B364CB">
        <w:t>State of the Art</w:t>
      </w:r>
    </w:p>
    <w:p w14:paraId="2797097F" w14:textId="7645818D" w:rsidR="00AC766C" w:rsidRPr="00B364CB" w:rsidRDefault="00AC766C" w:rsidP="006159FD">
      <w:pPr>
        <w:pStyle w:val="MAWP-Bodytext"/>
      </w:pPr>
      <w:r w:rsidRPr="00B364CB">
        <w:t xml:space="preserve">Conventional liquefaction of hydrogen is a mature technology but has not been subject to significant innovation in recent decades. There is therefore scope to improve cost, scale and </w:t>
      </w:r>
      <w:r w:rsidRPr="00B364CB">
        <w:lastRenderedPageBreak/>
        <w:t>efficiency.</w:t>
      </w:r>
      <w:r w:rsidR="00F71C4D" w:rsidRPr="00B364CB">
        <w:t xml:space="preserve"> </w:t>
      </w:r>
      <w:r w:rsidRPr="00B364CB">
        <w:t>Several companies are developing hydrogen carrier</w:t>
      </w:r>
      <w:r w:rsidR="00E45F09" w:rsidRPr="00B364CB">
        <w:t>s</w:t>
      </w:r>
      <w:r w:rsidRPr="00B364CB">
        <w:t xml:space="preserve"> as well as technology to recover pure hydrogen out of these carriers, some of which, however, have not yet been deployed at an industrial scale.</w:t>
      </w:r>
    </w:p>
    <w:p w14:paraId="6854136B" w14:textId="6D2AE560" w:rsidR="00AC766C" w:rsidRPr="00B364CB" w:rsidRDefault="00AC766C" w:rsidP="006159FD">
      <w:pPr>
        <w:pStyle w:val="MAWP-Bodytext"/>
      </w:pPr>
      <w:r w:rsidRPr="00B364CB">
        <w:t xml:space="preserve">There is interest in a range of hydrogen </w:t>
      </w:r>
      <w:r w:rsidR="004D5047" w:rsidRPr="00B364CB">
        <w:t>carriers, which</w:t>
      </w:r>
      <w:r w:rsidRPr="00B364CB">
        <w:t xml:space="preserve"> could provide energy efficient, safe and practicable </w:t>
      </w:r>
      <w:r w:rsidR="0082236F" w:rsidRPr="00B364CB">
        <w:t>solutions</w:t>
      </w:r>
      <w:r w:rsidRPr="00B364CB">
        <w:t xml:space="preserve"> to transport hydrogen. They give the opportunity to be used directly or to allow pure hydrogen recovery for enabling safe a</w:t>
      </w:r>
      <w:r w:rsidR="0026149F" w:rsidRPr="00B364CB">
        <w:t>nd affordable mid-size to large-</w:t>
      </w:r>
      <w:r w:rsidRPr="00B364CB">
        <w:t>scale energy storage and dispatch hydrogen storage. Few examples are:</w:t>
      </w:r>
    </w:p>
    <w:p w14:paraId="7C79D83E" w14:textId="1F73BF86" w:rsidR="00AC766C" w:rsidRPr="00B364CB" w:rsidRDefault="00D337E6" w:rsidP="006159FD">
      <w:pPr>
        <w:pStyle w:val="MAWPBodytextbullets"/>
      </w:pPr>
      <w:r w:rsidRPr="00B364CB">
        <w:t xml:space="preserve">Hydrogen </w:t>
      </w:r>
      <w:r w:rsidR="00AC766C" w:rsidRPr="00B364CB">
        <w:t xml:space="preserve">Liquefaction: </w:t>
      </w:r>
      <w:r w:rsidR="00D845F6">
        <w:t>l</w:t>
      </w:r>
      <w:r w:rsidR="00AC766C" w:rsidRPr="00B364CB">
        <w:t>iquefaction is a conventional means of transporting hydrogen. Hydrogen is cooled to -253°C. After liquefaction, liquid hydrogen is transported in super-insulated “cryogenic” tankers.  At the distribution site, it is vaporised to a high-pre</w:t>
      </w:r>
      <w:r w:rsidR="00DB5417" w:rsidRPr="00B364CB">
        <w:t>ssure gaseous product.  During the</w:t>
      </w:r>
      <w:r w:rsidR="00AC766C" w:rsidRPr="00B364CB">
        <w:t xml:space="preserve"> </w:t>
      </w:r>
      <w:r w:rsidR="000E616B" w:rsidRPr="00B364CB">
        <w:t>transfer</w:t>
      </w:r>
      <w:r w:rsidR="00DB5417" w:rsidRPr="00B364CB">
        <w:t xml:space="preserve"> of liquid hydrogen</w:t>
      </w:r>
      <w:r w:rsidR="000E616B" w:rsidRPr="00B364CB">
        <w:t>,</w:t>
      </w:r>
      <w:r w:rsidR="00AC766C" w:rsidRPr="00B364CB">
        <w:t xml:space="preserve"> some is evaporated </w:t>
      </w:r>
      <w:r w:rsidR="00DB5417" w:rsidRPr="00B364CB">
        <w:t>due to boil-off, which leads to certain losses of hydrogen</w:t>
      </w:r>
      <w:r w:rsidR="00AC766C" w:rsidRPr="00B364CB">
        <w:t>. The same phenomenon happens during storage but at a far lower level.</w:t>
      </w:r>
    </w:p>
    <w:p w14:paraId="6969C3B3" w14:textId="1032C04B" w:rsidR="00AC766C" w:rsidRPr="00B364CB" w:rsidRDefault="00AC766C" w:rsidP="00E718AF">
      <w:pPr>
        <w:pStyle w:val="MAWPBodytextbullets"/>
      </w:pPr>
      <w:r w:rsidRPr="00B364CB">
        <w:t>LOHCs: LOHCs are typically hydrogen-rich aromatic and alicyclic molecules</w:t>
      </w:r>
      <w:r w:rsidR="003F47E7" w:rsidRPr="00B364CB">
        <w:t xml:space="preserve"> that can be easily transported using existing infrastructure. The</w:t>
      </w:r>
      <w:r w:rsidRPr="00B364CB">
        <w:t xml:space="preserve"> hydrogenation reaction occurs at elevated hydrogen pressures of 10-50 bar and is exothermic.  Dehydrogenation is endothermic and occurs at low pressures. The unloaded carrier is returned to the production site for reloading with possible degradation of the carrier happening depending on chemistries, </w:t>
      </w:r>
      <w:r w:rsidR="0025231F" w:rsidRPr="00B364CB">
        <w:t xml:space="preserve">catalysts, </w:t>
      </w:r>
      <w:r w:rsidRPr="00B364CB">
        <w:t>operating conditions and number of cycles.</w:t>
      </w:r>
      <w:r w:rsidR="00E718AF" w:rsidRPr="00B364CB">
        <w:t xml:space="preserve"> Work has been done on this topic already within FCH</w:t>
      </w:r>
      <w:r w:rsidR="002F7C48" w:rsidRPr="00B364CB">
        <w:t xml:space="preserve"> </w:t>
      </w:r>
      <w:r w:rsidR="00E718AF" w:rsidRPr="00B364CB">
        <w:t xml:space="preserve">2 JU project HYSTOC that aims to demonstrate the feasibility of the LOHC technology for </w:t>
      </w:r>
      <w:r w:rsidR="0079141C" w:rsidRPr="00B364CB">
        <w:t xml:space="preserve">the </w:t>
      </w:r>
      <w:r w:rsidR="00E718AF" w:rsidRPr="00B364CB">
        <w:t>distribution and storage of hydrogen to supply Hydrogen Refuelling Stations (HRS).</w:t>
      </w:r>
      <w:r w:rsidR="0079141C" w:rsidRPr="00B364CB">
        <w:rPr>
          <w:rStyle w:val="FootnoteReference"/>
        </w:rPr>
        <w:footnoteReference w:id="75"/>
      </w:r>
    </w:p>
    <w:p w14:paraId="59AC9EE4" w14:textId="4F2E1837" w:rsidR="009D0A94" w:rsidRPr="00B364CB" w:rsidRDefault="00AC766C" w:rsidP="009D0A94">
      <w:pPr>
        <w:pStyle w:val="MAWPBodytextbullets"/>
      </w:pPr>
      <w:r w:rsidRPr="00B364CB">
        <w:t xml:space="preserve">Ammonia: Ammonia production via renewable hydrogen is receiving increasing interest as costs of </w:t>
      </w:r>
      <w:r w:rsidR="00E45F09" w:rsidRPr="00B364CB">
        <w:t xml:space="preserve">renewable </w:t>
      </w:r>
      <w:r w:rsidRPr="00B364CB">
        <w:t>energy drop. Conventional ammonia production via the Haber-Bosch process must be adapted for pr</w:t>
      </w:r>
      <w:r w:rsidR="005C7A41">
        <w:t>oper integration with renewable hydrogen</w:t>
      </w:r>
      <w:r w:rsidRPr="00B364CB">
        <w:t>. Ammonia cracking is done in the presence of a catalyst and generate</w:t>
      </w:r>
      <w:r w:rsidR="000E7034" w:rsidRPr="00B364CB">
        <w:t>s</w:t>
      </w:r>
      <w:r w:rsidRPr="00B364CB">
        <w:t xml:space="preserve"> hydrogen</w:t>
      </w:r>
      <w:r w:rsidR="004E48B4">
        <w:t xml:space="preserve"> which is followed by a purification step</w:t>
      </w:r>
      <w:r w:rsidR="000E7034" w:rsidRPr="00B364CB">
        <w:t xml:space="preserve">. </w:t>
      </w:r>
      <w:r w:rsidR="00F40B6F" w:rsidRPr="00B364CB">
        <w:t xml:space="preserve">Development of novel catalysts for the cracking/reforming process </w:t>
      </w:r>
      <w:r w:rsidR="00EB1729">
        <w:t>could</w:t>
      </w:r>
      <w:r w:rsidR="00EB1729" w:rsidRPr="00B364CB">
        <w:t xml:space="preserve"> </w:t>
      </w:r>
      <w:r w:rsidR="00F40B6F" w:rsidRPr="00B364CB">
        <w:t>be foreseen</w:t>
      </w:r>
      <w:r w:rsidR="00715A2D">
        <w:t>. H</w:t>
      </w:r>
      <w:r w:rsidR="009D0A94">
        <w:t>owever, it should be noted that actions under the topic of ammonia synthesis are outside the scope of the Clean Hydrogen Joint Undertaking.</w:t>
      </w:r>
    </w:p>
    <w:p w14:paraId="5E60D2E1" w14:textId="39F7B259" w:rsidR="00461DFD" w:rsidRPr="00B364CB" w:rsidRDefault="00461DFD" w:rsidP="00461DFD">
      <w:pPr>
        <w:pStyle w:val="MAWPHeadingStyleLevel4"/>
      </w:pPr>
      <w:r w:rsidRPr="00B364CB">
        <w:t>Objectives</w:t>
      </w:r>
    </w:p>
    <w:p w14:paraId="4386FB0C" w14:textId="06444C94" w:rsidR="00461DFD" w:rsidRPr="00B364CB" w:rsidRDefault="005E5BC7" w:rsidP="002256F6">
      <w:pPr>
        <w:pStyle w:val="MAWPBodyTextNumbered"/>
        <w:numPr>
          <w:ilvl w:val="0"/>
          <w:numId w:val="27"/>
        </w:numPr>
      </w:pPr>
      <w:r w:rsidRPr="00B364CB">
        <w:t xml:space="preserve">To </w:t>
      </w:r>
      <w:r w:rsidR="001B01C7">
        <w:t xml:space="preserve">increase </w:t>
      </w:r>
      <w:r w:rsidR="00052F51" w:rsidRPr="00B364CB">
        <w:t xml:space="preserve">the efficiency </w:t>
      </w:r>
      <w:r w:rsidR="001B01C7">
        <w:t>and reduce the costs of hydrogen liquefaction technologies.</w:t>
      </w:r>
    </w:p>
    <w:p w14:paraId="6D174749" w14:textId="543BDACB" w:rsidR="005E5BC7" w:rsidRPr="00B364CB" w:rsidRDefault="005E5BC7" w:rsidP="002256F6">
      <w:pPr>
        <w:pStyle w:val="MAWPBodyTextNumbered"/>
        <w:numPr>
          <w:ilvl w:val="0"/>
          <w:numId w:val="27"/>
        </w:numPr>
      </w:pPr>
      <w:r w:rsidRPr="00B364CB">
        <w:t>To contribute to the roll-out of next generation liquefaction technology to new bulk hydrogen production plants.</w:t>
      </w:r>
    </w:p>
    <w:p w14:paraId="2B6A6658" w14:textId="75445B94" w:rsidR="005E5BC7" w:rsidRPr="00B364CB" w:rsidRDefault="005E5BC7" w:rsidP="006159FD">
      <w:pPr>
        <w:pStyle w:val="MAWPBodyTextNumbered"/>
      </w:pPr>
      <w:r w:rsidRPr="00B364CB">
        <w:t>To continue the research on carrier cycling performance, chemistries, catalysis and reactors which show potential for improved roundtrip efficiency and life cycle assessment.</w:t>
      </w:r>
    </w:p>
    <w:p w14:paraId="42CC5FBC" w14:textId="6796D089" w:rsidR="00052F51" w:rsidRDefault="00B15203" w:rsidP="006159FD">
      <w:pPr>
        <w:pStyle w:val="MAWPBodyTextNumbered"/>
      </w:pPr>
      <w:r w:rsidRPr="00B364CB">
        <w:t>Develop a range of hydrogen carriers that will be used commercially</w:t>
      </w:r>
      <w:r w:rsidR="00D77B71" w:rsidRPr="00B364CB">
        <w:t xml:space="preserve"> to</w:t>
      </w:r>
      <w:r w:rsidRPr="00B364CB">
        <w:t xml:space="preserve"> transport and store hydrogen while improving their roundtrip efficiency and lowering their cost.</w:t>
      </w:r>
    </w:p>
    <w:p w14:paraId="523C149E" w14:textId="31C76BB2" w:rsidR="00CE70C1" w:rsidRPr="00CE70C1" w:rsidRDefault="00CE70C1" w:rsidP="00CE70C1">
      <w:pPr>
        <w:pStyle w:val="MAWP-Bodytext"/>
      </w:pPr>
      <w:r w:rsidRPr="00CE70C1">
        <w:t xml:space="preserve">In order to contribute towards achieving the above objectives, the following areas of research and development appear as good candidates for the support by the </w:t>
      </w:r>
      <w:r w:rsidR="00831A2C">
        <w:t xml:space="preserve">Clean Hydrogen </w:t>
      </w:r>
      <w:r w:rsidRPr="00CE70C1">
        <w:t>JU.</w:t>
      </w:r>
    </w:p>
    <w:p w14:paraId="080DEE6C" w14:textId="589D24A3" w:rsidR="00AC766C" w:rsidRPr="00B364CB" w:rsidRDefault="00AC766C" w:rsidP="00671C59">
      <w:pPr>
        <w:pStyle w:val="MAWPHeadingStyleLevel4"/>
      </w:pPr>
      <w:r w:rsidRPr="00B364CB">
        <w:lastRenderedPageBreak/>
        <w:t>R&amp;D Priorities</w:t>
      </w:r>
      <w:r w:rsidR="00671C59" w:rsidRPr="00B364CB">
        <w:t xml:space="preserve"> - </w:t>
      </w:r>
      <w:r w:rsidRPr="00B364CB">
        <w:t>Early Stage Research Actions</w:t>
      </w:r>
    </w:p>
    <w:p w14:paraId="3990C999" w14:textId="1B0F909A" w:rsidR="00D337E6" w:rsidRPr="00B364CB" w:rsidRDefault="00D337E6" w:rsidP="006159FD">
      <w:pPr>
        <w:pStyle w:val="MAWPBodytextbullets"/>
      </w:pPr>
      <w:r w:rsidRPr="00B364CB">
        <w:t>Hydrogen l</w:t>
      </w:r>
      <w:r w:rsidR="00AC766C" w:rsidRPr="00B364CB">
        <w:t xml:space="preserve">iquefaction: </w:t>
      </w:r>
    </w:p>
    <w:p w14:paraId="2A94DD0E" w14:textId="3C980F55" w:rsidR="00D337E6" w:rsidRPr="00B364CB" w:rsidRDefault="00AC766C" w:rsidP="002256F6">
      <w:pPr>
        <w:pStyle w:val="MAWPBodytextbullets"/>
        <w:numPr>
          <w:ilvl w:val="1"/>
          <w:numId w:val="24"/>
        </w:numPr>
      </w:pPr>
      <w:r w:rsidRPr="00B364CB">
        <w:t>Energy efficiency improvements and cost reductions could come from next generation materials</w:t>
      </w:r>
      <w:r w:rsidR="0025231F" w:rsidRPr="00B364CB">
        <w:t xml:space="preserve"> and technology</w:t>
      </w:r>
      <w:r w:rsidRPr="00B364CB">
        <w:t xml:space="preserve"> for liquefaction</w:t>
      </w:r>
      <w:r w:rsidR="0025231F" w:rsidRPr="00B364CB">
        <w:t xml:space="preserve"> such as new cooling materials and devices for</w:t>
      </w:r>
      <w:r w:rsidRPr="00B364CB">
        <w:t xml:space="preserve"> cryogenic vessels</w:t>
      </w:r>
      <w:r w:rsidR="00D337E6" w:rsidRPr="00B364CB">
        <w:t>;</w:t>
      </w:r>
    </w:p>
    <w:p w14:paraId="6B3CD6C5" w14:textId="5F9DEF02" w:rsidR="00AC766C" w:rsidRPr="00B364CB" w:rsidRDefault="00AC766C" w:rsidP="002256F6">
      <w:pPr>
        <w:pStyle w:val="MAWPBodytextbullets"/>
        <w:numPr>
          <w:ilvl w:val="1"/>
          <w:numId w:val="24"/>
        </w:numPr>
      </w:pPr>
      <w:r w:rsidRPr="00B364CB">
        <w:t>Support would target innovations with the potential to reduce energy cost of liquefaction, reduce boil off losses, improve efficiency and improve reliability</w:t>
      </w:r>
      <w:r w:rsidR="00D337E6" w:rsidRPr="00B364CB">
        <w:t>.</w:t>
      </w:r>
    </w:p>
    <w:p w14:paraId="3E68BB5E" w14:textId="17DAD058" w:rsidR="00D337E6" w:rsidRPr="00B364CB" w:rsidRDefault="00D337E6" w:rsidP="00D337E6">
      <w:pPr>
        <w:pStyle w:val="MAWPBodytextbullets"/>
      </w:pPr>
      <w:r w:rsidRPr="00B364CB">
        <w:t>Hydrogen Carriers</w:t>
      </w:r>
    </w:p>
    <w:p w14:paraId="1629B72C" w14:textId="4A6BEFAB" w:rsidR="006A7DEE" w:rsidRPr="00B364CB" w:rsidRDefault="00D337E6" w:rsidP="002256F6">
      <w:pPr>
        <w:pStyle w:val="MAWPBodytextbullets"/>
        <w:numPr>
          <w:ilvl w:val="1"/>
          <w:numId w:val="24"/>
        </w:numPr>
      </w:pPr>
      <w:r w:rsidRPr="00B364CB">
        <w:t>D</w:t>
      </w:r>
      <w:r w:rsidR="00BB312D" w:rsidRPr="00B364CB">
        <w:t xml:space="preserve">evelop novel </w:t>
      </w:r>
      <w:r w:rsidR="00AC766C" w:rsidRPr="00B364CB">
        <w:t>cata</w:t>
      </w:r>
      <w:r w:rsidR="006A7DEE" w:rsidRPr="00B364CB">
        <w:t>lysts and reactor technologies</w:t>
      </w:r>
      <w:r w:rsidRPr="00B364CB">
        <w:t>;</w:t>
      </w:r>
      <w:r w:rsidR="00FA59A0">
        <w:t xml:space="preserve"> </w:t>
      </w:r>
    </w:p>
    <w:p w14:paraId="1EC24448" w14:textId="0937D71F" w:rsidR="006A7DEE" w:rsidRPr="00B364CB" w:rsidRDefault="00D337E6" w:rsidP="002256F6">
      <w:pPr>
        <w:pStyle w:val="MAWPBodytextbullets"/>
        <w:numPr>
          <w:ilvl w:val="1"/>
          <w:numId w:val="24"/>
        </w:numPr>
      </w:pPr>
      <w:r w:rsidRPr="00B364CB">
        <w:t>R</w:t>
      </w:r>
      <w:r w:rsidR="00AC766C" w:rsidRPr="00B364CB">
        <w:t>educe the amount of expensive raw materials needed in hydrogenation / dehydrogenation reactions</w:t>
      </w:r>
      <w:r w:rsidRPr="00B364CB">
        <w:t>;</w:t>
      </w:r>
    </w:p>
    <w:p w14:paraId="1335A889" w14:textId="742D7411" w:rsidR="00DD3A1E" w:rsidRPr="00B364CB" w:rsidRDefault="00D337E6" w:rsidP="002256F6">
      <w:pPr>
        <w:pStyle w:val="MAWPBodytextbullets"/>
        <w:numPr>
          <w:ilvl w:val="1"/>
          <w:numId w:val="24"/>
        </w:numPr>
      </w:pPr>
      <w:r w:rsidRPr="00B364CB">
        <w:t>R</w:t>
      </w:r>
      <w:r w:rsidR="006A7DEE" w:rsidRPr="00B364CB">
        <w:t>educe</w:t>
      </w:r>
      <w:r w:rsidR="00AC766C" w:rsidRPr="00B364CB">
        <w:t xml:space="preserve"> the CO</w:t>
      </w:r>
      <w:r w:rsidR="00AC766C" w:rsidRPr="00B364CB">
        <w:rPr>
          <w:vertAlign w:val="subscript"/>
        </w:rPr>
        <w:t>2</w:t>
      </w:r>
      <w:r w:rsidR="00AC766C" w:rsidRPr="00B364CB">
        <w:t xml:space="preserve"> equivalent footprint (including carrier supply chain and potential degradation)</w:t>
      </w:r>
      <w:r w:rsidRPr="00B364CB">
        <w:t>;</w:t>
      </w:r>
    </w:p>
    <w:p w14:paraId="67C56E02" w14:textId="77777777" w:rsidR="00893D03" w:rsidRDefault="00D337E6" w:rsidP="002256F6">
      <w:pPr>
        <w:pStyle w:val="MAWPBodytextbullets"/>
        <w:numPr>
          <w:ilvl w:val="1"/>
          <w:numId w:val="24"/>
        </w:numPr>
      </w:pPr>
      <w:r w:rsidRPr="00B364CB">
        <w:t>E</w:t>
      </w:r>
      <w:r w:rsidR="002432A6" w:rsidRPr="00B364CB">
        <w:t>lectrochemical reforming</w:t>
      </w:r>
      <w:r w:rsidR="00CC6906">
        <w:t xml:space="preserve"> or synthesis of hydrogen carriers</w:t>
      </w:r>
    </w:p>
    <w:p w14:paraId="7B617915" w14:textId="5C4E5E95" w:rsidR="002432A6" w:rsidRPr="00B364CB" w:rsidRDefault="00893D03" w:rsidP="002256F6">
      <w:pPr>
        <w:pStyle w:val="MAWPBodytextbullets"/>
        <w:numPr>
          <w:ilvl w:val="1"/>
          <w:numId w:val="24"/>
        </w:numPr>
      </w:pPr>
      <w:r w:rsidRPr="00893D03">
        <w:t>Research on the potential hazards (e.g. toxicity, flammability) associated with hydrogen packaging solutions is needed due to their presence in new settings. This research should lead to the development of adequate technological solutions and the elaboration of safety regulations.</w:t>
      </w:r>
      <w:r w:rsidR="00FA59A0">
        <w:rPr>
          <w:rStyle w:val="FootnoteReference"/>
        </w:rPr>
        <w:footnoteReference w:id="76"/>
      </w:r>
    </w:p>
    <w:p w14:paraId="31A3673B" w14:textId="7A10BA12" w:rsidR="00AC766C" w:rsidRPr="00B364CB" w:rsidRDefault="00671C59" w:rsidP="00671C59">
      <w:pPr>
        <w:pStyle w:val="MAWPHeadingStyleLevel4"/>
      </w:pPr>
      <w:r w:rsidRPr="00B364CB">
        <w:t xml:space="preserve">R&amp;D Priorities - </w:t>
      </w:r>
      <w:r w:rsidR="00AC766C" w:rsidRPr="00B364CB">
        <w:t>Development Research Actions</w:t>
      </w:r>
    </w:p>
    <w:p w14:paraId="3AB21EFA" w14:textId="77777777" w:rsidR="00B134D3" w:rsidRPr="00B364CB" w:rsidRDefault="00D337E6" w:rsidP="00B134D3">
      <w:pPr>
        <w:pStyle w:val="MAWPBodytextbullets"/>
      </w:pPr>
      <w:r w:rsidRPr="00B364CB">
        <w:t xml:space="preserve">Hydrogen Liquefaction: </w:t>
      </w:r>
    </w:p>
    <w:p w14:paraId="5E8001C8" w14:textId="77777777" w:rsidR="00B134D3" w:rsidRPr="00B364CB" w:rsidRDefault="00B134D3" w:rsidP="002256F6">
      <w:pPr>
        <w:pStyle w:val="MAWPBodytextbullets"/>
        <w:numPr>
          <w:ilvl w:val="1"/>
          <w:numId w:val="24"/>
        </w:numPr>
      </w:pPr>
      <w:r w:rsidRPr="00B364CB">
        <w:t>Development of n</w:t>
      </w:r>
      <w:r w:rsidR="00D337E6" w:rsidRPr="00B364CB">
        <w:t>ew, more energy efficient and lower cost small-scale LH</w:t>
      </w:r>
      <w:r w:rsidR="00D337E6" w:rsidRPr="00216950">
        <w:rPr>
          <w:vertAlign w:val="subscript"/>
        </w:rPr>
        <w:t>2</w:t>
      </w:r>
      <w:r w:rsidR="00D337E6" w:rsidRPr="00B364CB">
        <w:t xml:space="preserve">-production processes.  </w:t>
      </w:r>
    </w:p>
    <w:p w14:paraId="27195A4A" w14:textId="5A3C6F43" w:rsidR="00D337E6" w:rsidRPr="00B364CB" w:rsidRDefault="00B134D3" w:rsidP="002256F6">
      <w:pPr>
        <w:pStyle w:val="MAWPBodytextbullets"/>
        <w:numPr>
          <w:ilvl w:val="1"/>
          <w:numId w:val="24"/>
        </w:numPr>
      </w:pPr>
      <w:r w:rsidRPr="00B364CB">
        <w:t>Design of n</w:t>
      </w:r>
      <w:r w:rsidR="00D337E6" w:rsidRPr="00B364CB">
        <w:t>ew processes able to follow fluctuations in hydrogen demand and variable renewable power inputs.</w:t>
      </w:r>
    </w:p>
    <w:p w14:paraId="0B10BAA2" w14:textId="77777777" w:rsidR="00B134D3" w:rsidRPr="00B364CB" w:rsidRDefault="00AC766C" w:rsidP="00B134D3">
      <w:pPr>
        <w:pStyle w:val="MAWPBodytextbullets"/>
      </w:pPr>
      <w:r w:rsidRPr="00B364CB">
        <w:t xml:space="preserve">Hydrogen carriers: </w:t>
      </w:r>
    </w:p>
    <w:p w14:paraId="4F9E36BA" w14:textId="63B40BAB" w:rsidR="00B134D3" w:rsidRPr="00B364CB" w:rsidRDefault="00B134D3" w:rsidP="002256F6">
      <w:pPr>
        <w:pStyle w:val="MAWPBodytextbullets"/>
        <w:numPr>
          <w:ilvl w:val="1"/>
          <w:numId w:val="24"/>
        </w:numPr>
      </w:pPr>
      <w:r w:rsidRPr="00B364CB">
        <w:t>Development of m</w:t>
      </w:r>
      <w:r w:rsidR="00AC766C" w:rsidRPr="00B364CB">
        <w:t>ost promising concepts from early stage work into working prototype systems, with a focus on new technologies with improved safety, cost and performance</w:t>
      </w:r>
      <w:r w:rsidR="00375A4E" w:rsidRPr="00B364CB">
        <w:t>.</w:t>
      </w:r>
      <w:r w:rsidR="006A7DEE" w:rsidRPr="00B364CB">
        <w:t xml:space="preserve"> </w:t>
      </w:r>
      <w:r w:rsidR="00FA59A0" w:rsidRPr="00FA59A0">
        <w:t>In addition, the possibility of flexible operation of plants in order to profit from favourable low electricity prices should be investigated, in order to bring down costs.</w:t>
      </w:r>
      <w:r w:rsidR="005D5BC5">
        <w:rPr>
          <w:rStyle w:val="FootnoteReference"/>
        </w:rPr>
        <w:footnoteReference w:id="77"/>
      </w:r>
    </w:p>
    <w:p w14:paraId="304B63B7" w14:textId="0778B9B3" w:rsidR="00B134D3" w:rsidRPr="00B364CB" w:rsidRDefault="00B134D3" w:rsidP="002256F6">
      <w:pPr>
        <w:pStyle w:val="MAWPBodytextbullets"/>
        <w:numPr>
          <w:ilvl w:val="1"/>
          <w:numId w:val="24"/>
        </w:numPr>
      </w:pPr>
      <w:r w:rsidRPr="00B364CB">
        <w:t>U</w:t>
      </w:r>
      <w:r w:rsidR="006A7DEE" w:rsidRPr="00B364CB">
        <w:t xml:space="preserve">pscale from the prototype to large-scale plants. </w:t>
      </w:r>
    </w:p>
    <w:p w14:paraId="1CE959E2" w14:textId="5FD1E316" w:rsidR="00AC766C" w:rsidRPr="00B364CB" w:rsidRDefault="006A7DEE" w:rsidP="002256F6">
      <w:pPr>
        <w:pStyle w:val="MAWPBodytextbullets"/>
        <w:numPr>
          <w:ilvl w:val="1"/>
          <w:numId w:val="24"/>
        </w:numPr>
      </w:pPr>
      <w:r w:rsidRPr="00B364CB">
        <w:t xml:space="preserve">Studies on designing and </w:t>
      </w:r>
      <w:r w:rsidR="0082236F" w:rsidRPr="00B364CB">
        <w:t>optimising</w:t>
      </w:r>
      <w:r w:rsidRPr="00B364CB">
        <w:t xml:space="preserve"> large capacity hydrogenation and dehydrogenation plants.</w:t>
      </w:r>
    </w:p>
    <w:p w14:paraId="48AFE8B5" w14:textId="2A29B5C7" w:rsidR="00AC766C" w:rsidRPr="00B364CB" w:rsidRDefault="00F43A04" w:rsidP="00671C59">
      <w:pPr>
        <w:pStyle w:val="MAWPHeadingStyleLevel4"/>
      </w:pPr>
      <w:r w:rsidRPr="00B364CB">
        <w:t>R&amp;D Priorities - Demonstration Actions</w:t>
      </w:r>
    </w:p>
    <w:p w14:paraId="72C75613" w14:textId="717C77E6" w:rsidR="00AC766C" w:rsidRPr="00B364CB" w:rsidRDefault="00835AF2" w:rsidP="006159FD">
      <w:pPr>
        <w:pStyle w:val="MAWPBodytextbullets"/>
      </w:pPr>
      <w:r w:rsidRPr="00B364CB">
        <w:t>Hydrogen L</w:t>
      </w:r>
      <w:r w:rsidR="00AC766C" w:rsidRPr="00B364CB">
        <w:t>iquefaction</w:t>
      </w:r>
      <w:r w:rsidR="00610608" w:rsidRPr="00B364CB">
        <w:t xml:space="preserve"> and micro-liquefaction</w:t>
      </w:r>
      <w:r w:rsidR="00AC766C" w:rsidRPr="00B364CB">
        <w:t xml:space="preserve">: </w:t>
      </w:r>
      <w:r w:rsidR="00E10D3C" w:rsidRPr="00B364CB">
        <w:t>O</w:t>
      </w:r>
      <w:r w:rsidR="00AC766C" w:rsidRPr="00B364CB">
        <w:t xml:space="preserve">ne demonstration project </w:t>
      </w:r>
      <w:r w:rsidR="00E10D3C" w:rsidRPr="00B364CB">
        <w:t xml:space="preserve">may </w:t>
      </w:r>
      <w:r w:rsidR="00AC766C" w:rsidRPr="00B364CB">
        <w:t>be supported, based on the solutions validated in the early stage R&amp;D projects</w:t>
      </w:r>
      <w:r w:rsidR="00375A4E" w:rsidRPr="00B364CB">
        <w:t>;</w:t>
      </w:r>
    </w:p>
    <w:p w14:paraId="643E0652" w14:textId="77777777" w:rsidR="00AC766C" w:rsidRPr="00B364CB" w:rsidRDefault="00AC766C" w:rsidP="006159FD">
      <w:pPr>
        <w:pStyle w:val="MAWPBodytextbullets"/>
      </w:pPr>
      <w:r w:rsidRPr="00B364CB">
        <w:t xml:space="preserve">Hydrogen carriers: Most promising concepts which have been developed will be </w:t>
      </w:r>
      <w:r w:rsidRPr="00B364CB">
        <w:lastRenderedPageBreak/>
        <w:t>deployed in a real-world application.</w:t>
      </w:r>
    </w:p>
    <w:p w14:paraId="3A855586" w14:textId="77777777" w:rsidR="00AC766C" w:rsidRPr="00B364CB" w:rsidRDefault="00AC766C" w:rsidP="00671C59">
      <w:pPr>
        <w:pStyle w:val="MAWPHeadingStyleLevel4"/>
      </w:pPr>
      <w:r w:rsidRPr="00B364CB">
        <w:t>Flagship Actions</w:t>
      </w:r>
    </w:p>
    <w:p w14:paraId="2832039A" w14:textId="218CE7BB" w:rsidR="00AC766C" w:rsidRPr="00B364CB" w:rsidRDefault="00375A4E" w:rsidP="006159FD">
      <w:pPr>
        <w:pStyle w:val="MAWP-Bodytext"/>
      </w:pPr>
      <w:r w:rsidRPr="00B364CB">
        <w:t>F</w:t>
      </w:r>
      <w:r w:rsidR="00AC766C" w:rsidRPr="00B364CB">
        <w:t xml:space="preserve">lagship </w:t>
      </w:r>
      <w:r w:rsidRPr="00B364CB">
        <w:t xml:space="preserve">actions </w:t>
      </w:r>
      <w:r w:rsidR="00AC766C" w:rsidRPr="00B364CB">
        <w:t>may be required once the technology readiness has improved and the costs have been lowered</w:t>
      </w:r>
      <w:r w:rsidRPr="00B364CB">
        <w:t>. T</w:t>
      </w:r>
      <w:r w:rsidR="00AC766C" w:rsidRPr="00B364CB">
        <w:t xml:space="preserve">he </w:t>
      </w:r>
      <w:r w:rsidRPr="00B364CB">
        <w:t xml:space="preserve">different </w:t>
      </w:r>
      <w:r w:rsidR="00AC766C" w:rsidRPr="00B364CB">
        <w:t>hydrogen transport</w:t>
      </w:r>
      <w:r w:rsidRPr="00B364CB">
        <w:t>ation</w:t>
      </w:r>
      <w:r w:rsidR="00AC766C" w:rsidRPr="00B364CB">
        <w:t xml:space="preserve"> options </w:t>
      </w:r>
      <w:r w:rsidRPr="00B364CB">
        <w:t xml:space="preserve">are </w:t>
      </w:r>
      <w:r w:rsidR="00AC766C" w:rsidRPr="00B364CB">
        <w:t xml:space="preserve">expected to compete </w:t>
      </w:r>
      <w:r w:rsidRPr="00B364CB">
        <w:t>for the different end-uses</w:t>
      </w:r>
      <w:r w:rsidR="00AC766C" w:rsidRPr="00B364CB">
        <w:t>.</w:t>
      </w:r>
    </w:p>
    <w:p w14:paraId="2268B3DF" w14:textId="23296663" w:rsidR="001A3927" w:rsidRPr="00B364CB" w:rsidRDefault="001A3927" w:rsidP="001A3927">
      <w:pPr>
        <w:pStyle w:val="MAWPHeadingStyleLevel4"/>
      </w:pPr>
      <w:r w:rsidRPr="00B364CB">
        <w:t xml:space="preserve">Synergies </w:t>
      </w:r>
    </w:p>
    <w:p w14:paraId="76D006A0" w14:textId="53AF6470" w:rsidR="00835AF2" w:rsidRPr="00B364CB" w:rsidRDefault="00835AF2" w:rsidP="00835AF2">
      <w:pPr>
        <w:pStyle w:val="MAWP-Bodytext"/>
      </w:pPr>
      <w:r w:rsidRPr="00B364CB">
        <w:t>Potential synergies can be explored with P4P, which is also envisaging work to be done for Ammonia</w:t>
      </w:r>
      <w:r w:rsidR="00D06745">
        <w:t>, methanol</w:t>
      </w:r>
      <w:r w:rsidRPr="00B364CB">
        <w:t xml:space="preserve"> and LOHCs as hydrogen carriers. See Section </w:t>
      </w:r>
      <w:r w:rsidRPr="00B364CB">
        <w:fldChar w:fldCharType="begin"/>
      </w:r>
      <w:r w:rsidRPr="00B364CB">
        <w:instrText xml:space="preserve"> REF _Ref55249545 \r \h  \* MERGEFORMAT </w:instrText>
      </w:r>
      <w:r w:rsidRPr="00B364CB">
        <w:fldChar w:fldCharType="separate"/>
      </w:r>
      <w:r w:rsidR="00331EBC">
        <w:t>4.1</w:t>
      </w:r>
      <w:r w:rsidRPr="00B364CB">
        <w:fldChar w:fldCharType="end"/>
      </w:r>
      <w:r w:rsidRPr="00B364CB">
        <w:t xml:space="preserve"> </w:t>
      </w:r>
      <w:r w:rsidR="00B77E48">
        <w:t xml:space="preserve">and Annex 7 </w:t>
      </w:r>
      <w:r w:rsidRPr="00B364CB">
        <w:t xml:space="preserve">for more details on the synergies. </w:t>
      </w:r>
    </w:p>
    <w:p w14:paraId="6FACF413" w14:textId="38B34B55" w:rsidR="00AC766C" w:rsidRPr="00B364CB" w:rsidRDefault="00AC766C" w:rsidP="006802D3">
      <w:pPr>
        <w:pStyle w:val="MAWPsubtitle2"/>
      </w:pPr>
      <w:bookmarkStart w:id="82" w:name="_Toc64640554"/>
      <w:bookmarkStart w:id="83" w:name="_Toc93907322"/>
      <w:r w:rsidRPr="00B364CB">
        <w:t>Improving Existing Hydrogen Transport means</w:t>
      </w:r>
      <w:bookmarkEnd w:id="82"/>
      <w:bookmarkEnd w:id="83"/>
    </w:p>
    <w:p w14:paraId="3285A2C0" w14:textId="77777777" w:rsidR="00AC766C" w:rsidRPr="00B364CB" w:rsidRDefault="00AC766C" w:rsidP="00671C59">
      <w:pPr>
        <w:pStyle w:val="MAWPHeadingStyleLevel4"/>
      </w:pPr>
      <w:r w:rsidRPr="00B364CB">
        <w:t>Rationale for Support</w:t>
      </w:r>
    </w:p>
    <w:p w14:paraId="5603E2D0" w14:textId="45C31369" w:rsidR="00AC766C" w:rsidRPr="00B364CB" w:rsidRDefault="002F7C48" w:rsidP="006159FD">
      <w:pPr>
        <w:pStyle w:val="MAWP-Bodytext"/>
      </w:pPr>
      <w:r w:rsidRPr="00B364CB">
        <w:t>Hydrogen</w:t>
      </w:r>
      <w:r w:rsidR="00AC766C" w:rsidRPr="00B364CB">
        <w:t xml:space="preserve"> presents unique challenges for transportation and distribution due to its low volumetric density. If </w:t>
      </w:r>
      <w:r w:rsidRPr="00B364CB">
        <w:t>hydrogen</w:t>
      </w:r>
      <w:r w:rsidR="00AC766C" w:rsidRPr="00B364CB">
        <w:t xml:space="preserve"> is to become a widespread energy carrier, distributed from </w:t>
      </w:r>
      <w:r w:rsidR="0082236F" w:rsidRPr="00B364CB">
        <w:t>centralised</w:t>
      </w:r>
      <w:r w:rsidR="00AC766C" w:rsidRPr="00B364CB">
        <w:t xml:space="preserve"> production facilities in high volumes across large geographic areas, </w:t>
      </w:r>
      <w:r w:rsidR="000E7034" w:rsidRPr="00B364CB">
        <w:t xml:space="preserve">the </w:t>
      </w:r>
      <w:r w:rsidR="005D6035">
        <w:t xml:space="preserve">scale–up of existing transport means as well as the </w:t>
      </w:r>
      <w:r w:rsidR="00AC766C" w:rsidRPr="00B364CB">
        <w:t xml:space="preserve">development of novel transportation methods </w:t>
      </w:r>
      <w:r w:rsidR="0082236F" w:rsidRPr="00B364CB">
        <w:t>optimised</w:t>
      </w:r>
      <w:r w:rsidR="00AC766C" w:rsidRPr="00B364CB">
        <w:t xml:space="preserve"> for </w:t>
      </w:r>
      <w:r w:rsidR="005110BE" w:rsidRPr="00B364CB">
        <w:t>large-scale</w:t>
      </w:r>
      <w:r w:rsidR="00AC766C" w:rsidRPr="00B364CB">
        <w:t xml:space="preserve"> </w:t>
      </w:r>
      <w:r w:rsidRPr="00B364CB">
        <w:t>hydrogen</w:t>
      </w:r>
      <w:r w:rsidR="00AC766C" w:rsidRPr="00B364CB">
        <w:t xml:space="preserve"> delivery is </w:t>
      </w:r>
      <w:r w:rsidR="000E7034" w:rsidRPr="00B364CB">
        <w:t>necessary</w:t>
      </w:r>
      <w:r w:rsidR="00AC766C" w:rsidRPr="00B364CB">
        <w:t>.</w:t>
      </w:r>
    </w:p>
    <w:p w14:paraId="5972ED36" w14:textId="18B96ACD" w:rsidR="002550F3" w:rsidRPr="00B364CB" w:rsidRDefault="002550F3" w:rsidP="006159FD">
      <w:pPr>
        <w:pStyle w:val="MAWP-Bodytext"/>
      </w:pPr>
      <w:r w:rsidRPr="00B364CB">
        <w:t>There are a number of transportation options that can be envisaged:</w:t>
      </w:r>
    </w:p>
    <w:p w14:paraId="6DFB7FD5" w14:textId="1360FEDD" w:rsidR="002550F3" w:rsidRPr="00B364CB" w:rsidRDefault="002550F3" w:rsidP="002550F3">
      <w:pPr>
        <w:pStyle w:val="MAWPBodytextbullets"/>
      </w:pPr>
      <w:r w:rsidRPr="00B364CB">
        <w:t>Transportation via</w:t>
      </w:r>
      <w:r w:rsidR="00216950">
        <w:t xml:space="preserve"> new-built pure hydrogen</w:t>
      </w:r>
      <w:r w:rsidRPr="00B364CB">
        <w:t xml:space="preserve"> pipelines;</w:t>
      </w:r>
    </w:p>
    <w:p w14:paraId="3BD245F0" w14:textId="6DF2472D" w:rsidR="002550F3" w:rsidRPr="00B364CB" w:rsidRDefault="002550F3" w:rsidP="002550F3">
      <w:pPr>
        <w:pStyle w:val="MAWPBodytextbullets"/>
      </w:pPr>
      <w:r w:rsidRPr="00B364CB">
        <w:t>Road transportation of gaseous hydrogen;</w:t>
      </w:r>
    </w:p>
    <w:p w14:paraId="76E513F2" w14:textId="66CEA44D" w:rsidR="002550F3" w:rsidRPr="00B364CB" w:rsidRDefault="002550F3" w:rsidP="002550F3">
      <w:pPr>
        <w:pStyle w:val="MAWPBodytextbullets"/>
      </w:pPr>
      <w:r w:rsidRPr="00B364CB">
        <w:t>Road transportation of liquid hydrogen;</w:t>
      </w:r>
    </w:p>
    <w:p w14:paraId="5A74AA7B" w14:textId="73F98B7A" w:rsidR="002550F3" w:rsidRPr="00B364CB" w:rsidRDefault="002550F3" w:rsidP="002550F3">
      <w:pPr>
        <w:pStyle w:val="MAWPBodytextbullets"/>
      </w:pPr>
      <w:r w:rsidRPr="00B364CB">
        <w:t>Shipping of bulk liquid hydrogen.</w:t>
      </w:r>
    </w:p>
    <w:p w14:paraId="223F2766" w14:textId="77777777" w:rsidR="00F847D3" w:rsidRPr="00B364CB" w:rsidRDefault="00F847D3" w:rsidP="00F847D3">
      <w:pPr>
        <w:pStyle w:val="MAWPHeadingStyleLevel4"/>
      </w:pPr>
      <w:r w:rsidRPr="00B364CB">
        <w:t>State of the Art</w:t>
      </w:r>
    </w:p>
    <w:p w14:paraId="02959494" w14:textId="3F4323EF" w:rsidR="002550F3" w:rsidRPr="00B364CB" w:rsidRDefault="002550F3" w:rsidP="002550F3">
      <w:pPr>
        <w:pStyle w:val="MAWP-Bodytext"/>
      </w:pPr>
      <w:r w:rsidRPr="00B364CB">
        <w:t xml:space="preserve">Pipelines are the leading option for delivering large volumes of hydrogen over land. In Europe there are already </w:t>
      </w:r>
      <w:r w:rsidR="00ED6B04" w:rsidRPr="00B364CB">
        <w:t xml:space="preserve">more than </w:t>
      </w:r>
      <w:r w:rsidRPr="00B364CB">
        <w:t xml:space="preserve">1,000 km dedicated hydrogen pipelines serving the industry, albeit in a very concentrated geographical region. This network should be expanded by new build pure </w:t>
      </w:r>
      <w:r w:rsidR="002F7C48" w:rsidRPr="00B364CB">
        <w:t>hydrogen</w:t>
      </w:r>
      <w:r w:rsidRPr="00B364CB">
        <w:t xml:space="preserve"> pipelines. Development of new high strength materials resistant to </w:t>
      </w:r>
      <w:r w:rsidR="002F7C48" w:rsidRPr="00B364CB">
        <w:t>hydrogen</w:t>
      </w:r>
      <w:r w:rsidRPr="00B364CB">
        <w:t xml:space="preserve"> cracking can increase the pressure and capacity of </w:t>
      </w:r>
      <w:r w:rsidR="002F7C48" w:rsidRPr="00B364CB">
        <w:t>hydrogen</w:t>
      </w:r>
      <w:r w:rsidRPr="00B364CB">
        <w:t xml:space="preserve"> pipelines, decreasing the cost of transportation</w:t>
      </w:r>
      <w:r w:rsidR="00ED6B04" w:rsidRPr="00B364CB">
        <w:t>.</w:t>
      </w:r>
    </w:p>
    <w:p w14:paraId="3F71A6BE" w14:textId="5BFBC30B" w:rsidR="002550F3" w:rsidRPr="00B364CB" w:rsidRDefault="002550F3" w:rsidP="002550F3">
      <w:pPr>
        <w:pStyle w:val="MAWP-Bodytext"/>
      </w:pPr>
      <w:r w:rsidRPr="00B364CB">
        <w:t xml:space="preserve">The main limitation for road transport of gaseous hydrogen is that most tube trailers in operation today deliver small quantities of compressed </w:t>
      </w:r>
      <w:r w:rsidR="002F7C48" w:rsidRPr="00B364CB">
        <w:t>hydrogen</w:t>
      </w:r>
      <w:r w:rsidRPr="00B364CB">
        <w:t xml:space="preserve"> gas (</w:t>
      </w:r>
      <w:r w:rsidR="00772FB3" w:rsidRPr="00B364CB">
        <w:t xml:space="preserve">up to </w:t>
      </w:r>
      <w:r w:rsidRPr="00B364CB">
        <w:t xml:space="preserve">300kg of </w:t>
      </w:r>
      <w:r w:rsidR="002F7C48" w:rsidRPr="00B364CB">
        <w:t>hydrogen</w:t>
      </w:r>
      <w:r w:rsidRPr="00B364CB">
        <w:t xml:space="preserve"> per delivery) at a low pressure </w:t>
      </w:r>
      <w:r w:rsidR="00772FB3" w:rsidRPr="00B364CB">
        <w:t xml:space="preserve">(up to </w:t>
      </w:r>
      <w:r w:rsidRPr="00B364CB">
        <w:t xml:space="preserve">200bar). The development of a tube trailers at increased pressure and capacity will reduce costs per kg </w:t>
      </w:r>
      <w:r w:rsidR="002F7C48" w:rsidRPr="00B364CB">
        <w:t>hydrogen</w:t>
      </w:r>
      <w:r w:rsidRPr="00B364CB">
        <w:t xml:space="preserve"> delivered.  The ambition is the develo</w:t>
      </w:r>
      <w:r w:rsidR="00B76A14" w:rsidRPr="00B364CB">
        <w:t>pment of a 700 bar tube trailer</w:t>
      </w:r>
      <w:r w:rsidRPr="00B364CB">
        <w:t xml:space="preserve"> (c</w:t>
      </w:r>
      <w:r w:rsidR="00772FB3" w:rsidRPr="00B364CB">
        <w:t>apacity</w:t>
      </w:r>
      <w:r w:rsidRPr="00B364CB">
        <w:t xml:space="preserve"> 1,500kg) in the coming years.</w:t>
      </w:r>
    </w:p>
    <w:p w14:paraId="06168A9D" w14:textId="7CCE257F" w:rsidR="002550F3" w:rsidRPr="00B364CB" w:rsidRDefault="002550F3" w:rsidP="002550F3">
      <w:pPr>
        <w:pStyle w:val="MAWP-Bodytext"/>
      </w:pPr>
      <w:r w:rsidRPr="00B364CB">
        <w:t xml:space="preserve">Hydrogen in liquid form is the most conventional means of transporting bulk hydrogen on the road. Hydrogen is stored at -253°C in super-insulated ‘cryogenic’ tankers. However, liquefaction is energy intensive and the storage and transport of the liquid hydrogen results in heat ingress and hydrogen losses due to evaporation. “Boil-off” losses can be reduced by improved insulation concepts or, as illustrated by NASA, by an integrated refrigeration and storage system. </w:t>
      </w:r>
      <w:bookmarkStart w:id="84" w:name="_Hlk44235124"/>
      <w:r w:rsidRPr="00B364CB">
        <w:t xml:space="preserve">It should be noted that most of the boil-off happens during transfer phase (Storage to Trailer, Trailer to local storage), far above the </w:t>
      </w:r>
      <w:r w:rsidR="0082236F" w:rsidRPr="00B364CB">
        <w:t>vaporisation</w:t>
      </w:r>
      <w:r w:rsidRPr="00B364CB">
        <w:t xml:space="preserve"> inside storage tanks</w:t>
      </w:r>
      <w:bookmarkEnd w:id="84"/>
      <w:r w:rsidRPr="00B364CB">
        <w:t>.</w:t>
      </w:r>
    </w:p>
    <w:p w14:paraId="29D06D5F" w14:textId="1407ECDA" w:rsidR="002550F3" w:rsidRPr="00B364CB" w:rsidRDefault="002550F3" w:rsidP="002550F3">
      <w:pPr>
        <w:pStyle w:val="MAWP-Bodytext"/>
      </w:pPr>
      <w:r w:rsidRPr="00B364CB">
        <w:lastRenderedPageBreak/>
        <w:t>Overseas transport and global trading of renewable energy between regions rich and short in energy will become essential at some point in time. Overall, Europe is expected to import renewable energy. Shipping of bulk LH</w:t>
      </w:r>
      <w:r w:rsidRPr="00DE26E0">
        <w:rPr>
          <w:vertAlign w:val="subscript"/>
        </w:rPr>
        <w:t>2</w:t>
      </w:r>
      <w:r w:rsidRPr="00B364CB">
        <w:t xml:space="preserve"> follows in essence the business model of today’s LNG shipping and trading. Kawasaki Heavy Industry has built the first LH</w:t>
      </w:r>
      <w:r w:rsidRPr="00DE26E0">
        <w:rPr>
          <w:vertAlign w:val="subscript"/>
        </w:rPr>
        <w:t>2</w:t>
      </w:r>
      <w:r w:rsidRPr="00B364CB">
        <w:t xml:space="preserve"> vessel</w:t>
      </w:r>
      <w:r w:rsidRPr="00B364CB">
        <w:rPr>
          <w:rStyle w:val="FootnoteReference"/>
        </w:rPr>
        <w:footnoteReference w:id="78"/>
      </w:r>
      <w:r w:rsidRPr="00B364CB">
        <w:t xml:space="preserve"> as a demonstration project. Further technology development is required for the scale-up of LH</w:t>
      </w:r>
      <w:r w:rsidRPr="00DE26E0">
        <w:rPr>
          <w:vertAlign w:val="subscript"/>
        </w:rPr>
        <w:t>2</w:t>
      </w:r>
      <w:r w:rsidRPr="00B364CB">
        <w:t xml:space="preserve"> containment, systems integration and overall ship design.</w:t>
      </w:r>
    </w:p>
    <w:p w14:paraId="5B851738" w14:textId="48BBB79E" w:rsidR="00AC766C" w:rsidRPr="00B364CB" w:rsidRDefault="00AC766C" w:rsidP="00671C59">
      <w:pPr>
        <w:pStyle w:val="MAWPHeadingStyleLevel4"/>
      </w:pPr>
      <w:r w:rsidRPr="00B364CB">
        <w:t>Objectives</w:t>
      </w:r>
    </w:p>
    <w:p w14:paraId="632E0711" w14:textId="494BBA4F" w:rsidR="00AC766C" w:rsidRPr="00B364CB" w:rsidRDefault="00850A5E" w:rsidP="002256F6">
      <w:pPr>
        <w:pStyle w:val="MAWPBodyTextNumbered"/>
        <w:numPr>
          <w:ilvl w:val="0"/>
          <w:numId w:val="28"/>
        </w:numPr>
      </w:pPr>
      <w:r w:rsidRPr="00B364CB">
        <w:t>To i</w:t>
      </w:r>
      <w:r w:rsidR="00EC183F" w:rsidRPr="00B364CB">
        <w:t>ncrease the pressure and capacity for new build</w:t>
      </w:r>
      <w:r w:rsidR="00FE542B">
        <w:t>s of</w:t>
      </w:r>
      <w:r w:rsidR="00EC183F" w:rsidRPr="00B364CB">
        <w:t xml:space="preserve"> 100% hydrogen pipelines while reducing their cost.</w:t>
      </w:r>
    </w:p>
    <w:p w14:paraId="77D205B1" w14:textId="0E56619C" w:rsidR="00AC766C" w:rsidRPr="00B364CB" w:rsidRDefault="00850A5E" w:rsidP="002256F6">
      <w:pPr>
        <w:pStyle w:val="MAWPBodyTextNumbered"/>
        <w:numPr>
          <w:ilvl w:val="0"/>
          <w:numId w:val="28"/>
        </w:numPr>
      </w:pPr>
      <w:r w:rsidRPr="00B364CB">
        <w:t>To r</w:t>
      </w:r>
      <w:r w:rsidR="00EC183F" w:rsidRPr="00B364CB">
        <w:t>educe road transport costs of compressed hydrogen by increasing the capacity of tube trailers.</w:t>
      </w:r>
    </w:p>
    <w:p w14:paraId="5BF800C1" w14:textId="2AB12F27" w:rsidR="00EC183F" w:rsidRPr="00B364CB" w:rsidRDefault="00311045" w:rsidP="002256F6">
      <w:pPr>
        <w:pStyle w:val="MAWPBodyTextNumbered"/>
        <w:numPr>
          <w:ilvl w:val="0"/>
          <w:numId w:val="28"/>
        </w:numPr>
      </w:pPr>
      <w:r w:rsidRPr="00B364CB">
        <w:t>To i</w:t>
      </w:r>
      <w:r w:rsidR="00850A5E" w:rsidRPr="00B364CB">
        <w:t>mprove the efficiency of road transport of liquid hydrogen while reducing costs.</w:t>
      </w:r>
    </w:p>
    <w:p w14:paraId="3280E6FD" w14:textId="21A03E7D" w:rsidR="00AC766C" w:rsidRPr="00B364CB" w:rsidRDefault="00311045" w:rsidP="002256F6">
      <w:pPr>
        <w:pStyle w:val="MAWPBodyTextNumbered"/>
        <w:numPr>
          <w:ilvl w:val="0"/>
          <w:numId w:val="28"/>
        </w:numPr>
      </w:pPr>
      <w:r w:rsidRPr="00B364CB">
        <w:t xml:space="preserve">To </w:t>
      </w:r>
      <w:r w:rsidR="00E331AD" w:rsidRPr="00B364CB">
        <w:t xml:space="preserve">enable </w:t>
      </w:r>
      <w:r w:rsidRPr="00B364CB">
        <w:t xml:space="preserve">scale-up </w:t>
      </w:r>
      <w:r w:rsidR="00E331AD" w:rsidRPr="00B364CB">
        <w:t xml:space="preserve">of </w:t>
      </w:r>
      <w:r w:rsidRPr="00B364CB">
        <w:t>solutions for shipping of bulk liquid hydrogen and support its commercialisation.</w:t>
      </w:r>
    </w:p>
    <w:p w14:paraId="60745CBA" w14:textId="26C27C22" w:rsidR="00CE70C1" w:rsidRPr="00CE70C1" w:rsidRDefault="00CE70C1" w:rsidP="00CE70C1">
      <w:pPr>
        <w:pStyle w:val="MAWP-Bodytext"/>
      </w:pPr>
      <w:r w:rsidRPr="00CE70C1">
        <w:t xml:space="preserve">In order to contribute towards achieving the above objectives, the following areas of research and development appear as good candidates for the support by the </w:t>
      </w:r>
      <w:r w:rsidR="00831A2C">
        <w:t xml:space="preserve">Clean Hydrogen </w:t>
      </w:r>
      <w:r w:rsidRPr="00CE70C1">
        <w:t>JU.</w:t>
      </w:r>
    </w:p>
    <w:p w14:paraId="19DBAB02" w14:textId="3B7E87C7" w:rsidR="00AC766C" w:rsidRPr="00B364CB" w:rsidRDefault="00AC766C" w:rsidP="00671C59">
      <w:pPr>
        <w:pStyle w:val="MAWPHeadingStyleLevel4"/>
      </w:pPr>
      <w:r w:rsidRPr="00B364CB">
        <w:rPr>
          <w:rFonts w:cs="Arial"/>
          <w:szCs w:val="22"/>
        </w:rPr>
        <w:t>R&amp;D Priorities</w:t>
      </w:r>
      <w:r w:rsidR="00671C59" w:rsidRPr="00B364CB">
        <w:rPr>
          <w:rFonts w:cs="Arial"/>
          <w:szCs w:val="22"/>
        </w:rPr>
        <w:t xml:space="preserve"> - </w:t>
      </w:r>
      <w:r w:rsidRPr="00B364CB">
        <w:t>Early Stage Research Actions</w:t>
      </w:r>
    </w:p>
    <w:p w14:paraId="684A82EC" w14:textId="1EEC6FC3" w:rsidR="00B23188" w:rsidRPr="00B364CB" w:rsidRDefault="00AC766C" w:rsidP="00B23188">
      <w:pPr>
        <w:pStyle w:val="MAWPBodytextbullets"/>
      </w:pPr>
      <w:r w:rsidRPr="00B364CB">
        <w:t>Early phase development of new high strength and lightweight materials (both steel and</w:t>
      </w:r>
      <w:r w:rsidR="00FD77A9" w:rsidRPr="00B364CB">
        <w:t xml:space="preserve"> fibre reinforced polymers</w:t>
      </w:r>
      <w:r w:rsidRPr="00B364CB">
        <w:t xml:space="preserve">) resistant to pure </w:t>
      </w:r>
      <w:r w:rsidR="002F7C48" w:rsidRPr="00B364CB">
        <w:t>hydrogen</w:t>
      </w:r>
      <w:r w:rsidR="00B23188" w:rsidRPr="00B364CB">
        <w:t>;</w:t>
      </w:r>
      <w:r w:rsidRPr="00B364CB">
        <w:t xml:space="preserve"> </w:t>
      </w:r>
    </w:p>
    <w:p w14:paraId="6475BE08" w14:textId="706D1956" w:rsidR="00B23188" w:rsidRPr="00B364CB" w:rsidRDefault="00B23188" w:rsidP="00B23188">
      <w:pPr>
        <w:pStyle w:val="MAWPBodytextbullets"/>
      </w:pPr>
      <w:r w:rsidRPr="00B364CB">
        <w:t>W</w:t>
      </w:r>
      <w:r w:rsidR="00AC766C" w:rsidRPr="00B364CB">
        <w:t xml:space="preserve">elding processes consistent with 100% </w:t>
      </w:r>
      <w:r w:rsidR="002F7C48" w:rsidRPr="00B364CB">
        <w:t>hydrogen</w:t>
      </w:r>
      <w:r w:rsidR="00AC766C" w:rsidRPr="00B364CB">
        <w:t xml:space="preserve"> content</w:t>
      </w:r>
      <w:r w:rsidRPr="00B364CB">
        <w:t>;</w:t>
      </w:r>
      <w:r w:rsidR="00AC766C" w:rsidRPr="00B364CB">
        <w:t xml:space="preserve"> </w:t>
      </w:r>
    </w:p>
    <w:p w14:paraId="3C09E6AF" w14:textId="10D90368" w:rsidR="00610608" w:rsidRPr="00B364CB" w:rsidRDefault="00B23188" w:rsidP="00B23188">
      <w:pPr>
        <w:pStyle w:val="MAWPBodytextbullets"/>
      </w:pPr>
      <w:r w:rsidRPr="00B364CB">
        <w:t>R</w:t>
      </w:r>
      <w:r w:rsidR="00AC766C" w:rsidRPr="00B364CB">
        <w:t xml:space="preserve">esearch into </w:t>
      </w:r>
      <w:r w:rsidR="002F7C48" w:rsidRPr="00B364CB">
        <w:t>hydrogen</w:t>
      </w:r>
      <w:r w:rsidR="00AC766C" w:rsidRPr="00B364CB">
        <w:t xml:space="preserve"> embrittlement / permeation</w:t>
      </w:r>
      <w:r w:rsidRPr="00B364CB">
        <w:t>;</w:t>
      </w:r>
    </w:p>
    <w:p w14:paraId="4994B1AC" w14:textId="511C103A" w:rsidR="00610608" w:rsidRPr="00B364CB" w:rsidRDefault="00B23188" w:rsidP="00B23188">
      <w:pPr>
        <w:pStyle w:val="MAWPBodytextbullets"/>
      </w:pPr>
      <w:r w:rsidRPr="00B364CB">
        <w:t>O</w:t>
      </w:r>
      <w:r w:rsidR="00610608" w:rsidRPr="00B364CB">
        <w:t xml:space="preserve">dorisation of </w:t>
      </w:r>
      <w:r w:rsidRPr="00B364CB">
        <w:t xml:space="preserve">hydrogen in dedicated pipelines, i.e. </w:t>
      </w:r>
      <w:r w:rsidR="00610608" w:rsidRPr="00B364CB">
        <w:t xml:space="preserve">chemical additives </w:t>
      </w:r>
      <w:r w:rsidRPr="00B364CB">
        <w:t>acting</w:t>
      </w:r>
      <w:r w:rsidR="00610608" w:rsidRPr="00B364CB">
        <w:t xml:space="preserve"> as odorants that </w:t>
      </w:r>
      <w:r w:rsidR="006318B1">
        <w:t>minimise the negative effects for the</w:t>
      </w:r>
      <w:r w:rsidR="00610608" w:rsidRPr="00B364CB">
        <w:t xml:space="preserve"> use in fuel cells. </w:t>
      </w:r>
    </w:p>
    <w:p w14:paraId="17FF30B1" w14:textId="7C3F43A3" w:rsidR="00AC766C" w:rsidRPr="00B364CB" w:rsidRDefault="00671C59" w:rsidP="004A1B65">
      <w:pPr>
        <w:pStyle w:val="MAWPHeadingStyleLevel4"/>
      </w:pPr>
      <w:r w:rsidRPr="00B364CB">
        <w:rPr>
          <w:rFonts w:cs="Arial"/>
          <w:szCs w:val="22"/>
        </w:rPr>
        <w:t xml:space="preserve">R&amp;D </w:t>
      </w:r>
      <w:r w:rsidRPr="00B364CB">
        <w:t>Priorities</w:t>
      </w:r>
      <w:r w:rsidRPr="00B364CB">
        <w:rPr>
          <w:rFonts w:cs="Arial"/>
          <w:szCs w:val="22"/>
        </w:rPr>
        <w:t xml:space="preserve"> - </w:t>
      </w:r>
      <w:r w:rsidR="00AC766C" w:rsidRPr="00B364CB">
        <w:t xml:space="preserve">Development Research Actions </w:t>
      </w:r>
    </w:p>
    <w:p w14:paraId="5A05F972" w14:textId="6E791566" w:rsidR="00AC766C" w:rsidRPr="00B364CB" w:rsidRDefault="00AC766C" w:rsidP="00761165">
      <w:pPr>
        <w:pStyle w:val="MAWPBodytextbullets"/>
      </w:pPr>
      <w:r w:rsidRPr="00B364CB">
        <w:t>Development of very high capacity pressurised tube trailer concepts (e.g. at 700</w:t>
      </w:r>
      <w:r w:rsidR="00FE5C32" w:rsidRPr="00B364CB">
        <w:t xml:space="preserve"> </w:t>
      </w:r>
      <w:r w:rsidRPr="00B364CB">
        <w:t>bar)</w:t>
      </w:r>
      <w:r w:rsidR="00B20ADF" w:rsidRPr="00B364CB">
        <w:t>;</w:t>
      </w:r>
    </w:p>
    <w:p w14:paraId="323F6800" w14:textId="1EA77178" w:rsidR="00AC766C" w:rsidRPr="00B364CB" w:rsidRDefault="00B23188" w:rsidP="00761165">
      <w:pPr>
        <w:pStyle w:val="MAWPBodytextbullets"/>
      </w:pPr>
      <w:r w:rsidRPr="00B364CB">
        <w:t>Optimisation of</w:t>
      </w:r>
      <w:r w:rsidR="00AC766C" w:rsidRPr="00B364CB">
        <w:t xml:space="preserve"> transport and storage of liquid hydrogen </w:t>
      </w:r>
      <w:r w:rsidR="00196A85" w:rsidRPr="00B364CB">
        <w:t xml:space="preserve">in </w:t>
      </w:r>
      <w:r w:rsidRPr="00B364CB">
        <w:t xml:space="preserve">road transport, minimising / eliminating </w:t>
      </w:r>
      <w:r w:rsidR="002F7C48" w:rsidRPr="00B364CB">
        <w:t>hydrogen</w:t>
      </w:r>
      <w:r w:rsidR="00AC766C" w:rsidRPr="00B364CB">
        <w:t xml:space="preserve"> losses by evaporation. Potential areas for development are improved insulation concepts and the implementation of an integrated r</w:t>
      </w:r>
      <w:r w:rsidR="00412868" w:rsidRPr="00B364CB">
        <w:t>efrigeration and storage system</w:t>
      </w:r>
      <w:r w:rsidR="00B20ADF" w:rsidRPr="00B364CB">
        <w:t>;</w:t>
      </w:r>
    </w:p>
    <w:p w14:paraId="45859CD2" w14:textId="36ACFDEA" w:rsidR="00AC766C" w:rsidRPr="000B2D05" w:rsidRDefault="006B0A56" w:rsidP="00761165">
      <w:pPr>
        <w:pStyle w:val="MAWPBodytextbullets"/>
      </w:pPr>
      <w:r w:rsidRPr="00B364CB">
        <w:t>D</w:t>
      </w:r>
      <w:r w:rsidR="00AC766C" w:rsidRPr="00B364CB">
        <w:t>evelopment of new thermal insulation concepts and the</w:t>
      </w:r>
      <w:r w:rsidRPr="00B364CB">
        <w:t>ir</w:t>
      </w:r>
      <w:r w:rsidR="00AC766C" w:rsidRPr="00B364CB">
        <w:t xml:space="preserve"> integration with the containment tank </w:t>
      </w:r>
      <w:r w:rsidRPr="00B364CB">
        <w:t>for the scale-up and cost reduction of shipping of bulk LH</w:t>
      </w:r>
      <w:r w:rsidRPr="000B2D05">
        <w:rPr>
          <w:vertAlign w:val="subscript"/>
        </w:rPr>
        <w:t>2</w:t>
      </w:r>
      <w:r w:rsidRPr="00B364CB">
        <w:t>;</w:t>
      </w:r>
    </w:p>
    <w:p w14:paraId="2E228707" w14:textId="381D3B9E" w:rsidR="00FD77A9" w:rsidRPr="00CA2AF9" w:rsidRDefault="00FD77A9" w:rsidP="00761165">
      <w:pPr>
        <w:pStyle w:val="MAWPBodytextbullets"/>
      </w:pPr>
      <w:r w:rsidRPr="00CA2AF9">
        <w:t xml:space="preserve">Development of dedicated hydrogen terminals and/or the co-existence of LNG and </w:t>
      </w:r>
      <w:r w:rsidR="002F7C48" w:rsidRPr="00CA2AF9">
        <w:t>hydrogen</w:t>
      </w:r>
      <w:r w:rsidRPr="00CA2AF9">
        <w:t xml:space="preserve"> terminals</w:t>
      </w:r>
      <w:r w:rsidR="00AB1671" w:rsidRPr="00CA2AF9">
        <w:t xml:space="preserve">, including </w:t>
      </w:r>
      <w:r w:rsidR="00CA2AF9">
        <w:t xml:space="preserve">investigating and developing methods for the </w:t>
      </w:r>
      <w:r w:rsidR="00AB1671" w:rsidRPr="00CA2AF9">
        <w:t>adaptation of LNG terminals towards H</w:t>
      </w:r>
      <w:r w:rsidR="00AB1671" w:rsidRPr="000B2D05">
        <w:rPr>
          <w:vertAlign w:val="subscript"/>
        </w:rPr>
        <w:t>2</w:t>
      </w:r>
      <w:r w:rsidR="00AB1671" w:rsidRPr="00CA2AF9">
        <w:t>.</w:t>
      </w:r>
    </w:p>
    <w:p w14:paraId="31DDEF71" w14:textId="75F3495A" w:rsidR="00AC766C" w:rsidRPr="00B364CB" w:rsidRDefault="00F43A04" w:rsidP="004A1B65">
      <w:pPr>
        <w:pStyle w:val="MAWPHeadingStyleLevel4"/>
      </w:pPr>
      <w:r w:rsidRPr="00B364CB">
        <w:t>R&amp;D Priorities - Demonstration Actions</w:t>
      </w:r>
    </w:p>
    <w:p w14:paraId="33755F37" w14:textId="1E46E05E" w:rsidR="00AC766C" w:rsidRPr="00B364CB" w:rsidRDefault="00AC766C" w:rsidP="00761165">
      <w:pPr>
        <w:pStyle w:val="MAWP-Bodytext"/>
      </w:pPr>
      <w:r w:rsidRPr="00B364CB">
        <w:t xml:space="preserve">A study that considers multiple </w:t>
      </w:r>
      <w:r w:rsidR="002F7C48" w:rsidRPr="00B364CB">
        <w:t>hydrogen</w:t>
      </w:r>
      <w:r w:rsidRPr="00B364CB">
        <w:t xml:space="preserve"> transportation methods </w:t>
      </w:r>
      <w:r w:rsidR="00C41C0F" w:rsidRPr="00B364CB">
        <w:t xml:space="preserve">may be </w:t>
      </w:r>
      <w:r w:rsidRPr="00B364CB">
        <w:t>required</w:t>
      </w:r>
      <w:r w:rsidR="00C41C0F" w:rsidRPr="00B364CB">
        <w:t xml:space="preserve"> before any actions</w:t>
      </w:r>
      <w:r w:rsidRPr="00B364CB">
        <w:t xml:space="preserve">. The key objective of the study </w:t>
      </w:r>
      <w:r w:rsidR="002C3230" w:rsidRPr="00B364CB">
        <w:t>would be</w:t>
      </w:r>
      <w:r w:rsidRPr="00B364CB">
        <w:t xml:space="preserve"> the techno-economic comparison between the different transportation methods, integration and </w:t>
      </w:r>
      <w:r w:rsidR="002C3230" w:rsidRPr="00B364CB">
        <w:t xml:space="preserve">the </w:t>
      </w:r>
      <w:r w:rsidRPr="00B364CB">
        <w:t xml:space="preserve">optimisation of the hydrogen logistics as </w:t>
      </w:r>
      <w:r w:rsidRPr="00B364CB">
        <w:lastRenderedPageBreak/>
        <w:t>a whole.</w:t>
      </w:r>
    </w:p>
    <w:p w14:paraId="38D29281" w14:textId="77777777" w:rsidR="00AC766C" w:rsidRPr="00B364CB" w:rsidRDefault="00AC766C" w:rsidP="004A1B65">
      <w:pPr>
        <w:pStyle w:val="MAWPHeadingStyleLevel4"/>
      </w:pPr>
      <w:r w:rsidRPr="00B364CB">
        <w:t>Flagship Actions</w:t>
      </w:r>
    </w:p>
    <w:p w14:paraId="266B6CFD" w14:textId="68D88526" w:rsidR="006B0A56" w:rsidRPr="00B364CB" w:rsidRDefault="00AC766C" w:rsidP="00761165">
      <w:pPr>
        <w:pStyle w:val="MAWP-Bodytext"/>
      </w:pPr>
      <w:r w:rsidRPr="00B364CB">
        <w:t xml:space="preserve">Growing markets for hydrogen and hydrogen applications should provide the pull needed to reach volumes for distribution methods. </w:t>
      </w:r>
    </w:p>
    <w:p w14:paraId="3BA33BE5" w14:textId="71E9839F" w:rsidR="00AC766C" w:rsidRPr="00B364CB" w:rsidRDefault="00AC766C" w:rsidP="00761165">
      <w:pPr>
        <w:pStyle w:val="MAWP-Bodytext"/>
      </w:pPr>
      <w:r w:rsidRPr="00B364CB">
        <w:t xml:space="preserve">No funding from the </w:t>
      </w:r>
      <w:r w:rsidR="00B20ADF" w:rsidRPr="00B364CB">
        <w:t xml:space="preserve">Programme </w:t>
      </w:r>
      <w:r w:rsidRPr="00B364CB">
        <w:t xml:space="preserve">is </w:t>
      </w:r>
      <w:r w:rsidR="00B20ADF" w:rsidRPr="00B364CB">
        <w:t>considered for these actions</w:t>
      </w:r>
      <w:r w:rsidRPr="00B364CB">
        <w:t>.</w:t>
      </w:r>
    </w:p>
    <w:p w14:paraId="35819AD5" w14:textId="1E6DC9B8" w:rsidR="001A3927" w:rsidRPr="00B364CB" w:rsidRDefault="00F847D3" w:rsidP="004A1B65">
      <w:pPr>
        <w:pStyle w:val="MAWPHeadingStyleLevel4"/>
      </w:pPr>
      <w:r w:rsidRPr="00B364CB">
        <w:t>Synergies</w:t>
      </w:r>
    </w:p>
    <w:p w14:paraId="22AC7BEE" w14:textId="6CED80AD" w:rsidR="00F847D3" w:rsidRPr="00B364CB" w:rsidRDefault="006B0A56" w:rsidP="00F847D3">
      <w:pPr>
        <w:pStyle w:val="MAWP-Bodytext"/>
      </w:pPr>
      <w:r w:rsidRPr="00B364CB">
        <w:t>No synergies have been identified.</w:t>
      </w:r>
    </w:p>
    <w:p w14:paraId="01235DE8" w14:textId="1D5BC50A" w:rsidR="00AC766C" w:rsidRPr="00B364CB" w:rsidRDefault="00AC766C" w:rsidP="006802D3">
      <w:pPr>
        <w:pStyle w:val="MAWPsubtitle2"/>
      </w:pPr>
      <w:bookmarkStart w:id="85" w:name="_Toc64640555"/>
      <w:bookmarkStart w:id="86" w:name="_Toc93907323"/>
      <w:r w:rsidRPr="00B364CB">
        <w:t>Compression, Purification and Metering Solutions</w:t>
      </w:r>
      <w:bookmarkEnd w:id="85"/>
      <w:bookmarkEnd w:id="86"/>
    </w:p>
    <w:p w14:paraId="6A3A2740" w14:textId="14DDF27A" w:rsidR="00AC766C" w:rsidRPr="00B364CB" w:rsidRDefault="00AC766C" w:rsidP="004A1B65">
      <w:pPr>
        <w:pStyle w:val="MAWPHeadingStyleLevel4"/>
      </w:pPr>
      <w:r w:rsidRPr="00B364CB">
        <w:t>Rationale for support</w:t>
      </w:r>
      <w:r w:rsidR="00373FB8" w:rsidRPr="00B364CB">
        <w:t xml:space="preserve"> </w:t>
      </w:r>
    </w:p>
    <w:p w14:paraId="3B6A56BD" w14:textId="4356AF05" w:rsidR="00AC766C" w:rsidRPr="00B364CB" w:rsidRDefault="00AC766C" w:rsidP="004A1B65">
      <w:pPr>
        <w:pStyle w:val="MAWP-Bodytext"/>
        <w:rPr>
          <w:i/>
        </w:rPr>
      </w:pPr>
      <w:r w:rsidRPr="00B364CB">
        <w:t xml:space="preserve">The ability to move, measure and compress hydrogen will be an important part of the transition to using hydrogen more widely in the energy system. Today, a limited range </w:t>
      </w:r>
      <w:r w:rsidR="00DB6A12" w:rsidRPr="00B364CB">
        <w:t>of auxiliary</w:t>
      </w:r>
      <w:r w:rsidR="006E58C4" w:rsidRPr="00B364CB">
        <w:t xml:space="preserve"> equipment exist</w:t>
      </w:r>
      <w:r w:rsidR="00850A5E" w:rsidRPr="00B364CB">
        <w:t>s</w:t>
      </w:r>
      <w:r w:rsidRPr="00B364CB">
        <w:t xml:space="preserve"> </w:t>
      </w:r>
      <w:r w:rsidR="006E58C4" w:rsidRPr="00B364CB">
        <w:t>for the distribution of hydrogen</w:t>
      </w:r>
      <w:r w:rsidRPr="00B364CB">
        <w:t>, and there is considerable scope for optimisation of the efficiency and cost of these components. More specifically:</w:t>
      </w:r>
    </w:p>
    <w:p w14:paraId="642609DF" w14:textId="13596197" w:rsidR="00AC766C" w:rsidRPr="00B364CB" w:rsidRDefault="00AC766C" w:rsidP="00761165">
      <w:pPr>
        <w:pStyle w:val="MAWPBodytextbullets"/>
      </w:pPr>
      <w:r w:rsidRPr="00B364CB">
        <w:t xml:space="preserve">Compression – </w:t>
      </w:r>
      <w:r w:rsidR="002B75C7" w:rsidRPr="00B364CB">
        <w:t xml:space="preserve">There is wide range of applications within the Hydrogen Economy that are requiring purpose built hydrogen compressors. As an example, </w:t>
      </w:r>
      <w:r w:rsidRPr="00B364CB">
        <w:t xml:space="preserve">for the transport sector hydrogen needs to be pressurised above 700 bar to enable refuelling of </w:t>
      </w:r>
      <w:r w:rsidR="00EC183F" w:rsidRPr="00B364CB">
        <w:t>high-pressure</w:t>
      </w:r>
      <w:r w:rsidRPr="00B364CB">
        <w:t xml:space="preserve"> storage tanks and</w:t>
      </w:r>
      <w:r w:rsidR="003674C6">
        <w:t xml:space="preserve"> in the range of 1</w:t>
      </w:r>
      <w:r w:rsidRPr="00B364CB">
        <w:t>00 bar for injecting in pipelines. Furthermore, hydrogen refuelling stations have intermittent usage which means compressors are subject to stop-start loads. There is a need to create compressors</w:t>
      </w:r>
      <w:r w:rsidR="00C13934" w:rsidRPr="00B364CB">
        <w:t xml:space="preserve"> designed for purpose</w:t>
      </w:r>
      <w:r w:rsidRPr="00B364CB">
        <w:t xml:space="preserve"> with</w:t>
      </w:r>
      <w:r w:rsidR="00610608" w:rsidRPr="00B364CB">
        <w:t xml:space="preserve"> better reliability,</w:t>
      </w:r>
      <w:r w:rsidRPr="00B364CB">
        <w:t xml:space="preserve"> lower cost and high</w:t>
      </w:r>
      <w:r w:rsidR="00610608" w:rsidRPr="00B364CB">
        <w:t>er</w:t>
      </w:r>
      <w:r w:rsidRPr="00B364CB">
        <w:t xml:space="preserve"> efficiency</w:t>
      </w:r>
      <w:r w:rsidR="00610608" w:rsidRPr="00B364CB">
        <w:t xml:space="preserve"> than today</w:t>
      </w:r>
      <w:r w:rsidRPr="00B364CB">
        <w:t xml:space="preserve">.  </w:t>
      </w:r>
    </w:p>
    <w:p w14:paraId="4C2801B9" w14:textId="77F1D650" w:rsidR="00AC766C" w:rsidRPr="00B364CB" w:rsidRDefault="00AC766C" w:rsidP="00761165">
      <w:pPr>
        <w:pStyle w:val="MAWPBodytextbullets"/>
      </w:pPr>
      <w:r w:rsidRPr="00B364CB">
        <w:t>Metering, piping and instrumentation – the accuracy of current hydrogen meters needs to be sized up and improved. There is a need for more accurate, larger and cheaper meters</w:t>
      </w:r>
      <w:r w:rsidR="001924F4">
        <w:t>,</w:t>
      </w:r>
      <w:r w:rsidRPr="00B364CB">
        <w:t xml:space="preserve"> sensors with an accuracy sufficient fo</w:t>
      </w:r>
      <w:r w:rsidR="00DB6A12" w:rsidRPr="00B364CB">
        <w:t>r weights</w:t>
      </w:r>
      <w:r w:rsidR="001924F4">
        <w:t>,</w:t>
      </w:r>
      <w:r w:rsidR="00DB6A12" w:rsidRPr="00B364CB">
        <w:t xml:space="preserve"> </w:t>
      </w:r>
      <w:r w:rsidR="001924F4">
        <w:t>m</w:t>
      </w:r>
      <w:r w:rsidR="00DB6A12" w:rsidRPr="00B364CB">
        <w:t>easure standard</w:t>
      </w:r>
      <w:r w:rsidR="00271ADF" w:rsidRPr="00B364CB">
        <w:t>s</w:t>
      </w:r>
      <w:r w:rsidRPr="00B364CB">
        <w:t xml:space="preserve"> and suitable piping, valves, spare parts compatible with </w:t>
      </w:r>
      <w:r w:rsidR="002F7C48" w:rsidRPr="00B364CB">
        <w:t>hydrogen</w:t>
      </w:r>
      <w:r w:rsidRPr="00B364CB">
        <w:t xml:space="preserve"> or mixture blend, as well as safety aspects and communication protocols. </w:t>
      </w:r>
    </w:p>
    <w:p w14:paraId="1014A16F" w14:textId="04FBF82B" w:rsidR="00AC766C" w:rsidRPr="00B364CB" w:rsidRDefault="00AC766C" w:rsidP="00761165">
      <w:pPr>
        <w:pStyle w:val="MAWPBodytextbullets"/>
      </w:pPr>
      <w:r w:rsidRPr="00B364CB">
        <w:t xml:space="preserve">Purification and separation – hydrogen for use in low temperature </w:t>
      </w:r>
      <w:r w:rsidR="005B2D47">
        <w:t xml:space="preserve">PEM </w:t>
      </w:r>
      <w:r w:rsidRPr="00B364CB">
        <w:t>fuel cells requires a very high purity, as much as 99.999%. Current purification techniques are costly and inefficient, novel methods to purify hydrogen at lower cost would improve the overall supply chain. The separation of hydrogen from other gases will be valuable for a range of future industrial uses (e.g. separation from ammonia, methane or CO</w:t>
      </w:r>
      <w:r w:rsidRPr="00B364CB">
        <w:rPr>
          <w:vertAlign w:val="subscript"/>
        </w:rPr>
        <w:t>2</w:t>
      </w:r>
      <w:r w:rsidRPr="00B364CB">
        <w:t xml:space="preserve"> streams</w:t>
      </w:r>
      <w:r w:rsidR="00610608" w:rsidRPr="00B364CB">
        <w:t xml:space="preserve">, particularly when </w:t>
      </w:r>
      <w:r w:rsidR="002F7C48" w:rsidRPr="00B364CB">
        <w:t>hydrogen</w:t>
      </w:r>
      <w:r w:rsidR="00610608" w:rsidRPr="00B364CB">
        <w:t xml:space="preserve"> is present at low concentrations</w:t>
      </w:r>
      <w:r w:rsidRPr="00B364CB">
        <w:t>). A range of new membrane, electrochemical and thermochemical techniques are being developed to improve processes for both purification and separation of hydrogen from different gas streams.</w:t>
      </w:r>
      <w:r w:rsidR="00FE5C32" w:rsidRPr="00B364CB">
        <w:t xml:space="preserve"> One of the priorities is the separation of hydrogen from </w:t>
      </w:r>
      <w:r w:rsidR="002F7C48" w:rsidRPr="00B364CB">
        <w:t xml:space="preserve">hydrogen </w:t>
      </w:r>
      <w:r w:rsidR="00980CFF">
        <w:t>and</w:t>
      </w:r>
      <w:r w:rsidR="002F7C48" w:rsidRPr="00B364CB">
        <w:t xml:space="preserve"> </w:t>
      </w:r>
      <w:r w:rsidR="00FE5C32" w:rsidRPr="00B364CB">
        <w:t>natural gas blends with low hydrogen content (up to 20%).</w:t>
      </w:r>
      <w:r w:rsidR="003E4572" w:rsidRPr="00B364CB">
        <w:t xml:space="preserve"> </w:t>
      </w:r>
    </w:p>
    <w:p w14:paraId="6FF1ECDF" w14:textId="4AD0D605" w:rsidR="00C63E21" w:rsidRDefault="00C63E21" w:rsidP="006224E4">
      <w:pPr>
        <w:pStyle w:val="MAWPHeadingStyleLevel4"/>
      </w:pPr>
      <w:r>
        <w:t>State of the Art</w:t>
      </w:r>
    </w:p>
    <w:p w14:paraId="7B5B5CA0" w14:textId="51972626" w:rsidR="00C63E21" w:rsidRPr="00B364CB" w:rsidRDefault="00C63E21" w:rsidP="00C63E21">
      <w:pPr>
        <w:pStyle w:val="MAWPBodytextbullets"/>
        <w:numPr>
          <w:ilvl w:val="0"/>
          <w:numId w:val="0"/>
        </w:numPr>
      </w:pPr>
      <w:r w:rsidRPr="00B364CB">
        <w:t>Currently</w:t>
      </w:r>
      <w:r w:rsidR="004A0C4D">
        <w:t>,</w:t>
      </w:r>
      <w:r w:rsidRPr="00B364CB">
        <w:t xml:space="preserve"> hydrogen compressors may be available, but are the main source of failure in hydrogen stations. Novel techniques are only available at lab scale (metal hydride, electrochemical). Several options are under development including liquid piston compressor, metal hydride-based compression and electrochemical compression. Innovative compression technologies have been supported already with projects such as H2REF, COSMHYC and COSMHYC XL that have focused on developing solutions tailored towards Hydrogen Refuelling </w:t>
      </w:r>
      <w:r w:rsidRPr="00B364CB">
        <w:lastRenderedPageBreak/>
        <w:t>Stations</w:t>
      </w:r>
      <w:r w:rsidRPr="00B364CB">
        <w:rPr>
          <w:rStyle w:val="FootnoteReference"/>
        </w:rPr>
        <w:footnoteReference w:id="79"/>
      </w:r>
      <w:r w:rsidR="00032608">
        <w:t xml:space="preserve">. </w:t>
      </w:r>
      <w:r w:rsidR="00032608" w:rsidRPr="00FD2890">
        <w:t>Large scale turbo compressors and their respective drivetrains are still in early phase evaluations</w:t>
      </w:r>
      <w:r w:rsidR="001924F4">
        <w:t>,</w:t>
      </w:r>
      <w:r w:rsidR="00032608" w:rsidRPr="00FD2890">
        <w:t xml:space="preserve"> but </w:t>
      </w:r>
      <w:r w:rsidR="001924F4">
        <w:t>will be</w:t>
      </w:r>
      <w:r w:rsidR="00032608" w:rsidRPr="00FD2890">
        <w:t xml:space="preserve"> required for </w:t>
      </w:r>
      <w:r w:rsidR="001924F4">
        <w:t>the</w:t>
      </w:r>
      <w:r w:rsidR="00032608" w:rsidRPr="00FD2890">
        <w:t xml:space="preserve"> future gas grid</w:t>
      </w:r>
      <w:r w:rsidR="001924F4">
        <w:t xml:space="preserve">, when </w:t>
      </w:r>
      <w:r w:rsidR="00032608" w:rsidRPr="00FD2890">
        <w:t xml:space="preserve">hydrogen </w:t>
      </w:r>
      <w:r w:rsidR="001924F4">
        <w:t xml:space="preserve">will </w:t>
      </w:r>
      <w:r w:rsidR="00032608" w:rsidRPr="00FD2890">
        <w:t>need to be distributed.</w:t>
      </w:r>
    </w:p>
    <w:p w14:paraId="598E06E0" w14:textId="68CD1B79" w:rsidR="00C63E21" w:rsidRPr="00B364CB" w:rsidRDefault="00C63E21" w:rsidP="00C63E21">
      <w:pPr>
        <w:pStyle w:val="MAWPBodytextbullets"/>
        <w:numPr>
          <w:ilvl w:val="0"/>
          <w:numId w:val="0"/>
        </w:numPr>
      </w:pPr>
      <w:r w:rsidRPr="00B364CB">
        <w:t>European manufacturers have now developed systems with the required accuracy but work is still required to produce cheaper systems and monitoring protocols. On the topic of metering the FCH 2 JU has already conducted some work through the procurement of a study for the development of a Metering Protocol for HRS.</w:t>
      </w:r>
      <w:r w:rsidRPr="00B364CB">
        <w:rPr>
          <w:rStyle w:val="FootnoteReference"/>
        </w:rPr>
        <w:footnoteReference w:id="80"/>
      </w:r>
      <w:r>
        <w:t xml:space="preserve"> Still at this point however</w:t>
      </w:r>
      <w:r w:rsidR="002C0C29">
        <w:t>,</w:t>
      </w:r>
      <w:r w:rsidR="00C37056">
        <w:t xml:space="preserve"> current</w:t>
      </w:r>
      <w:r>
        <w:t xml:space="preserve"> metering accuracy prevent</w:t>
      </w:r>
      <w:r w:rsidR="00454F3E">
        <w:t>s</w:t>
      </w:r>
      <w:r>
        <w:t xml:space="preserve"> approved custody transfer for hydrogen in filling stations.</w:t>
      </w:r>
    </w:p>
    <w:p w14:paraId="60C4C844" w14:textId="50B5BEDE" w:rsidR="00C63E21" w:rsidRPr="00B364CB" w:rsidRDefault="00C63E21" w:rsidP="00C63E21">
      <w:pPr>
        <w:pStyle w:val="MAWP-Bodytext"/>
      </w:pPr>
      <w:r>
        <w:t>P</w:t>
      </w:r>
      <w:r w:rsidRPr="00B364CB">
        <w:t xml:space="preserve">urification is based </w:t>
      </w:r>
      <w:r>
        <w:t xml:space="preserve">at the moment </w:t>
      </w:r>
      <w:r w:rsidRPr="00B364CB">
        <w:t>on energy intensive pressure swing absorption (PSA). Membrane-based purification technologies improving efficiency of hydrogen production from hydrocarbons and intermediate carriers (e.g. ammonia) are being developed and first field tests start to appear.</w:t>
      </w:r>
      <w:r>
        <w:t xml:space="preserve"> </w:t>
      </w:r>
      <w:r w:rsidRPr="00B364CB">
        <w:t>Some work has been done already through FCH 2 JU projects HyGrid and</w:t>
      </w:r>
      <w:r w:rsidR="001924F4">
        <w:t xml:space="preserve"> </w:t>
      </w:r>
      <w:r w:rsidRPr="00B364CB">
        <w:t>MEMPHYS that have been developing proof-of-concepts for membrane and electrochemical separation and purification systems.</w:t>
      </w:r>
      <w:r w:rsidRPr="00B364CB">
        <w:rPr>
          <w:rStyle w:val="FootnoteReference"/>
        </w:rPr>
        <w:footnoteReference w:id="81"/>
      </w:r>
      <w:r w:rsidRPr="001924F4">
        <w:rPr>
          <w:vertAlign w:val="superscript"/>
        </w:rPr>
        <w:t>,</w:t>
      </w:r>
      <w:r w:rsidRPr="00B364CB">
        <w:rPr>
          <w:rStyle w:val="FootnoteReference"/>
        </w:rPr>
        <w:footnoteReference w:id="82"/>
      </w:r>
      <w:r w:rsidR="001924F4">
        <w:t xml:space="preserve"> </w:t>
      </w:r>
      <w:r w:rsidR="0024317F">
        <w:t>It should be noted that AFCs and SOFCs do not require purification of hydrogen from ammonia source.</w:t>
      </w:r>
    </w:p>
    <w:p w14:paraId="589D9BE3" w14:textId="29C9D173" w:rsidR="006224E4" w:rsidRPr="00B364CB" w:rsidRDefault="006224E4" w:rsidP="006224E4">
      <w:pPr>
        <w:pStyle w:val="MAWPHeadingStyleLevel4"/>
      </w:pPr>
      <w:r w:rsidRPr="00B364CB">
        <w:t>Objectives</w:t>
      </w:r>
    </w:p>
    <w:p w14:paraId="5847EE87" w14:textId="5CB16EA7" w:rsidR="00EA04E9" w:rsidRDefault="00EA04E9" w:rsidP="00EA04E9">
      <w:pPr>
        <w:pStyle w:val="MAWP-Bodytext"/>
      </w:pPr>
      <w:r w:rsidRPr="00B364CB">
        <w:t>Key technologies for compression, purification and metering of hydrogen are the building blocks of the distribution of hydrogen at large scale. Development of these technologies is therefore critical. The</w:t>
      </w:r>
      <w:r w:rsidR="00622D28">
        <w:t xml:space="preserve"> overall</w:t>
      </w:r>
      <w:r w:rsidRPr="00B364CB">
        <w:t xml:space="preserve"> objective will be to make sure that by the end of 2030, we have a range of compression, purification technologies available and cost competitive enough to enable further decrease of hydrogen distribution costs. </w:t>
      </w:r>
    </w:p>
    <w:p w14:paraId="2FF40DA8" w14:textId="0A75DC5A" w:rsidR="005175FB" w:rsidRDefault="00622D28" w:rsidP="00EA04E9">
      <w:pPr>
        <w:pStyle w:val="MAWP-Bodytext"/>
      </w:pPr>
      <w:r>
        <w:t>More specifically the main objectives will be:</w:t>
      </w:r>
    </w:p>
    <w:p w14:paraId="66932D7A" w14:textId="3846F23F" w:rsidR="00622D28" w:rsidRDefault="00622D28" w:rsidP="002256F6">
      <w:pPr>
        <w:pStyle w:val="MAWP-Bodytext"/>
        <w:numPr>
          <w:ilvl w:val="0"/>
          <w:numId w:val="53"/>
        </w:numPr>
      </w:pPr>
      <w:r>
        <w:t>To develop more efficient compressor and purification technologies</w:t>
      </w:r>
    </w:p>
    <w:p w14:paraId="14C82392" w14:textId="4DB92DD6" w:rsidR="00622D28" w:rsidRDefault="00622D28" w:rsidP="002256F6">
      <w:pPr>
        <w:pStyle w:val="MAWP-Bodytext"/>
        <w:numPr>
          <w:ilvl w:val="0"/>
          <w:numId w:val="53"/>
        </w:numPr>
      </w:pPr>
      <w:r>
        <w:t>To reduce the total cost of ownership of compression and purification technologies</w:t>
      </w:r>
    </w:p>
    <w:p w14:paraId="6A09AF0B" w14:textId="694FC696" w:rsidR="00622D28" w:rsidRDefault="00622D28" w:rsidP="002256F6">
      <w:pPr>
        <w:pStyle w:val="MAWP-Bodytext"/>
        <w:numPr>
          <w:ilvl w:val="0"/>
          <w:numId w:val="53"/>
        </w:numPr>
      </w:pPr>
      <w:r>
        <w:t>To reduce the energy and consumption and increase the recovery factor of purification technologies</w:t>
      </w:r>
    </w:p>
    <w:p w14:paraId="38D770D2" w14:textId="520037D9" w:rsidR="00622D28" w:rsidRDefault="00622D28" w:rsidP="002256F6">
      <w:pPr>
        <w:pStyle w:val="MAWP-Bodytext"/>
        <w:numPr>
          <w:ilvl w:val="0"/>
          <w:numId w:val="53"/>
        </w:numPr>
      </w:pPr>
      <w:r>
        <w:t xml:space="preserve">To increase the reliability and </w:t>
      </w:r>
      <w:r w:rsidR="005C2E51">
        <w:t>lifetime</w:t>
      </w:r>
      <w:r>
        <w:t xml:space="preserve"> of compression and purification technologies</w:t>
      </w:r>
    </w:p>
    <w:p w14:paraId="1CABD747" w14:textId="066A938D" w:rsidR="005175FB" w:rsidRDefault="00622D28" w:rsidP="002256F6">
      <w:pPr>
        <w:pStyle w:val="MAWP-Bodytext"/>
        <w:numPr>
          <w:ilvl w:val="0"/>
          <w:numId w:val="53"/>
        </w:numPr>
      </w:pPr>
      <w:r>
        <w:t>To improve</w:t>
      </w:r>
      <w:r w:rsidRPr="00622D28">
        <w:t xml:space="preserve"> metering technologies and standards, especially in terms of accuracy and protocols.</w:t>
      </w:r>
    </w:p>
    <w:p w14:paraId="3D380B18" w14:textId="6894C2B1" w:rsidR="00CE70C1" w:rsidRPr="00CE70C1" w:rsidRDefault="00CE70C1" w:rsidP="00CE70C1">
      <w:pPr>
        <w:pStyle w:val="MAWP-Bodytext"/>
      </w:pPr>
      <w:r w:rsidRPr="00CE70C1">
        <w:t xml:space="preserve">In order to contribute towards achieving the above objectives, the following areas of research and development appear as good candidates for the support by the </w:t>
      </w:r>
      <w:r w:rsidR="00831A2C">
        <w:t xml:space="preserve">Clean Hydrogen </w:t>
      </w:r>
      <w:r w:rsidRPr="00CE70C1">
        <w:t>JU.</w:t>
      </w:r>
    </w:p>
    <w:p w14:paraId="50881F84" w14:textId="77777777" w:rsidR="00671C59" w:rsidRPr="00B364CB" w:rsidRDefault="00671C59" w:rsidP="00671C59">
      <w:pPr>
        <w:pStyle w:val="MAWPHeadingStyleLevel4"/>
      </w:pPr>
      <w:r w:rsidRPr="00B364CB">
        <w:rPr>
          <w:rFonts w:cs="Arial"/>
          <w:szCs w:val="22"/>
        </w:rPr>
        <w:t xml:space="preserve">R&amp;D Priorities - </w:t>
      </w:r>
      <w:r w:rsidRPr="00B364CB">
        <w:t>Early Stage Research Actions</w:t>
      </w:r>
    </w:p>
    <w:p w14:paraId="623A1286" w14:textId="2CCDEFD4" w:rsidR="00AC766C" w:rsidRPr="00B364CB" w:rsidRDefault="002F7C48" w:rsidP="00761165">
      <w:pPr>
        <w:pStyle w:val="MAWPBodytextbullets"/>
      </w:pPr>
      <w:r w:rsidRPr="00B364CB">
        <w:t>Hydrogen</w:t>
      </w:r>
      <w:r w:rsidR="00AC766C" w:rsidRPr="00B364CB">
        <w:t xml:space="preserve"> Compression:</w:t>
      </w:r>
    </w:p>
    <w:p w14:paraId="4644B860" w14:textId="73C031F0" w:rsidR="00AC766C" w:rsidRPr="00B364CB" w:rsidRDefault="00AC766C" w:rsidP="002256F6">
      <w:pPr>
        <w:pStyle w:val="MAWPBodytextbullets"/>
        <w:numPr>
          <w:ilvl w:val="1"/>
          <w:numId w:val="24"/>
        </w:numPr>
      </w:pPr>
      <w:r w:rsidRPr="00B364CB">
        <w:t>Development of novel and hybrid technologies for compression, including chemical and electrochemical compression</w:t>
      </w:r>
      <w:r w:rsidR="00B20ADF" w:rsidRPr="00B364CB">
        <w:t>;</w:t>
      </w:r>
    </w:p>
    <w:p w14:paraId="556220A0" w14:textId="32055B6B" w:rsidR="00AC766C" w:rsidRPr="00B364CB" w:rsidRDefault="00AC766C" w:rsidP="002256F6">
      <w:pPr>
        <w:pStyle w:val="MAWPBodytextbullets"/>
        <w:numPr>
          <w:ilvl w:val="1"/>
          <w:numId w:val="24"/>
        </w:numPr>
      </w:pPr>
      <w:r w:rsidRPr="00B364CB">
        <w:t>Testing of electrochemical, thermal and hydride compression at low, medium and high temperatures and pressure</w:t>
      </w:r>
      <w:r w:rsidR="00B20ADF" w:rsidRPr="00B364CB">
        <w:t>;</w:t>
      </w:r>
    </w:p>
    <w:p w14:paraId="308A8D97" w14:textId="08EFC70D" w:rsidR="00AC766C" w:rsidRPr="00B364CB" w:rsidRDefault="00AC766C" w:rsidP="002256F6">
      <w:pPr>
        <w:pStyle w:val="MAWPBodytextbullets"/>
        <w:numPr>
          <w:ilvl w:val="1"/>
          <w:numId w:val="24"/>
        </w:numPr>
      </w:pPr>
      <w:r w:rsidRPr="00B364CB">
        <w:lastRenderedPageBreak/>
        <w:t>Novel cryogenic compression approaches.</w:t>
      </w:r>
    </w:p>
    <w:p w14:paraId="1088BE18" w14:textId="77777777" w:rsidR="0062342E" w:rsidRPr="00FD2890" w:rsidRDefault="0062342E" w:rsidP="002256F6">
      <w:pPr>
        <w:pStyle w:val="MAWPBodytextbullets"/>
        <w:numPr>
          <w:ilvl w:val="1"/>
          <w:numId w:val="24"/>
        </w:numPr>
      </w:pPr>
      <w:r w:rsidRPr="00FD2890">
        <w:t>Development of turbo compressors and their drivetrains to meet future pipeline demands</w:t>
      </w:r>
    </w:p>
    <w:p w14:paraId="6021ECDD" w14:textId="6AD8D766" w:rsidR="0062342E" w:rsidRPr="00B364CB" w:rsidRDefault="0062342E" w:rsidP="002256F6">
      <w:pPr>
        <w:pStyle w:val="MAWPBodytextbullets"/>
        <w:numPr>
          <w:ilvl w:val="1"/>
          <w:numId w:val="24"/>
        </w:numPr>
      </w:pPr>
      <w:r w:rsidRPr="00FD2890">
        <w:t>Upscaling of existing HRS compression technologies to meet higher demands (high-flow) while improving their availability</w:t>
      </w:r>
    </w:p>
    <w:p w14:paraId="04029CC6" w14:textId="193B78AF" w:rsidR="00AC766C" w:rsidRPr="00B364CB" w:rsidRDefault="00AC766C" w:rsidP="00761165">
      <w:pPr>
        <w:pStyle w:val="MAWPBodytextbullets"/>
      </w:pPr>
      <w:r w:rsidRPr="00B364CB">
        <w:t>H</w:t>
      </w:r>
      <w:r w:rsidR="002F7C48" w:rsidRPr="00B364CB">
        <w:t>ydrogen</w:t>
      </w:r>
      <w:r w:rsidRPr="00B364CB">
        <w:t xml:space="preserve"> purification and separation: </w:t>
      </w:r>
    </w:p>
    <w:p w14:paraId="3C3216AD" w14:textId="01C9A7BB" w:rsidR="00AC766C" w:rsidRPr="00B364CB" w:rsidRDefault="00AC766C" w:rsidP="002256F6">
      <w:pPr>
        <w:pStyle w:val="MAWPBodytextbullets"/>
        <w:numPr>
          <w:ilvl w:val="1"/>
          <w:numId w:val="24"/>
        </w:numPr>
      </w:pPr>
      <w:r w:rsidRPr="00B364CB">
        <w:t>Development of low or free content PGM solutions</w:t>
      </w:r>
      <w:r w:rsidR="00B20ADF" w:rsidRPr="00B364CB">
        <w:t>;</w:t>
      </w:r>
    </w:p>
    <w:p w14:paraId="689CC030" w14:textId="0B284A95" w:rsidR="00AC766C" w:rsidRPr="00B364CB" w:rsidRDefault="00AC766C" w:rsidP="002256F6">
      <w:pPr>
        <w:pStyle w:val="MAWPBodytextbullets"/>
        <w:numPr>
          <w:ilvl w:val="1"/>
          <w:numId w:val="24"/>
        </w:numPr>
      </w:pPr>
      <w:r w:rsidRPr="00B364CB">
        <w:t xml:space="preserve">Concepts to increase </w:t>
      </w:r>
      <w:r w:rsidR="002F7C48" w:rsidRPr="00B364CB">
        <w:t>hydrogen</w:t>
      </w:r>
      <w:r w:rsidRPr="00B364CB">
        <w:t xml:space="preserve"> purity levels to 99.999% with a reduction in energy </w:t>
      </w:r>
      <w:r w:rsidR="002341CA" w:rsidRPr="00B364CB">
        <w:t>consumption</w:t>
      </w:r>
      <w:r w:rsidR="00B20ADF" w:rsidRPr="00B364CB">
        <w:t>;</w:t>
      </w:r>
    </w:p>
    <w:p w14:paraId="6085ED5E" w14:textId="0500DC02" w:rsidR="00AC766C" w:rsidRPr="00B364CB" w:rsidRDefault="00AC766C" w:rsidP="002256F6">
      <w:pPr>
        <w:pStyle w:val="MAWPBodytextbullets"/>
        <w:numPr>
          <w:ilvl w:val="1"/>
          <w:numId w:val="24"/>
        </w:numPr>
      </w:pPr>
      <w:r w:rsidRPr="00B364CB">
        <w:t xml:space="preserve">The purification of </w:t>
      </w:r>
      <w:r w:rsidR="002F7C48" w:rsidRPr="00B364CB">
        <w:t>hydrogen</w:t>
      </w:r>
      <w:r w:rsidRPr="00B364CB">
        <w:t xml:space="preserve"> with medium and high temperature electrochemical processes</w:t>
      </w:r>
      <w:r w:rsidR="00B20ADF" w:rsidRPr="00B364CB">
        <w:t>;</w:t>
      </w:r>
    </w:p>
    <w:p w14:paraId="0CF019A0" w14:textId="73FD2B00" w:rsidR="00AC766C" w:rsidRPr="00B364CB" w:rsidRDefault="00AC766C" w:rsidP="002256F6">
      <w:pPr>
        <w:pStyle w:val="MAWPBodytextbullets"/>
        <w:numPr>
          <w:ilvl w:val="1"/>
          <w:numId w:val="24"/>
        </w:numPr>
      </w:pPr>
      <w:r w:rsidRPr="00B364CB">
        <w:t>Development of new purification/separation technologies (i.e. membranes, electrochemical and thermochemical processes)</w:t>
      </w:r>
      <w:r w:rsidR="00B20ADF" w:rsidRPr="00B364CB">
        <w:t>.</w:t>
      </w:r>
    </w:p>
    <w:p w14:paraId="526792C3" w14:textId="14899AA3" w:rsidR="008804A6" w:rsidRPr="00B364CB" w:rsidRDefault="00E60387" w:rsidP="002256F6">
      <w:pPr>
        <w:pStyle w:val="MAWPBodytextbullets"/>
        <w:numPr>
          <w:ilvl w:val="1"/>
          <w:numId w:val="24"/>
        </w:numPr>
      </w:pPr>
      <w:r w:rsidRPr="00B364CB">
        <w:t xml:space="preserve">Purity management to control the ratio </w:t>
      </w:r>
      <w:r w:rsidR="0080779D">
        <w:t>between</w:t>
      </w:r>
      <w:r w:rsidRPr="00B364CB">
        <w:t xml:space="preserve"> hydrogen &amp; impurities in the natural gas pipeline</w:t>
      </w:r>
    </w:p>
    <w:p w14:paraId="3E979DA2" w14:textId="0B05F13A" w:rsidR="00AC766C" w:rsidRPr="00B364CB" w:rsidRDefault="00AC766C" w:rsidP="00761165">
      <w:pPr>
        <w:pStyle w:val="MAWPBodytextbullets"/>
      </w:pPr>
      <w:r w:rsidRPr="00B364CB">
        <w:t xml:space="preserve">Material compatibility / resistance in contact with </w:t>
      </w:r>
      <w:r w:rsidR="002F7C48" w:rsidRPr="00B364CB">
        <w:t>hydrogen</w:t>
      </w:r>
      <w:r w:rsidRPr="00B364CB">
        <w:t xml:space="preserve"> and blend</w:t>
      </w:r>
      <w:r w:rsidR="00EB14F3">
        <w:t>s</w:t>
      </w:r>
      <w:r w:rsidR="00B20ADF" w:rsidRPr="00B364CB">
        <w:t xml:space="preserve"> requires the t</w:t>
      </w:r>
      <w:r w:rsidRPr="00B364CB">
        <w:t>esting of the materials involved in the key technologies (compression and purification).</w:t>
      </w:r>
    </w:p>
    <w:p w14:paraId="5987141C" w14:textId="716F68DC" w:rsidR="00AC766C" w:rsidRPr="00B364CB" w:rsidRDefault="00F80852" w:rsidP="00F80852">
      <w:pPr>
        <w:pStyle w:val="MAWPHeadingStyleLevel4"/>
      </w:pPr>
      <w:r w:rsidRPr="00B364CB">
        <w:rPr>
          <w:rFonts w:cs="Arial"/>
          <w:szCs w:val="22"/>
        </w:rPr>
        <w:t xml:space="preserve">R&amp;D Priorities - </w:t>
      </w:r>
      <w:r w:rsidR="00AC766C" w:rsidRPr="00B364CB">
        <w:t xml:space="preserve">Development Research Actions </w:t>
      </w:r>
    </w:p>
    <w:p w14:paraId="6B93D555" w14:textId="77777777" w:rsidR="00AC766C" w:rsidRPr="00B364CB" w:rsidRDefault="00AC766C" w:rsidP="00761165">
      <w:pPr>
        <w:pStyle w:val="MAWP-Bodytext"/>
      </w:pPr>
      <w:r w:rsidRPr="00B364CB">
        <w:t>Validation projects are necessary to optimise storage and distribution technologies for hydrogen. Development efforts should focus on the following areas:</w:t>
      </w:r>
    </w:p>
    <w:p w14:paraId="216C19AA" w14:textId="1788F06E" w:rsidR="00AC766C" w:rsidRPr="00B364CB" w:rsidRDefault="00AC766C" w:rsidP="00761165">
      <w:pPr>
        <w:pStyle w:val="MAWPBodytextbullets"/>
      </w:pPr>
      <w:r w:rsidRPr="00B364CB">
        <w:t>Producing compression units with higher performance levels (reliability, efficiency</w:t>
      </w:r>
      <w:r w:rsidR="005C2E51">
        <w:t>, lifetime</w:t>
      </w:r>
      <w:r w:rsidR="006D7A65">
        <w:t>, capacity</w:t>
      </w:r>
      <w:r w:rsidRPr="00B364CB">
        <w:t>) and in-field testing</w:t>
      </w:r>
      <w:r w:rsidR="00B20ADF" w:rsidRPr="00B364CB">
        <w:t>;</w:t>
      </w:r>
    </w:p>
    <w:p w14:paraId="4B2144EE" w14:textId="173E9365" w:rsidR="00AC766C" w:rsidRPr="003F66F2" w:rsidRDefault="00AC766C" w:rsidP="00761165">
      <w:pPr>
        <w:pStyle w:val="MAWPBodytextbullets"/>
      </w:pPr>
      <w:r w:rsidRPr="00B364CB">
        <w:t xml:space="preserve">Development of large compression technologies </w:t>
      </w:r>
      <w:r w:rsidR="00DB698C">
        <w:t>and their drivetrain</w:t>
      </w:r>
      <w:r w:rsidR="004812CE">
        <w:t xml:space="preserve">s </w:t>
      </w:r>
      <w:r w:rsidRPr="00B364CB">
        <w:t xml:space="preserve">for injection of </w:t>
      </w:r>
      <w:r w:rsidR="002F7C48" w:rsidRPr="00B364CB">
        <w:t>hydrogen</w:t>
      </w:r>
      <w:r w:rsidR="00DB6A12" w:rsidRPr="00B364CB">
        <w:t xml:space="preserve"> into gas pipelines (</w:t>
      </w:r>
      <w:r w:rsidR="00B90A3D" w:rsidRPr="00B364CB">
        <w:t xml:space="preserve">from </w:t>
      </w:r>
      <w:r w:rsidRPr="00B364CB">
        <w:t xml:space="preserve">5 bar to </w:t>
      </w:r>
      <w:r w:rsidRPr="003F66F2">
        <w:t>100-200 bar</w:t>
      </w:r>
      <w:r w:rsidR="00B20ADF" w:rsidRPr="003F66F2">
        <w:t>);</w:t>
      </w:r>
    </w:p>
    <w:p w14:paraId="565E44D0" w14:textId="6EA1DE41" w:rsidR="00AC766C" w:rsidRPr="00B364CB" w:rsidRDefault="00AC766C" w:rsidP="00761165">
      <w:pPr>
        <w:pStyle w:val="MAWPBodytextbullets"/>
      </w:pPr>
      <w:r w:rsidRPr="00B364CB">
        <w:t>Development of a greater accuracy within hydrogen sensors and flow meters</w:t>
      </w:r>
      <w:r w:rsidR="00B20ADF" w:rsidRPr="00B364CB">
        <w:t>;</w:t>
      </w:r>
    </w:p>
    <w:p w14:paraId="7982BE0B" w14:textId="199F41E4" w:rsidR="00AC766C" w:rsidRPr="00B364CB" w:rsidRDefault="00AC766C" w:rsidP="00761165">
      <w:pPr>
        <w:pStyle w:val="MAWPBodytextbullets"/>
      </w:pPr>
      <w:r w:rsidRPr="00B364CB">
        <w:t xml:space="preserve">Projects which could reduce the cost of </w:t>
      </w:r>
      <w:r w:rsidR="002F7C48" w:rsidRPr="00B364CB">
        <w:t>hydrogen</w:t>
      </w:r>
      <w:r w:rsidRPr="00B364CB">
        <w:t xml:space="preserve"> separation and increase poisoning resistance</w:t>
      </w:r>
      <w:r w:rsidR="00B20ADF" w:rsidRPr="00B364CB">
        <w:t>;</w:t>
      </w:r>
    </w:p>
    <w:p w14:paraId="27C1AE13" w14:textId="382FEDB4" w:rsidR="00AC766C" w:rsidRPr="00B364CB" w:rsidRDefault="00AC766C" w:rsidP="00761165">
      <w:pPr>
        <w:pStyle w:val="MAWPBodytextbullets"/>
      </w:pPr>
      <w:r w:rsidRPr="00B364CB">
        <w:t xml:space="preserve">Methodologies for separating </w:t>
      </w:r>
      <w:r w:rsidR="002F7C48" w:rsidRPr="00B364CB">
        <w:t>hydrogen</w:t>
      </w:r>
      <w:r w:rsidRPr="00B364CB">
        <w:t xml:space="preserve"> from blended natural gas</w:t>
      </w:r>
      <w:r w:rsidR="00061930" w:rsidRPr="00B364CB">
        <w:t xml:space="preserve"> at relevant separation flow rates</w:t>
      </w:r>
      <w:r w:rsidR="00B20ADF" w:rsidRPr="00B364CB">
        <w:t>;</w:t>
      </w:r>
    </w:p>
    <w:p w14:paraId="4C3FCEF7" w14:textId="77777777" w:rsidR="00AC766C" w:rsidRPr="00B364CB" w:rsidRDefault="00AC766C" w:rsidP="00761165">
      <w:pPr>
        <w:pStyle w:val="MAWPBodytextbullets"/>
        <w:rPr>
          <w:b/>
          <w:u w:val="single"/>
        </w:rPr>
      </w:pPr>
      <w:r w:rsidRPr="00B364CB">
        <w:t>Reducing the energy intensity for purification through improved flow sheets for purification system (better integration with production processes) and/or use of novel membranes and other components.</w:t>
      </w:r>
    </w:p>
    <w:p w14:paraId="46F3BF2F" w14:textId="1CBF24CE" w:rsidR="00AC766C" w:rsidRPr="00B364CB" w:rsidRDefault="00F43A04" w:rsidP="00F80852">
      <w:pPr>
        <w:pStyle w:val="MAWPHeadingStyleLevel4"/>
      </w:pPr>
      <w:r w:rsidRPr="00B364CB">
        <w:t>R&amp;D Priorities - Demonstration Actions</w:t>
      </w:r>
    </w:p>
    <w:p w14:paraId="0FFA45AB" w14:textId="43DA23FD" w:rsidR="00AC766C" w:rsidRPr="00B364CB" w:rsidRDefault="00AC766C" w:rsidP="00761165">
      <w:pPr>
        <w:pStyle w:val="MAWPBodytextbullets"/>
      </w:pPr>
      <w:r w:rsidRPr="00B364CB">
        <w:t xml:space="preserve">Demonstration of novel and hybrid concepts for compression (pure </w:t>
      </w:r>
      <w:r w:rsidR="002F7C48" w:rsidRPr="00B364CB">
        <w:t>hydrogen</w:t>
      </w:r>
      <w:r w:rsidRPr="00B364CB">
        <w:t xml:space="preserve"> or blended </w:t>
      </w:r>
      <w:r w:rsidR="002F7C48" w:rsidRPr="00B364CB">
        <w:t xml:space="preserve">hydrogen </w:t>
      </w:r>
      <w:r w:rsidRPr="00B364CB">
        <w:t>/</w:t>
      </w:r>
      <w:r w:rsidR="002F7C48" w:rsidRPr="00B364CB">
        <w:t xml:space="preserve"> natural gas</w:t>
      </w:r>
      <w:r w:rsidRPr="00B364CB">
        <w:t xml:space="preserve"> mixture) at a real-world scale (i.e. </w:t>
      </w:r>
      <w:r w:rsidR="00B90A3D" w:rsidRPr="00B364CB">
        <w:t>higher than 2</w:t>
      </w:r>
      <w:r w:rsidRPr="00B364CB">
        <w:t>00kg</w:t>
      </w:r>
      <w:r w:rsidR="00B20ADF" w:rsidRPr="00B364CB">
        <w:t>/</w:t>
      </w:r>
      <w:r w:rsidRPr="00B364CB">
        <w:t>day for hydrogen stations</w:t>
      </w:r>
      <w:r w:rsidR="00B90A3D" w:rsidRPr="00B364CB">
        <w:t>,</w:t>
      </w:r>
      <w:r w:rsidRPr="00B364CB">
        <w:t xml:space="preserve"> </w:t>
      </w:r>
      <w:r w:rsidR="00B20ADF" w:rsidRPr="00B364CB">
        <w:t xml:space="preserve">tens </w:t>
      </w:r>
      <w:r w:rsidRPr="00B364CB">
        <w:t>of ton</w:t>
      </w:r>
      <w:r w:rsidR="005C2E51">
        <w:t>s</w:t>
      </w:r>
      <w:r w:rsidRPr="00B364CB">
        <w:t>/day for pipeline injection)</w:t>
      </w:r>
      <w:r w:rsidR="00B20ADF" w:rsidRPr="00B364CB">
        <w:t>;</w:t>
      </w:r>
    </w:p>
    <w:p w14:paraId="7C6C52B7" w14:textId="1439FC6C" w:rsidR="000B399A" w:rsidRPr="00B364CB" w:rsidRDefault="00AC766C" w:rsidP="00761165">
      <w:pPr>
        <w:pStyle w:val="MAWPBodytextbullets"/>
      </w:pPr>
      <w:r w:rsidRPr="00B364CB">
        <w:t xml:space="preserve">Demonstration of novel concepts for hydrogen purification and separation (i.e. </w:t>
      </w:r>
      <w:r w:rsidR="002F7C48" w:rsidRPr="00B364CB">
        <w:t>hydrogen</w:t>
      </w:r>
      <w:r w:rsidRPr="00B364CB">
        <w:t xml:space="preserve"> purification, </w:t>
      </w:r>
      <w:r w:rsidR="002F7C48" w:rsidRPr="00B364CB">
        <w:t>hydrogen</w:t>
      </w:r>
      <w:r w:rsidRPr="00B364CB">
        <w:t xml:space="preserve"> separation from blended </w:t>
      </w:r>
      <w:r w:rsidR="002F7C48" w:rsidRPr="00B364CB">
        <w:t xml:space="preserve">hydrogen / natural gas </w:t>
      </w:r>
      <w:r w:rsidRPr="00B364CB">
        <w:t>mixture</w:t>
      </w:r>
      <w:r w:rsidR="00B20ADF" w:rsidRPr="00B364CB">
        <w:t>)</w:t>
      </w:r>
      <w:r w:rsidR="00061930" w:rsidRPr="00B364CB">
        <w:t xml:space="preserve"> at a real-world scale</w:t>
      </w:r>
      <w:r w:rsidR="000B399A" w:rsidRPr="00B364CB">
        <w:t>.</w:t>
      </w:r>
    </w:p>
    <w:p w14:paraId="75C45CE1" w14:textId="190E274A" w:rsidR="00AC766C" w:rsidRPr="00B364CB" w:rsidRDefault="00AC766C" w:rsidP="00761165">
      <w:pPr>
        <w:pStyle w:val="MAWPBodytextbullets"/>
      </w:pPr>
      <w:r w:rsidRPr="00B364CB">
        <w:lastRenderedPageBreak/>
        <w:t>Integration of innovative metering, piping and instrumentation technologies into the overall hydrogen innovation actions.</w:t>
      </w:r>
    </w:p>
    <w:p w14:paraId="0EA86226" w14:textId="77777777" w:rsidR="00141A91" w:rsidRPr="00B364CB" w:rsidRDefault="00141A91" w:rsidP="00141A91">
      <w:pPr>
        <w:pStyle w:val="MAWPHeadingStyleLevel4"/>
      </w:pPr>
      <w:r w:rsidRPr="00B364CB">
        <w:t>Flagship Actions</w:t>
      </w:r>
    </w:p>
    <w:p w14:paraId="6CC9F9E2" w14:textId="77777777" w:rsidR="00141A91" w:rsidRPr="00B364CB" w:rsidRDefault="00141A91" w:rsidP="00141A91">
      <w:pPr>
        <w:pStyle w:val="MAWPBodytextbullets"/>
        <w:numPr>
          <w:ilvl w:val="0"/>
          <w:numId w:val="0"/>
        </w:numPr>
        <w:rPr>
          <w:rStyle w:val="MAWPTitle"/>
          <w:bCs w:val="0"/>
          <w:color w:val="000000"/>
          <w:sz w:val="22"/>
          <w:shd w:val="clear" w:color="auto" w:fill="auto"/>
          <w:lang w:val="en-GB" w:eastAsia="en-GB" w:bidi="en-US"/>
        </w:rPr>
      </w:pPr>
      <w:r w:rsidRPr="00B364CB">
        <w:rPr>
          <w:rStyle w:val="MAWPTitle"/>
          <w:bCs w:val="0"/>
          <w:color w:val="000000"/>
          <w:sz w:val="22"/>
          <w:shd w:val="clear" w:color="auto" w:fill="auto"/>
          <w:lang w:val="en-GB" w:eastAsia="en-GB" w:bidi="en-US"/>
        </w:rPr>
        <w:t>No flagship actions are foreseen.</w:t>
      </w:r>
    </w:p>
    <w:p w14:paraId="7561B16A" w14:textId="235E0137" w:rsidR="001A3927" w:rsidRPr="00B364CB" w:rsidRDefault="001A3927" w:rsidP="004C64A2">
      <w:pPr>
        <w:pStyle w:val="MAWPHeadingStyleLevel4"/>
      </w:pPr>
      <w:r w:rsidRPr="00B364CB">
        <w:t xml:space="preserve">Synergies </w:t>
      </w:r>
    </w:p>
    <w:p w14:paraId="0D474515" w14:textId="25A25FCE" w:rsidR="008017E2" w:rsidRPr="00B364CB" w:rsidRDefault="00844B4D" w:rsidP="00761165">
      <w:pPr>
        <w:pStyle w:val="MAWP-Bodytext"/>
      </w:pPr>
      <w:r w:rsidRPr="00B364CB">
        <w:t xml:space="preserve">Potential synergies with </w:t>
      </w:r>
      <w:r w:rsidR="00B90A3D" w:rsidRPr="00B364CB">
        <w:t xml:space="preserve">the European </w:t>
      </w:r>
      <w:r w:rsidR="00CF6388">
        <w:t>p</w:t>
      </w:r>
      <w:r w:rsidR="00B70874">
        <w:t>artnership on Metrology</w:t>
      </w:r>
      <w:r w:rsidR="00B70874">
        <w:rPr>
          <w:rStyle w:val="FootnoteReference"/>
        </w:rPr>
        <w:footnoteReference w:id="83"/>
      </w:r>
      <w:r w:rsidRPr="00B364CB">
        <w:t xml:space="preserve"> </w:t>
      </w:r>
      <w:r w:rsidR="00D809D6">
        <w:t xml:space="preserve">could </w:t>
      </w:r>
      <w:r w:rsidRPr="00B364CB">
        <w:t xml:space="preserve">be identified and </w:t>
      </w:r>
      <w:r w:rsidR="008017E2" w:rsidRPr="00B364CB">
        <w:t>pursued for the topic of metering. Additionally synergies with the P4P can be foreseen that will be also undertaking work on the topic of hydrogen purification and separation from natural gas streams.</w:t>
      </w:r>
      <w:r w:rsidR="00EE702D" w:rsidRPr="00B364CB">
        <w:t xml:space="preserve"> See Section </w:t>
      </w:r>
      <w:r w:rsidR="00EE702D" w:rsidRPr="00B364CB">
        <w:fldChar w:fldCharType="begin"/>
      </w:r>
      <w:r w:rsidR="00EE702D" w:rsidRPr="00B364CB">
        <w:instrText xml:space="preserve"> REF _Ref55249545 \r \h  \* MERGEFORMAT </w:instrText>
      </w:r>
      <w:r w:rsidR="00EE702D" w:rsidRPr="00B364CB">
        <w:fldChar w:fldCharType="separate"/>
      </w:r>
      <w:r w:rsidR="00331EBC">
        <w:t>4.1</w:t>
      </w:r>
      <w:r w:rsidR="00EE702D" w:rsidRPr="00B364CB">
        <w:fldChar w:fldCharType="end"/>
      </w:r>
      <w:r w:rsidR="00EE702D" w:rsidRPr="00B364CB">
        <w:t xml:space="preserve"> </w:t>
      </w:r>
      <w:r w:rsidR="00B77E48">
        <w:t xml:space="preserve">and Annex 7 </w:t>
      </w:r>
      <w:r w:rsidR="00EE702D" w:rsidRPr="00B364CB">
        <w:t>for more details on the synergies.</w:t>
      </w:r>
    </w:p>
    <w:p w14:paraId="5F806A5B" w14:textId="001777BD" w:rsidR="00AC766C" w:rsidRPr="00B364CB" w:rsidRDefault="00AC766C" w:rsidP="006802D3">
      <w:pPr>
        <w:pStyle w:val="MAWPsubtitle2"/>
      </w:pPr>
      <w:bookmarkStart w:id="87" w:name="_Toc64640556"/>
      <w:bookmarkStart w:id="88" w:name="_Toc93907324"/>
      <w:r w:rsidRPr="00B364CB">
        <w:t>Hydrogen Refuelling Stations</w:t>
      </w:r>
      <w:bookmarkEnd w:id="87"/>
      <w:r w:rsidR="007670AA" w:rsidRPr="00B364CB">
        <w:t xml:space="preserve"> (HRS)</w:t>
      </w:r>
      <w:bookmarkEnd w:id="88"/>
    </w:p>
    <w:p w14:paraId="4328E545" w14:textId="3FEDB8D3" w:rsidR="00AC766C" w:rsidRPr="00B364CB" w:rsidRDefault="00AC766C" w:rsidP="00F80852">
      <w:pPr>
        <w:pStyle w:val="MAWPHeadingStyleLevel4"/>
      </w:pPr>
      <w:r w:rsidRPr="00B364CB">
        <w:t>Rationale for Support</w:t>
      </w:r>
    </w:p>
    <w:p w14:paraId="7EAF4EBF" w14:textId="1C02D318" w:rsidR="00197F81" w:rsidRPr="00B364CB" w:rsidRDefault="000E0534" w:rsidP="00197F81">
      <w:pPr>
        <w:pStyle w:val="MAWP-Bodytext"/>
      </w:pPr>
      <w:r>
        <w:t xml:space="preserve">Deploying hydrogen vehicles and in particular heavy duty vehicles, is an important part of EU’s Hydrogen Strategy. </w:t>
      </w:r>
      <w:r w:rsidR="00197F81" w:rsidRPr="00B364CB">
        <w:t>The study procured by the FCH 2 JU on Fuel Cell Hydrogen Trucks,</w:t>
      </w:r>
      <w:r w:rsidR="003E3ED4" w:rsidRPr="00B364CB">
        <w:rPr>
          <w:rStyle w:val="FootnoteReference"/>
        </w:rPr>
        <w:footnoteReference w:id="84"/>
      </w:r>
      <w:r w:rsidR="00197F81" w:rsidRPr="00B364CB">
        <w:t xml:space="preserve"> which conducted a comparison of alternative powertrain technologies, showed that FCH applications present a very promising zero-emission alternative. Due to their high operational flexibility and relatively short refuelling time</w:t>
      </w:r>
      <w:r w:rsidR="00BB4350">
        <w:t xml:space="preserve"> compared to electricity charging</w:t>
      </w:r>
      <w:r w:rsidR="00197F81" w:rsidRPr="00B364CB">
        <w:t>, FC heavy-duty vehicles are particularly suited for long-haul operations.</w:t>
      </w:r>
    </w:p>
    <w:p w14:paraId="6D245889" w14:textId="6F3DC3EF" w:rsidR="00AC766C" w:rsidRPr="00B364CB" w:rsidRDefault="00471B55" w:rsidP="00197F81">
      <w:pPr>
        <w:pStyle w:val="MAWP-Bodytext"/>
      </w:pPr>
      <w:r>
        <w:t>However, i</w:t>
      </w:r>
      <w:r w:rsidR="00197F81" w:rsidRPr="00B364CB">
        <w:t xml:space="preserve">n order to have a viable case for the widespread use of FC Heavy-Duty Vehicles </w:t>
      </w:r>
      <w:r w:rsidR="00B1562E" w:rsidRPr="00B364CB">
        <w:t>(HDV)</w:t>
      </w:r>
      <w:r w:rsidR="00197F81" w:rsidRPr="00B364CB">
        <w:t xml:space="preserve">, it will be essential that there is an EU-wide network of publicly accessible </w:t>
      </w:r>
      <w:r w:rsidR="002B7BC1" w:rsidRPr="00B364CB">
        <w:t>HRS</w:t>
      </w:r>
      <w:r w:rsidR="00197F81" w:rsidRPr="00B364CB">
        <w:t>. Furthermore, the larger heavy-duty fuelling applications such as buses and trains will require very reliable, high capacity stations capable of delivering many tonnes each day</w:t>
      </w:r>
      <w:r w:rsidR="007917A3">
        <w:t>.</w:t>
      </w:r>
      <w:r w:rsidR="00197F81" w:rsidRPr="00B364CB">
        <w:t xml:space="preserve"> </w:t>
      </w:r>
    </w:p>
    <w:p w14:paraId="3F9B6587" w14:textId="77777777" w:rsidR="00AC766C" w:rsidRPr="00B364CB" w:rsidRDefault="00AC766C" w:rsidP="000367F9">
      <w:pPr>
        <w:pStyle w:val="MAWPHeadingStyleLevel4"/>
      </w:pPr>
      <w:r w:rsidRPr="00B364CB">
        <w:t>State of the Art</w:t>
      </w:r>
    </w:p>
    <w:p w14:paraId="4BB3C4D0" w14:textId="0FC9DA5D" w:rsidR="00DE353A" w:rsidRPr="00B364CB" w:rsidRDefault="00DE353A" w:rsidP="00373FB8">
      <w:pPr>
        <w:pStyle w:val="MAWP-Bodytext"/>
      </w:pPr>
      <w:r w:rsidRPr="00B364CB">
        <w:t xml:space="preserve">In line with the growing number of trial and demonstration projects, there is an increasing number of HRS in </w:t>
      </w:r>
      <w:r w:rsidR="00707589" w:rsidRPr="00B364CB">
        <w:t>Europe.</w:t>
      </w:r>
      <w:r w:rsidR="0014223A" w:rsidRPr="00B364CB">
        <w:t xml:space="preserve"> There have been so far 20 projects funded by </w:t>
      </w:r>
      <w:r w:rsidR="002B7BC1" w:rsidRPr="00B364CB">
        <w:t>FCH JU</w:t>
      </w:r>
      <w:r w:rsidR="008D48BE" w:rsidRPr="00B364CB">
        <w:t>s</w:t>
      </w:r>
      <w:r w:rsidR="002B7BC1" w:rsidRPr="00B364CB">
        <w:t xml:space="preserve"> </w:t>
      </w:r>
      <w:r w:rsidR="0014223A" w:rsidRPr="00B364CB">
        <w:t xml:space="preserve">that have demonstrated </w:t>
      </w:r>
      <w:r w:rsidR="002B7BC1" w:rsidRPr="00B364CB">
        <w:t>HRS</w:t>
      </w:r>
      <w:r w:rsidR="0014223A" w:rsidRPr="00B364CB">
        <w:t xml:space="preserve"> for both cars and buses with the most prominent</w:t>
      </w:r>
      <w:r w:rsidR="00056DF0" w:rsidRPr="00B364CB">
        <w:t xml:space="preserve"> in terms of deployment</w:t>
      </w:r>
      <w:r w:rsidR="0014223A" w:rsidRPr="00B364CB">
        <w:t xml:space="preserve"> being H2ME and H2ME2. In total the projects have </w:t>
      </w:r>
      <w:r w:rsidR="002E6A7A" w:rsidRPr="00B364CB">
        <w:t xml:space="preserve">already </w:t>
      </w:r>
      <w:r w:rsidR="0014223A" w:rsidRPr="00B364CB">
        <w:t xml:space="preserve">contributed to the commissioning of 74 </w:t>
      </w:r>
      <w:r w:rsidR="002E6A7A" w:rsidRPr="00B364CB">
        <w:t>stations.</w:t>
      </w:r>
      <w:r w:rsidR="00FA10F4" w:rsidRPr="00B364CB">
        <w:rPr>
          <w:rStyle w:val="FootnoteReference"/>
        </w:rPr>
        <w:footnoteReference w:id="85"/>
      </w:r>
      <w:r w:rsidR="002E6A7A" w:rsidRPr="00B364CB">
        <w:t xml:space="preserve"> </w:t>
      </w:r>
      <w:r w:rsidRPr="00B364CB">
        <w:t>To date, most existing HRS are dedicated to the use of passenger v</w:t>
      </w:r>
      <w:r w:rsidR="00707589" w:rsidRPr="00B364CB">
        <w:t>ehicles and cannot be used by heavy-duty</w:t>
      </w:r>
      <w:r w:rsidRPr="00B364CB">
        <w:t xml:space="preserve"> trucks due to different technological requirements for filling up the much larger truck tanks. However, the increasing number of stations is promising, and the existing foundation of HRS in Europe could partly be upgraded for truck-specific refuelling soon. As refuelling infrastructure is adjusted to meet the needs of heavy-duty trucks, more demonstration projects become feasible, providing a foundation for larger scale commercial deployment. </w:t>
      </w:r>
    </w:p>
    <w:p w14:paraId="4A924C0F" w14:textId="7FC395AD" w:rsidR="00DE353A" w:rsidRPr="00B364CB" w:rsidRDefault="00DE353A" w:rsidP="00373FB8">
      <w:pPr>
        <w:pStyle w:val="MAWP-Bodytext"/>
      </w:pPr>
      <w:r w:rsidRPr="00B364CB">
        <w:t>European manufacturers dominate the global supply of hydrogen stations. Furthermore, Europe has a larger deployment of hydrogen stations compared to any other region,</w:t>
      </w:r>
      <w:r w:rsidR="00467AE0">
        <w:rPr>
          <w:rStyle w:val="FootnoteReference"/>
        </w:rPr>
        <w:footnoteReference w:id="86"/>
      </w:r>
      <w:r w:rsidRPr="00B364CB">
        <w:t xml:space="preserve"> which provides greater experience in the operation and support of these stations than elsewhere. This positions Europe to be a long-term leader in the supply of stations worldwide.</w:t>
      </w:r>
    </w:p>
    <w:p w14:paraId="697CB5E3" w14:textId="7233FE8C" w:rsidR="00DE353A" w:rsidRPr="00B364CB" w:rsidRDefault="00DE353A" w:rsidP="00373FB8">
      <w:pPr>
        <w:pStyle w:val="MAWP-Bodytext"/>
      </w:pPr>
      <w:r w:rsidRPr="00B364CB">
        <w:t xml:space="preserve">Based on the experience from the HRS deployment so far, there are significant issues with </w:t>
      </w:r>
      <w:r w:rsidRPr="00B364CB">
        <w:lastRenderedPageBreak/>
        <w:t>publicly accessible stations, which can all be resolved over the coming years:</w:t>
      </w:r>
    </w:p>
    <w:p w14:paraId="705AA884" w14:textId="5F315036" w:rsidR="00DE353A" w:rsidRPr="00B364CB" w:rsidRDefault="00DE353A" w:rsidP="00373FB8">
      <w:pPr>
        <w:pStyle w:val="MAWPBodytextbullets"/>
      </w:pPr>
      <w:r w:rsidRPr="00B364CB">
        <w:t xml:space="preserve">The costs of the </w:t>
      </w:r>
      <w:r w:rsidR="00A02625">
        <w:t>refuelling</w:t>
      </w:r>
      <w:r w:rsidR="00BB4350">
        <w:t xml:space="preserve"> </w:t>
      </w:r>
      <w:r w:rsidRPr="00B364CB">
        <w:t xml:space="preserve"> stations are high (both CAPEX and OPEX) which creates a challenge in creating a </w:t>
      </w:r>
      <w:r w:rsidR="00DA60B6">
        <w:t xml:space="preserve">competitive </w:t>
      </w:r>
      <w:r w:rsidRPr="00B364CB">
        <w:t>refuelling station business model, particularly in the early years when utilisation is low;</w:t>
      </w:r>
    </w:p>
    <w:p w14:paraId="60FFD519" w14:textId="7F9710B4" w:rsidR="00DE353A" w:rsidRPr="00B364CB" w:rsidRDefault="00DE353A" w:rsidP="00373FB8">
      <w:pPr>
        <w:pStyle w:val="MAWPBodytextbullets"/>
      </w:pPr>
      <w:r w:rsidRPr="00B364CB">
        <w:t xml:space="preserve">The station availability is </w:t>
      </w:r>
      <w:r w:rsidR="005C2B46" w:rsidRPr="00B364CB">
        <w:t xml:space="preserve">currently </w:t>
      </w:r>
      <w:r w:rsidRPr="00B364CB">
        <w:t>too</w:t>
      </w:r>
      <w:r w:rsidR="005C2B46" w:rsidRPr="00B364CB">
        <w:t xml:space="preserve"> low</w:t>
      </w:r>
      <w:r w:rsidRPr="00B364CB">
        <w:t xml:space="preserve">. This creates issues for customers who cannot rely on their hydrogen supply and can be particularly problematic for </w:t>
      </w:r>
      <w:r w:rsidR="007D28F1" w:rsidRPr="00B364CB">
        <w:t>HDV</w:t>
      </w:r>
      <w:r w:rsidRPr="00B364CB">
        <w:t xml:space="preserve"> users. This situation will be partly resolved through increased throughput at the stations but will also benefit from improved components (particularly compressors and dispensers);</w:t>
      </w:r>
    </w:p>
    <w:p w14:paraId="519F17BE" w14:textId="455D1895" w:rsidR="00DE353A" w:rsidRPr="00B364CB" w:rsidRDefault="00DE353A" w:rsidP="00373FB8">
      <w:pPr>
        <w:pStyle w:val="MAWPBodytextbullets"/>
      </w:pPr>
      <w:r w:rsidRPr="00B364CB">
        <w:t xml:space="preserve">The permitting and construction process is too long – leading to a need to improve standardisation, technical certification and also levels of education and awareness amongst regulators; </w:t>
      </w:r>
    </w:p>
    <w:p w14:paraId="5F5EB0EF" w14:textId="53B8648E" w:rsidR="00DE353A" w:rsidRPr="00B364CB" w:rsidRDefault="00DE353A" w:rsidP="00373FB8">
      <w:pPr>
        <w:pStyle w:val="MAWPBodytextbullets"/>
      </w:pPr>
      <w:r w:rsidRPr="00B364CB">
        <w:t xml:space="preserve">The design of the HRS is heavily influenced by the respective fuelling protocols which need to be jointly developed with vehicle manufacturers to allow a safe and reliable refuelling. Regarding maturity, refuelling protocols for Light Duty </w:t>
      </w:r>
      <w:r w:rsidR="002B7BC1" w:rsidRPr="00B364CB">
        <w:t>Vehicles</w:t>
      </w:r>
      <w:r w:rsidR="007D28F1" w:rsidRPr="00B364CB">
        <w:t xml:space="preserve"> (LDV)</w:t>
      </w:r>
      <w:r w:rsidR="002B7BC1" w:rsidRPr="00B364CB">
        <w:t xml:space="preserve"> </w:t>
      </w:r>
      <w:r w:rsidRPr="00B364CB">
        <w:t>will be in place more readily, while for heavy duty vehicles there is an urgent need for their quick development in order to enable the massive deployment of HDV foreseen by 2030;</w:t>
      </w:r>
    </w:p>
    <w:p w14:paraId="4EB6A3A7" w14:textId="7EA7D84C" w:rsidR="00DE353A" w:rsidRPr="00B364CB" w:rsidRDefault="00DE353A" w:rsidP="00373FB8">
      <w:pPr>
        <w:pStyle w:val="MAWPBodytextbullets"/>
      </w:pPr>
      <w:r w:rsidRPr="00B364CB">
        <w:t xml:space="preserve">In addition, there is technical work which needs to be done to develop and optimise concepts for high capacity refuelling for heavy duty vehicles &amp; vessels, as well as to facilitate the use of </w:t>
      </w:r>
      <w:r w:rsidR="00A44FE3" w:rsidRPr="00B364CB">
        <w:t>renewable h</w:t>
      </w:r>
      <w:r w:rsidRPr="00B364CB">
        <w:t>ydrogen, e.g. produced onsite by electrolysis or biomass. Heavy duty transport is expected to be a relevant driver for HRS deployment;</w:t>
      </w:r>
    </w:p>
    <w:p w14:paraId="4DA5E67E" w14:textId="5CFFBF98" w:rsidR="00DE353A" w:rsidRPr="00B364CB" w:rsidRDefault="00DE353A" w:rsidP="00373FB8">
      <w:pPr>
        <w:pStyle w:val="MAWPBodytextbullets"/>
      </w:pPr>
      <w:r w:rsidRPr="00B364CB">
        <w:t>Finally, there is a lack or limited availability of existing cross-border infrastructure and cooperation.</w:t>
      </w:r>
    </w:p>
    <w:p w14:paraId="290EF65E" w14:textId="1A742BA2" w:rsidR="00F37509" w:rsidRPr="00B364CB" w:rsidRDefault="00F37509" w:rsidP="00DE353A">
      <w:pPr>
        <w:pStyle w:val="MAWPHeadingStyleLevel4"/>
      </w:pPr>
      <w:r w:rsidRPr="00B364CB">
        <w:rPr>
          <w:rFonts w:cs="Arial"/>
          <w:szCs w:val="22"/>
        </w:rPr>
        <w:t>Objectives</w:t>
      </w:r>
    </w:p>
    <w:p w14:paraId="22DC4FF2" w14:textId="79CBAB9C" w:rsidR="00DE353A" w:rsidRDefault="00DE353A" w:rsidP="002256F6">
      <w:pPr>
        <w:pStyle w:val="MAWPBodytextbullets"/>
        <w:numPr>
          <w:ilvl w:val="0"/>
          <w:numId w:val="56"/>
        </w:numPr>
      </w:pPr>
      <w:r w:rsidRPr="00B364CB">
        <w:t>To tackle the technical challenges associated with heavy-duty hydrogen refuelling stations in order to develop a commercial solution that conforms to the heavy-duty requirements</w:t>
      </w:r>
      <w:r w:rsidR="00467AE0">
        <w:t>;</w:t>
      </w:r>
    </w:p>
    <w:p w14:paraId="5742DF55" w14:textId="27DC9C1B" w:rsidR="002D68F5" w:rsidRDefault="0065512F" w:rsidP="002256F6">
      <w:pPr>
        <w:pStyle w:val="MAWPBodytextbullets"/>
        <w:numPr>
          <w:ilvl w:val="0"/>
          <w:numId w:val="56"/>
        </w:numPr>
      </w:pPr>
      <w:r>
        <w:t xml:space="preserve">To reduce the energy consumption of Hydrogen Refuelling </w:t>
      </w:r>
      <w:r w:rsidR="00040515">
        <w:t>S</w:t>
      </w:r>
      <w:r>
        <w:t>tations</w:t>
      </w:r>
      <w:r w:rsidR="00467AE0">
        <w:t>;</w:t>
      </w:r>
    </w:p>
    <w:p w14:paraId="11461F76" w14:textId="40C9AA37" w:rsidR="0065512F" w:rsidRPr="00B364CB" w:rsidRDefault="0065512F" w:rsidP="002256F6">
      <w:pPr>
        <w:pStyle w:val="MAWPBodytextbullets"/>
        <w:numPr>
          <w:ilvl w:val="0"/>
          <w:numId w:val="56"/>
        </w:numPr>
      </w:pPr>
      <w:r>
        <w:t>To increase the reliability and availability of Hydrogen Refuelling Stations</w:t>
      </w:r>
      <w:r w:rsidR="00467AE0">
        <w:t>;</w:t>
      </w:r>
    </w:p>
    <w:p w14:paraId="3C981D72" w14:textId="66581CE7" w:rsidR="0065512F" w:rsidRDefault="002D68F5" w:rsidP="002256F6">
      <w:pPr>
        <w:pStyle w:val="MAWPBodytextbullets"/>
        <w:numPr>
          <w:ilvl w:val="0"/>
          <w:numId w:val="56"/>
        </w:numPr>
      </w:pPr>
      <w:r w:rsidRPr="00B364CB">
        <w:t xml:space="preserve">To support the creation of a network of Heavy-duty </w:t>
      </w:r>
      <w:r w:rsidR="007D28F1" w:rsidRPr="00B364CB">
        <w:t>HRS</w:t>
      </w:r>
      <w:r w:rsidRPr="00B364CB">
        <w:t xml:space="preserve"> across Europe</w:t>
      </w:r>
      <w:r w:rsidR="00467AE0">
        <w:t>;</w:t>
      </w:r>
    </w:p>
    <w:p w14:paraId="3A7EC8F6" w14:textId="759E2364" w:rsidR="002D68F5" w:rsidRDefault="0065512F" w:rsidP="002256F6">
      <w:pPr>
        <w:pStyle w:val="MAWPBodytextbullets"/>
        <w:numPr>
          <w:ilvl w:val="0"/>
          <w:numId w:val="56"/>
        </w:numPr>
      </w:pPr>
      <w:r>
        <w:t>To decrease</w:t>
      </w:r>
      <w:r w:rsidR="002D68F5" w:rsidRPr="00B364CB">
        <w:t xml:space="preserve"> the total cost of ownership of </w:t>
      </w:r>
      <w:r w:rsidR="007D28F1" w:rsidRPr="00B364CB">
        <w:t>H</w:t>
      </w:r>
      <w:r>
        <w:t>ydrogen Refuelling Stations</w:t>
      </w:r>
      <w:r w:rsidR="00467AE0">
        <w:t>.</w:t>
      </w:r>
    </w:p>
    <w:p w14:paraId="15C1E0B5" w14:textId="1F37A794" w:rsidR="00CE70C1" w:rsidRPr="00B364CB" w:rsidRDefault="00CE70C1" w:rsidP="00CE70C1">
      <w:pPr>
        <w:pStyle w:val="MAWP-Bodytext"/>
      </w:pPr>
      <w:r w:rsidRPr="00CE70C1">
        <w:t xml:space="preserve">In order to contribute towards achieving the above objectives, the following areas of research and development appear as good candidates for the support by the </w:t>
      </w:r>
      <w:r w:rsidR="00831A2C">
        <w:t xml:space="preserve">Clean Hydrogen </w:t>
      </w:r>
      <w:r w:rsidRPr="00CE70C1">
        <w:t>JU.</w:t>
      </w:r>
    </w:p>
    <w:p w14:paraId="48FFB3B6" w14:textId="3A0693D2" w:rsidR="00671C59" w:rsidRPr="00B364CB" w:rsidRDefault="00671C59" w:rsidP="00373FB8">
      <w:pPr>
        <w:pStyle w:val="MAWPHeadingStyleLevel4"/>
      </w:pPr>
      <w:r w:rsidRPr="00B364CB">
        <w:t>R&amp;D Priorities - Early Stage Research Actions</w:t>
      </w:r>
    </w:p>
    <w:p w14:paraId="6D60CC36" w14:textId="4890ABB9" w:rsidR="00096106" w:rsidRPr="00B364CB" w:rsidRDefault="00AC766C" w:rsidP="00761165">
      <w:pPr>
        <w:pStyle w:val="MAWPBodytextbullets"/>
      </w:pPr>
      <w:r w:rsidRPr="00B364CB">
        <w:t>Better interfacing technology is required between hydrogen vehicles and HRS to ensure optimal (and safe) filling protocols</w:t>
      </w:r>
      <w:r w:rsidR="00096106" w:rsidRPr="00B364CB">
        <w:t>;</w:t>
      </w:r>
    </w:p>
    <w:p w14:paraId="7D8682EC" w14:textId="2C26FCC2" w:rsidR="00AC766C" w:rsidRPr="00B364CB" w:rsidRDefault="00AC766C" w:rsidP="00761165">
      <w:pPr>
        <w:pStyle w:val="MAWPBodytextbullets"/>
      </w:pPr>
      <w:r w:rsidRPr="00B364CB">
        <w:t xml:space="preserve">Increase flexibility and enable low inlet pressure are necessary to support the use of </w:t>
      </w:r>
      <w:r w:rsidR="00A44FE3" w:rsidRPr="00B364CB">
        <w:t xml:space="preserve">renewable </w:t>
      </w:r>
      <w:r w:rsidR="002F7C48" w:rsidRPr="00B364CB">
        <w:t xml:space="preserve">hydrogen </w:t>
      </w:r>
      <w:r w:rsidRPr="00B364CB">
        <w:t xml:space="preserve">produced </w:t>
      </w:r>
      <w:r w:rsidR="009236AC" w:rsidRPr="00B364CB">
        <w:t>on-site</w:t>
      </w:r>
      <w:r w:rsidR="00F37509" w:rsidRPr="00B364CB">
        <w:t>;</w:t>
      </w:r>
    </w:p>
    <w:p w14:paraId="7CEA312B" w14:textId="4306AE50" w:rsidR="0048040A" w:rsidRPr="00B364CB" w:rsidRDefault="00591EC5" w:rsidP="00761165">
      <w:pPr>
        <w:pStyle w:val="MAWPBodytextbullets"/>
      </w:pPr>
      <w:r>
        <w:t>Specific components</w:t>
      </w:r>
      <w:r w:rsidR="0048040A" w:rsidRPr="00B364CB">
        <w:t xml:space="preserve"> are currently missing and need to be developed to contribute in the HRS schedule e.g.: </w:t>
      </w:r>
      <w:r w:rsidR="000D4224" w:rsidRPr="00B364CB">
        <w:t>heavy-</w:t>
      </w:r>
      <w:r w:rsidR="0048040A" w:rsidRPr="00B364CB">
        <w:t>duty nozzles an</w:t>
      </w:r>
      <w:r w:rsidR="000D4224" w:rsidRPr="00B364CB">
        <w:t>d flexibles, chillers for heavy-</w:t>
      </w:r>
      <w:r w:rsidR="0048040A" w:rsidRPr="00B364CB">
        <w:t xml:space="preserve">duty </w:t>
      </w:r>
      <w:r w:rsidR="0048040A" w:rsidRPr="00B364CB">
        <w:lastRenderedPageBreak/>
        <w:t>purpose</w:t>
      </w:r>
      <w:r w:rsidR="000D4224" w:rsidRPr="00B364CB">
        <w:t>s</w:t>
      </w:r>
      <w:r w:rsidR="0048040A" w:rsidRPr="00B364CB">
        <w:t>, multipurpose refuelling protocols.</w:t>
      </w:r>
    </w:p>
    <w:p w14:paraId="063A6BF0" w14:textId="76D9B094" w:rsidR="00AC766C" w:rsidRPr="00B364CB" w:rsidRDefault="000367F9" w:rsidP="000367F9">
      <w:pPr>
        <w:pStyle w:val="MAWPHeadingStyleLevel4"/>
        <w:rPr>
          <w:rFonts w:cs="Arial"/>
          <w:b/>
        </w:rPr>
      </w:pPr>
      <w:r w:rsidRPr="00B364CB">
        <w:t xml:space="preserve">R&amp;D Priorities - </w:t>
      </w:r>
      <w:r w:rsidR="00AC766C" w:rsidRPr="00B364CB">
        <w:t>Development Research Actions</w:t>
      </w:r>
    </w:p>
    <w:p w14:paraId="21D68CE7" w14:textId="0B4FC4E0" w:rsidR="00AC766C" w:rsidRPr="00B364CB" w:rsidRDefault="00AC766C" w:rsidP="00761165">
      <w:pPr>
        <w:pStyle w:val="MAWPBodytextbullets"/>
      </w:pPr>
      <w:r w:rsidRPr="00B364CB">
        <w:t>Development of new approaches to decrease overall HRS footprint</w:t>
      </w:r>
      <w:r w:rsidR="00F37509" w:rsidRPr="00B364CB">
        <w:t>;</w:t>
      </w:r>
      <w:r w:rsidRPr="00B364CB">
        <w:t xml:space="preserve"> </w:t>
      </w:r>
    </w:p>
    <w:p w14:paraId="3EE837E2" w14:textId="426E4EF5" w:rsidR="00AC766C" w:rsidRPr="00B364CB" w:rsidRDefault="00AC766C" w:rsidP="00761165">
      <w:pPr>
        <w:pStyle w:val="MAWPBodytextbullets"/>
      </w:pPr>
      <w:r w:rsidRPr="00B364CB">
        <w:t xml:space="preserve">Develop high throughput stations for large scale vehicles (ships, fleets of trains, large fleets of buses or trucks), including </w:t>
      </w:r>
      <w:r w:rsidR="007D28F1" w:rsidRPr="00B364CB">
        <w:t xml:space="preserve">higher than </w:t>
      </w:r>
      <w:r w:rsidRPr="00B364CB">
        <w:t>1,000</w:t>
      </w:r>
      <w:r w:rsidR="0092109F">
        <w:t> </w:t>
      </w:r>
      <w:r w:rsidRPr="00B364CB">
        <w:t>kg/day capacity and individual fills in excess of 200</w:t>
      </w:r>
      <w:r w:rsidR="0092109F">
        <w:t> </w:t>
      </w:r>
      <w:r w:rsidRPr="00B364CB">
        <w:t>kg (in less than 20 minutes)</w:t>
      </w:r>
      <w:r w:rsidR="00F37509" w:rsidRPr="00B364CB">
        <w:t>;</w:t>
      </w:r>
    </w:p>
    <w:p w14:paraId="6DB4BB41" w14:textId="66E9A70B" w:rsidR="00AC766C" w:rsidRPr="00B364CB" w:rsidRDefault="00AC766C" w:rsidP="00761165">
      <w:pPr>
        <w:pStyle w:val="MAWPBodytextbullets"/>
      </w:pPr>
      <w:r w:rsidRPr="00B364CB">
        <w:t xml:space="preserve">Reduction in the CAPEX and OPEX of </w:t>
      </w:r>
      <w:r w:rsidR="00744C96" w:rsidRPr="00B364CB">
        <w:t xml:space="preserve">high capacity </w:t>
      </w:r>
      <w:r w:rsidRPr="00B364CB">
        <w:t>HRS through integrating innovative technological components – development work here would focus on how to integrate those components</w:t>
      </w:r>
      <w:r w:rsidR="00F37509" w:rsidRPr="00B364CB">
        <w:t>;</w:t>
      </w:r>
    </w:p>
    <w:p w14:paraId="4980AADE" w14:textId="253C8CAB" w:rsidR="00AC766C" w:rsidRPr="00B364CB" w:rsidRDefault="00AC766C" w:rsidP="00761165">
      <w:pPr>
        <w:pStyle w:val="MAWPBodytextbullets"/>
      </w:pPr>
      <w:r w:rsidRPr="00B364CB">
        <w:t xml:space="preserve">Facilitate the use of locally produced </w:t>
      </w:r>
      <w:r w:rsidR="00F37509" w:rsidRPr="00B364CB">
        <w:t xml:space="preserve">renewable </w:t>
      </w:r>
      <w:r w:rsidR="00140652" w:rsidRPr="00B364CB">
        <w:t>hydrogen</w:t>
      </w:r>
      <w:r w:rsidRPr="00B364CB">
        <w:t xml:space="preserve">, e.g. by enabling low inlet pressure and flexible operation for </w:t>
      </w:r>
      <w:r w:rsidR="00F37509" w:rsidRPr="00B364CB">
        <w:t>variable</w:t>
      </w:r>
      <w:r w:rsidRPr="00B364CB">
        <w:t xml:space="preserve"> RE</w:t>
      </w:r>
      <w:r w:rsidR="00F37509" w:rsidRPr="00B364CB">
        <w:t>S</w:t>
      </w:r>
      <w:r w:rsidRPr="00B364CB">
        <w:t>.</w:t>
      </w:r>
      <w:r w:rsidRPr="00B364CB">
        <w:rPr>
          <w:highlight w:val="yellow"/>
        </w:rPr>
        <w:t xml:space="preserve"> </w:t>
      </w:r>
    </w:p>
    <w:p w14:paraId="217D284E" w14:textId="236619BF" w:rsidR="00AC766C" w:rsidRPr="00B364CB" w:rsidRDefault="00F43A04" w:rsidP="000367F9">
      <w:pPr>
        <w:pStyle w:val="MAWPHeadingStyleLevel4"/>
      </w:pPr>
      <w:r w:rsidRPr="00B364CB">
        <w:t>R&amp;D Priorities - Demonstration Actions</w:t>
      </w:r>
      <w:r w:rsidR="00AC766C" w:rsidRPr="00B364CB">
        <w:t xml:space="preserve"> </w:t>
      </w:r>
    </w:p>
    <w:p w14:paraId="02AD778D" w14:textId="143D704E" w:rsidR="00AC766C" w:rsidRPr="00B364CB" w:rsidRDefault="0082236F" w:rsidP="00761165">
      <w:pPr>
        <w:pStyle w:val="MAWPBodytextbullets"/>
      </w:pPr>
      <w:r w:rsidRPr="00B364CB">
        <w:t>Standardise</w:t>
      </w:r>
      <w:r w:rsidR="00AC766C" w:rsidRPr="00B364CB">
        <w:t xml:space="preserve"> and industrialise</w:t>
      </w:r>
      <w:r w:rsidR="00DA5224" w:rsidRPr="00B364CB">
        <w:t xml:space="preserve"> heavy duty</w:t>
      </w:r>
      <w:r w:rsidR="00AC766C" w:rsidRPr="00B364CB">
        <w:t xml:space="preserve"> HRS equipment and components</w:t>
      </w:r>
      <w:r w:rsidR="00F37509" w:rsidRPr="00B364CB">
        <w:t>;</w:t>
      </w:r>
    </w:p>
    <w:p w14:paraId="53D009B4" w14:textId="5F0E494A" w:rsidR="00AC766C" w:rsidRPr="00B364CB" w:rsidRDefault="00AC766C" w:rsidP="00761165">
      <w:pPr>
        <w:pStyle w:val="MAWPBodytextbullets"/>
      </w:pPr>
      <w:r w:rsidRPr="00B364CB">
        <w:t>Increase the reliability, safety and availability of</w:t>
      </w:r>
      <w:r w:rsidR="00DA5224" w:rsidRPr="00B364CB">
        <w:t xml:space="preserve"> heavy duty </w:t>
      </w:r>
      <w:r w:rsidRPr="00B364CB">
        <w:t>HRS equipment and infrastructure</w:t>
      </w:r>
      <w:r w:rsidR="00845576">
        <w:t xml:space="preserve"> for all road vehicles</w:t>
      </w:r>
      <w:r w:rsidR="00F37509" w:rsidRPr="00B364CB">
        <w:t>;</w:t>
      </w:r>
    </w:p>
    <w:p w14:paraId="6F11220C" w14:textId="19DC015C" w:rsidR="00AC766C" w:rsidRPr="00B364CB" w:rsidRDefault="00F03C67" w:rsidP="00761165">
      <w:pPr>
        <w:pStyle w:val="MAWPBodytextbullets"/>
      </w:pPr>
      <w:r w:rsidRPr="00B364CB">
        <w:t>D</w:t>
      </w:r>
      <w:r w:rsidR="00AC766C" w:rsidRPr="00B364CB">
        <w:t>eployment of high throughput stations (multi-ton/day) for large scale ships, fleets of trains or large fleets of buses and trucks</w:t>
      </w:r>
      <w:r w:rsidR="00F37509" w:rsidRPr="00B364CB">
        <w:t>;</w:t>
      </w:r>
    </w:p>
    <w:p w14:paraId="7F54072A" w14:textId="29CB8856" w:rsidR="00AC766C" w:rsidRPr="00B364CB" w:rsidRDefault="00AC766C" w:rsidP="00761165">
      <w:pPr>
        <w:pStyle w:val="MAWPBodytextbullets"/>
      </w:pPr>
      <w:r w:rsidRPr="00B364CB">
        <w:t xml:space="preserve">Support improved efficiency and </w:t>
      </w:r>
      <w:r w:rsidR="00591EC5">
        <w:t>minimisation of</w:t>
      </w:r>
      <w:r w:rsidRPr="00B364CB">
        <w:t xml:space="preserve"> boil off during </w:t>
      </w:r>
      <w:r w:rsidR="00140652" w:rsidRPr="00B364CB">
        <w:t>hydrogen</w:t>
      </w:r>
      <w:r w:rsidRPr="00B364CB">
        <w:t xml:space="preserve"> transfer and distribution at a HRS based on liquid hydrogen</w:t>
      </w:r>
      <w:r w:rsidR="00F37509" w:rsidRPr="00B364CB">
        <w:t>;</w:t>
      </w:r>
    </w:p>
    <w:p w14:paraId="55A3CA2C" w14:textId="77777777" w:rsidR="00AC766C" w:rsidRPr="00B364CB" w:rsidRDefault="00AC766C" w:rsidP="00761165">
      <w:pPr>
        <w:pStyle w:val="MAWPBodytextbullets"/>
      </w:pPr>
      <w:r w:rsidRPr="00B364CB">
        <w:t>Explore novel business models, for example, on-demand hydrogen refuelling and compact hydrogen mobile stations.</w:t>
      </w:r>
    </w:p>
    <w:p w14:paraId="33BE1753" w14:textId="77777777" w:rsidR="00AC766C" w:rsidRPr="00B364CB" w:rsidRDefault="00AC766C" w:rsidP="009D707B">
      <w:pPr>
        <w:pStyle w:val="MAWPHeadingStyleLevel4"/>
        <w:rPr>
          <w:bCs w:val="0"/>
        </w:rPr>
      </w:pPr>
      <w:r w:rsidRPr="00B364CB">
        <w:t>Flagship Actions</w:t>
      </w:r>
    </w:p>
    <w:p w14:paraId="546236B8" w14:textId="1D612FB2" w:rsidR="00AC766C" w:rsidRPr="00B364CB" w:rsidRDefault="00AC766C" w:rsidP="00761165">
      <w:pPr>
        <w:pStyle w:val="MAWP-Bodytext"/>
        <w:rPr>
          <w:rStyle w:val="MAWPTitle"/>
          <w:bCs w:val="0"/>
          <w:color w:val="000000"/>
          <w:sz w:val="22"/>
          <w:shd w:val="clear" w:color="auto" w:fill="auto"/>
          <w:lang w:val="en-GB" w:eastAsia="en-GB" w:bidi="en-US"/>
        </w:rPr>
      </w:pPr>
      <w:r w:rsidRPr="00B364CB">
        <w:rPr>
          <w:rStyle w:val="MAWPTitle"/>
          <w:bCs w:val="0"/>
          <w:color w:val="000000"/>
          <w:sz w:val="22"/>
          <w:shd w:val="clear" w:color="auto" w:fill="auto"/>
          <w:lang w:val="en-GB" w:eastAsia="en-GB" w:bidi="en-US"/>
        </w:rPr>
        <w:t xml:space="preserve">Funding through flagship actions will help encourage HRS operators to invest in hydrogen technology by lowering the initial capital cost of HRS and hence helping to create the initial networks required to deploy hydrogen vehicle technologies. </w:t>
      </w:r>
    </w:p>
    <w:p w14:paraId="69895F69" w14:textId="3701B7D9" w:rsidR="00F37509" w:rsidRPr="00B364CB" w:rsidRDefault="00F37509" w:rsidP="00F37509">
      <w:pPr>
        <w:pStyle w:val="MAWPHeadingStyleLevel4"/>
      </w:pPr>
      <w:r w:rsidRPr="00B364CB">
        <w:t xml:space="preserve">Synergies </w:t>
      </w:r>
    </w:p>
    <w:p w14:paraId="10BAE9EA" w14:textId="3E728C63" w:rsidR="00F03C67" w:rsidRPr="00B364CB" w:rsidRDefault="00F03C67" w:rsidP="00F03C67">
      <w:pPr>
        <w:pStyle w:val="MAWP-Bodytext"/>
      </w:pPr>
      <w:r w:rsidRPr="00B364CB">
        <w:t xml:space="preserve">Synergies with </w:t>
      </w:r>
      <w:r w:rsidR="007D28F1" w:rsidRPr="00B364CB">
        <w:t>CEF</w:t>
      </w:r>
      <w:r w:rsidRPr="00B364CB">
        <w:t xml:space="preserve"> can be foreseen to support a roll-out of </w:t>
      </w:r>
      <w:r w:rsidR="00845576">
        <w:t>road</w:t>
      </w:r>
      <w:r w:rsidRPr="00B364CB">
        <w:t xml:space="preserve"> </w:t>
      </w:r>
      <w:r w:rsidR="007D28F1" w:rsidRPr="00B364CB">
        <w:t>HRS</w:t>
      </w:r>
      <w:r w:rsidRPr="00B364CB">
        <w:t>.</w:t>
      </w:r>
      <w:r w:rsidRPr="00B364CB">
        <w:rPr>
          <w:rStyle w:val="MAWPTitle"/>
          <w:bCs w:val="0"/>
          <w:color w:val="000000"/>
          <w:sz w:val="22"/>
          <w:shd w:val="clear" w:color="auto" w:fill="auto"/>
          <w:lang w:val="en-GB" w:eastAsia="en-GB" w:bidi="en-US"/>
        </w:rPr>
        <w:t xml:space="preserve"> European support is envisaged alongside Member State support for a large HRS deployment in Europe.</w:t>
      </w:r>
      <w:r w:rsidRPr="00B364CB">
        <w:t xml:space="preserve"> See Section </w:t>
      </w:r>
      <w:r w:rsidRPr="00B364CB">
        <w:fldChar w:fldCharType="begin"/>
      </w:r>
      <w:r w:rsidRPr="00B364CB">
        <w:instrText xml:space="preserve"> REF _Ref55249545 \r \h  \* MERGEFORMAT </w:instrText>
      </w:r>
      <w:r w:rsidRPr="00B364CB">
        <w:fldChar w:fldCharType="separate"/>
      </w:r>
      <w:r w:rsidR="00331EBC">
        <w:t>4.1</w:t>
      </w:r>
      <w:r w:rsidRPr="00B364CB">
        <w:fldChar w:fldCharType="end"/>
      </w:r>
      <w:r w:rsidRPr="00B364CB">
        <w:t xml:space="preserve"> </w:t>
      </w:r>
      <w:r w:rsidR="00B77E48">
        <w:t xml:space="preserve">and Annex 7 </w:t>
      </w:r>
      <w:r w:rsidRPr="00B364CB">
        <w:t xml:space="preserve">for more details on the synergies. </w:t>
      </w:r>
    </w:p>
    <w:p w14:paraId="31042885" w14:textId="6C93C839" w:rsidR="00154D01" w:rsidRPr="00B364CB" w:rsidRDefault="00154D01" w:rsidP="006802D3">
      <w:pPr>
        <w:pStyle w:val="Subtitle"/>
      </w:pPr>
      <w:bookmarkStart w:id="89" w:name="_Ref64056712"/>
      <w:bookmarkStart w:id="90" w:name="_Toc64640557"/>
      <w:bookmarkStart w:id="91" w:name="_Toc93907325"/>
      <w:r w:rsidRPr="00B364CB">
        <w:t>Hydrogen</w:t>
      </w:r>
      <w:r w:rsidR="000F0BC6" w:rsidRPr="00B364CB">
        <w:t xml:space="preserve"> end</w:t>
      </w:r>
      <w:r w:rsidRPr="00B364CB">
        <w:t xml:space="preserve"> uses</w:t>
      </w:r>
      <w:r w:rsidR="00C14C0C" w:rsidRPr="00B364CB">
        <w:t>: Transport applications</w:t>
      </w:r>
      <w:bookmarkEnd w:id="89"/>
      <w:bookmarkEnd w:id="90"/>
      <w:bookmarkEnd w:id="91"/>
    </w:p>
    <w:p w14:paraId="3A405FF8" w14:textId="3E44C219" w:rsidR="000100F4" w:rsidRPr="00CF0DF4" w:rsidRDefault="000100F4" w:rsidP="00761165">
      <w:pPr>
        <w:pStyle w:val="MAWP-Bodytext"/>
      </w:pPr>
      <w:r w:rsidRPr="00B364CB">
        <w:t>Transport is a key area of economic growth in our society</w:t>
      </w:r>
      <w:r w:rsidR="004D652A" w:rsidRPr="00B364CB">
        <w:t>,</w:t>
      </w:r>
      <w:r w:rsidRPr="00B364CB">
        <w:t xml:space="preserve"> responsible for </w:t>
      </w:r>
      <w:r w:rsidR="004D652A" w:rsidRPr="00B364CB">
        <w:t xml:space="preserve">around </w:t>
      </w:r>
      <w:r w:rsidRPr="00B364CB">
        <w:t xml:space="preserve">30% of EU </w:t>
      </w:r>
      <w:r w:rsidR="004D652A" w:rsidRPr="00B364CB">
        <w:t xml:space="preserve">total </w:t>
      </w:r>
      <w:r w:rsidRPr="00B364CB">
        <w:t>CO</w:t>
      </w:r>
      <w:r w:rsidRPr="00B364CB">
        <w:rPr>
          <w:vertAlign w:val="subscript"/>
        </w:rPr>
        <w:t>2</w:t>
      </w:r>
      <w:r w:rsidRPr="00B364CB">
        <w:t xml:space="preserve"> emissions. </w:t>
      </w:r>
      <w:r w:rsidR="004D652A" w:rsidRPr="00B364CB">
        <w:t xml:space="preserve">Most importantly, </w:t>
      </w:r>
      <w:r w:rsidR="00D06574" w:rsidRPr="00B364CB">
        <w:t xml:space="preserve">global </w:t>
      </w:r>
      <w:r w:rsidR="004D652A" w:rsidRPr="00B364CB">
        <w:t>t</w:t>
      </w:r>
      <w:r w:rsidRPr="00B364CB">
        <w:t>ransport CO</w:t>
      </w:r>
      <w:r w:rsidRPr="00B364CB">
        <w:rPr>
          <w:vertAlign w:val="subscript"/>
        </w:rPr>
        <w:t>2</w:t>
      </w:r>
      <w:r w:rsidRPr="00B364CB">
        <w:t xml:space="preserve"> emissions </w:t>
      </w:r>
      <w:r w:rsidR="004D652A" w:rsidRPr="00B364CB">
        <w:t xml:space="preserve">are expected to </w:t>
      </w:r>
      <w:r w:rsidRPr="00B364CB">
        <w:t>increas</w:t>
      </w:r>
      <w:r w:rsidR="004D652A" w:rsidRPr="00B364CB">
        <w:t>e</w:t>
      </w:r>
      <w:r w:rsidRPr="00B364CB">
        <w:t xml:space="preserve"> in </w:t>
      </w:r>
      <w:r w:rsidR="004D652A" w:rsidRPr="00B364CB">
        <w:t xml:space="preserve">the </w:t>
      </w:r>
      <w:r w:rsidRPr="00B364CB">
        <w:t>future</w:t>
      </w:r>
      <w:r w:rsidR="00FE5292" w:rsidRPr="00B364CB">
        <w:t xml:space="preserve"> in a business as usual scenario</w:t>
      </w:r>
      <w:r w:rsidRPr="00B364CB">
        <w:t xml:space="preserve">, as the technical improvements in </w:t>
      </w:r>
      <w:r w:rsidR="004D652A" w:rsidRPr="00B364CB">
        <w:t xml:space="preserve">the conventional </w:t>
      </w:r>
      <w:r w:rsidRPr="00B364CB">
        <w:t xml:space="preserve">thermal engines </w:t>
      </w:r>
      <w:r w:rsidR="004D652A" w:rsidRPr="00B364CB">
        <w:t>do not seem</w:t>
      </w:r>
      <w:r w:rsidRPr="00B364CB">
        <w:t xml:space="preserve"> sufficient to abate emissions from the ever-increasing fleets of newly registered vehicles, heavy-duty trucks, </w:t>
      </w:r>
      <w:r w:rsidRPr="00CF0DF4">
        <w:t xml:space="preserve">aircrafts, trains and ships. </w:t>
      </w:r>
      <w:r w:rsidR="0082236F" w:rsidRPr="00CF0DF4">
        <w:t xml:space="preserve">The European Green Deal </w:t>
      </w:r>
      <w:r w:rsidR="00D06574" w:rsidRPr="00CF0DF4">
        <w:t>has set the ambition for at least 90% reduction in transport emissions by 2050 to be consistent with climate neutrality</w:t>
      </w:r>
      <w:r w:rsidR="0082236F" w:rsidRPr="00CF0DF4">
        <w:t>. Hence, there is a</w:t>
      </w:r>
      <w:r w:rsidRPr="00CF0DF4">
        <w:t xml:space="preserve"> need to urgently take measures to </w:t>
      </w:r>
      <w:r w:rsidR="0082236F" w:rsidRPr="00CF0DF4">
        <w:t>decarbonise</w:t>
      </w:r>
      <w:r w:rsidRPr="00CF0DF4">
        <w:t xml:space="preserve"> the transport sector. </w:t>
      </w:r>
    </w:p>
    <w:p w14:paraId="348B29F8" w14:textId="6D679DC6" w:rsidR="00B279F2" w:rsidRDefault="000100F4" w:rsidP="00B279F2">
      <w:pPr>
        <w:pStyle w:val="MAWP-Bodytext"/>
      </w:pPr>
      <w:r w:rsidRPr="00CF0DF4">
        <w:t xml:space="preserve">Regulatory aspects will define the speed of adoption of new zero emissions transport means. </w:t>
      </w:r>
      <w:r w:rsidR="000E0534" w:rsidRPr="00CF0DF4">
        <w:lastRenderedPageBreak/>
        <w:t xml:space="preserve">The ‘Fit for 55’ package proposes a number of policy measures that promote the use of hydrogen as a low carbon fuel in the transport sector. </w:t>
      </w:r>
      <w:r w:rsidR="003F033F">
        <w:t xml:space="preserve">Significant focus falls on the road transport sector, </w:t>
      </w:r>
      <w:r w:rsidR="008D51D7">
        <w:t xml:space="preserve">by </w:t>
      </w:r>
      <w:r w:rsidR="003F033F">
        <w:t xml:space="preserve">requiring the reduction in </w:t>
      </w:r>
      <w:r w:rsidR="008D51D7">
        <w:t>CO2 emissions from cars and light vehicles</w:t>
      </w:r>
      <w:r w:rsidR="003F033F">
        <w:t xml:space="preserve"> via</w:t>
      </w:r>
      <w:r w:rsidR="008D51D7" w:rsidRPr="00CF0DF4">
        <w:t xml:space="preserve"> measures</w:t>
      </w:r>
      <w:r w:rsidR="008D51D7">
        <w:t xml:space="preserve"> such as</w:t>
      </w:r>
      <w:r w:rsidR="000E0534" w:rsidRPr="00CF0DF4">
        <w:t xml:space="preserve"> the introduction of emissions trading in transport</w:t>
      </w:r>
      <w:r w:rsidR="003F033F">
        <w:t xml:space="preserve"> (ETS-2)</w:t>
      </w:r>
      <w:r w:rsidR="000E0534" w:rsidRPr="00CF0DF4">
        <w:t>, more stringent CO2 standard</w:t>
      </w:r>
      <w:r w:rsidR="003F033F">
        <w:t>s</w:t>
      </w:r>
      <w:r w:rsidR="000E0534" w:rsidRPr="00CF0DF4">
        <w:t>, facilitating the development of the necessary hydrogen infrastructure and promoting higher shares of renewable fuels. There is also</w:t>
      </w:r>
      <w:r w:rsidR="008D51D7">
        <w:t xml:space="preserve"> considerable</w:t>
      </w:r>
      <w:r w:rsidR="000E0534" w:rsidRPr="00CF0DF4">
        <w:t xml:space="preserve"> focus in</w:t>
      </w:r>
      <w:r w:rsidRPr="00CF0DF4">
        <w:t xml:space="preserve"> maritime transport, including </w:t>
      </w:r>
      <w:r w:rsidR="000E0534" w:rsidRPr="00CF0DF4">
        <w:t xml:space="preserve">regulating </w:t>
      </w:r>
      <w:r w:rsidRPr="00CF0DF4">
        <w:t>access of the most polluting ships to EU ports</w:t>
      </w:r>
      <w:r w:rsidR="00B279F2" w:rsidRPr="00CF0DF4">
        <w:t>,</w:t>
      </w:r>
      <w:r w:rsidRPr="00CF0DF4">
        <w:t xml:space="preserve"> </w:t>
      </w:r>
      <w:r w:rsidR="000E0534" w:rsidRPr="00CF0DF4">
        <w:t>obliging</w:t>
      </w:r>
      <w:r w:rsidRPr="00CF0DF4">
        <w:t xml:space="preserve"> docked ships to use shore-side electricity</w:t>
      </w:r>
      <w:r w:rsidR="00B279F2" w:rsidRPr="00CF0DF4">
        <w:t xml:space="preserve"> and incentivising the increased uptake of sustainable alternative fuels</w:t>
      </w:r>
      <w:r w:rsidR="008D51D7">
        <w:t>, as well as specific targets for shore side electricity supply in TEN-T maritime and inland ports</w:t>
      </w:r>
      <w:r w:rsidRPr="00CF0DF4">
        <w:t xml:space="preserve">. Railway and aviation will </w:t>
      </w:r>
      <w:r w:rsidR="000E0534" w:rsidRPr="00CF0DF4">
        <w:t xml:space="preserve">need </w:t>
      </w:r>
      <w:r w:rsidRPr="00CF0DF4">
        <w:t>to contribute to the CO</w:t>
      </w:r>
      <w:r w:rsidRPr="00CF0DF4">
        <w:rPr>
          <w:vertAlign w:val="subscript"/>
        </w:rPr>
        <w:t>2</w:t>
      </w:r>
      <w:r w:rsidRPr="00CF0DF4">
        <w:t xml:space="preserve"> reduction of transport as well</w:t>
      </w:r>
      <w:r w:rsidR="000E0534" w:rsidRPr="00CF0DF4">
        <w:t>, but especially for aviation the ReFuelEU aviation proposal</w:t>
      </w:r>
      <w:r w:rsidR="000E0534" w:rsidRPr="00CF0DF4">
        <w:rPr>
          <w:rStyle w:val="FootnoteReference"/>
        </w:rPr>
        <w:footnoteReference w:id="87"/>
      </w:r>
      <w:r w:rsidR="00B279F2" w:rsidRPr="00CF0DF4">
        <w:t xml:space="preserve"> specifies that more research, effort and time will be needed to make these promising technologies more mature</w:t>
      </w:r>
      <w:r w:rsidR="00B279F2">
        <w:t xml:space="preserve"> for wider deployment after 2030.</w:t>
      </w:r>
    </w:p>
    <w:p w14:paraId="759252F7" w14:textId="6F193566" w:rsidR="000100F4" w:rsidRPr="00B364CB" w:rsidRDefault="000100F4" w:rsidP="00761165">
      <w:pPr>
        <w:pStyle w:val="MAWP-Bodytext"/>
      </w:pPr>
      <w:r w:rsidRPr="00B364CB">
        <w:t>Regarding transport, there are already some hydrogen applications that have proven to be on the verge of being ready for market deployment. FC material handling vehicles</w:t>
      </w:r>
      <w:r w:rsidR="00A84319" w:rsidRPr="00B364CB">
        <w:t xml:space="preserve"> (HyLIFT EUROPE and FCLIFT)</w:t>
      </w:r>
      <w:r w:rsidRPr="00B364CB">
        <w:t>, FC buses</w:t>
      </w:r>
      <w:r w:rsidR="00A84319" w:rsidRPr="00B364CB">
        <w:t xml:space="preserve"> (3EMOTION, JIVE and JIVE2)</w:t>
      </w:r>
      <w:r w:rsidRPr="00B364CB">
        <w:t xml:space="preserve"> and - to a lesser degree - FCEV passenger cars</w:t>
      </w:r>
      <w:r w:rsidR="00A84319" w:rsidRPr="00B364CB">
        <w:t xml:space="preserve"> (H2ME, H2ME2 and ZEFER)</w:t>
      </w:r>
      <w:r w:rsidRPr="00B364CB">
        <w:t>, have been successfully developed, demonstrated and, within the scope of activities of the FCH JU</w:t>
      </w:r>
      <w:r w:rsidR="008D48BE" w:rsidRPr="00B364CB">
        <w:t>s</w:t>
      </w:r>
      <w:r w:rsidRPr="00B364CB">
        <w:t xml:space="preserve">, have are already been deployed with limited further subsidies needed. </w:t>
      </w:r>
    </w:p>
    <w:p w14:paraId="0985C88B" w14:textId="43C84038" w:rsidR="000100F4" w:rsidRPr="00B364CB" w:rsidRDefault="007B5625" w:rsidP="00761165">
      <w:pPr>
        <w:pStyle w:val="MAWP-Bodytext"/>
      </w:pPr>
      <w:r w:rsidRPr="00B364CB">
        <w:t>Nevertheless, these developments are not sufficient to meet the ambitious emission reductions in transport.</w:t>
      </w:r>
      <w:r w:rsidR="00FE1BFE" w:rsidRPr="00B364CB">
        <w:t xml:space="preserve"> </w:t>
      </w:r>
      <w:r w:rsidRPr="00B364CB">
        <w:t>W</w:t>
      </w:r>
      <w:r w:rsidR="00FE1BFE" w:rsidRPr="00B364CB">
        <w:t xml:space="preserve">e still need to </w:t>
      </w:r>
      <w:r w:rsidR="0093269E">
        <w:t xml:space="preserve">further </w:t>
      </w:r>
      <w:r w:rsidR="00FE1BFE" w:rsidRPr="00B364CB">
        <w:t xml:space="preserve">examine and prove </w:t>
      </w:r>
      <w:r w:rsidR="000100F4" w:rsidRPr="00B364CB">
        <w:t xml:space="preserve">solutions in </w:t>
      </w:r>
      <w:r w:rsidR="004269B8">
        <w:t>many</w:t>
      </w:r>
      <w:r w:rsidR="000100F4" w:rsidRPr="00B364CB">
        <w:t xml:space="preserve"> sectors like heavy-duty vehicles, </w:t>
      </w:r>
      <w:r w:rsidR="006429FE">
        <w:t xml:space="preserve">off-road and industrial vehicles, </w:t>
      </w:r>
      <w:r w:rsidR="000100F4" w:rsidRPr="00B364CB">
        <w:t>trains, shipping and aviation.</w:t>
      </w:r>
      <w:r w:rsidR="00A4620B">
        <w:t xml:space="preserve"> Such solutions can be based on the transfer of </w:t>
      </w:r>
      <w:r w:rsidR="000100F4" w:rsidRPr="00B364CB">
        <w:t>technical knowledge already gained in FC</w:t>
      </w:r>
      <w:r w:rsidR="00F861B0">
        <w:t xml:space="preserve"> LDV</w:t>
      </w:r>
      <w:r w:rsidR="0082236F" w:rsidRPr="00B364CB">
        <w:t xml:space="preserve"> </w:t>
      </w:r>
      <w:r w:rsidR="000100F4" w:rsidRPr="00B364CB">
        <w:t xml:space="preserve">and FC buses, </w:t>
      </w:r>
      <w:r w:rsidR="00A4620B">
        <w:t xml:space="preserve">while cost reductions and higher efficiencies can be achieved </w:t>
      </w:r>
      <w:r w:rsidR="000100F4" w:rsidRPr="00B364CB">
        <w:t>by scaling and by process integration</w:t>
      </w:r>
      <w:r w:rsidR="00E06974">
        <w:t>,</w:t>
      </w:r>
      <w:r w:rsidR="000100F4" w:rsidRPr="00B364CB">
        <w:t xml:space="preserve"> </w:t>
      </w:r>
      <w:r w:rsidR="00E06974">
        <w:t xml:space="preserve">improving the competitiveness of these technologies </w:t>
      </w:r>
      <w:r w:rsidR="000100F4" w:rsidRPr="00B364CB">
        <w:t xml:space="preserve">with a roll down effect, e.g. by platform approaches of FC modules across sectors. </w:t>
      </w:r>
    </w:p>
    <w:p w14:paraId="6C6B24E1" w14:textId="140D12F0" w:rsidR="000100F4" w:rsidRPr="00B364CB" w:rsidRDefault="00FE1BFE" w:rsidP="00761165">
      <w:pPr>
        <w:pStyle w:val="MAWP-Bodytext"/>
      </w:pPr>
      <w:r w:rsidRPr="00B364CB">
        <w:t>A</w:t>
      </w:r>
      <w:r w:rsidR="000100F4" w:rsidRPr="00B364CB">
        <w:t xml:space="preserve"> </w:t>
      </w:r>
      <w:r w:rsidR="000100F4" w:rsidRPr="00332762">
        <w:t>number of technology routes still need further improvements</w:t>
      </w:r>
      <w:r w:rsidR="00E06974">
        <w:t>, especially in the context of reducing</w:t>
      </w:r>
      <w:r w:rsidR="000100F4" w:rsidRPr="00332762">
        <w:t xml:space="preserve"> costs and increas</w:t>
      </w:r>
      <w:r w:rsidR="00E06974">
        <w:t>ing</w:t>
      </w:r>
      <w:r w:rsidR="000100F4" w:rsidRPr="00332762">
        <w:t xml:space="preserve"> </w:t>
      </w:r>
      <w:r w:rsidR="0082236F" w:rsidRPr="00332762">
        <w:t>durability</w:t>
      </w:r>
      <w:r w:rsidR="00E06974">
        <w:t xml:space="preserve">, </w:t>
      </w:r>
      <w:r w:rsidR="000100F4" w:rsidRPr="00B364CB">
        <w:t xml:space="preserve">in order to </w:t>
      </w:r>
      <w:r w:rsidR="00E06974">
        <w:t>make them</w:t>
      </w:r>
      <w:r w:rsidR="00E06974" w:rsidRPr="00B364CB">
        <w:t xml:space="preserve"> </w:t>
      </w:r>
      <w:r w:rsidR="000100F4" w:rsidRPr="00B364CB">
        <w:t>competitive with incumbent technologies. Th</w:t>
      </w:r>
      <w:r w:rsidRPr="00B364CB">
        <w:t>e</w:t>
      </w:r>
      <w:r w:rsidR="000100F4" w:rsidRPr="00B364CB">
        <w:t xml:space="preserve">se include: </w:t>
      </w:r>
    </w:p>
    <w:p w14:paraId="73059976" w14:textId="1553ABF9" w:rsidR="006429FE" w:rsidRPr="00B364CB" w:rsidRDefault="000100F4" w:rsidP="006429FE">
      <w:pPr>
        <w:pStyle w:val="MAWPBodytextbullets"/>
      </w:pPr>
      <w:r w:rsidRPr="00B364CB">
        <w:t xml:space="preserve">Improvement of main technology building blocks that can be applied across a range of different </w:t>
      </w:r>
      <w:r w:rsidR="0082236F" w:rsidRPr="00B364CB">
        <w:t xml:space="preserve">transport </w:t>
      </w:r>
      <w:r w:rsidRPr="00B364CB">
        <w:t>applications like fuel cell stacks and hydrogen tanks;</w:t>
      </w:r>
    </w:p>
    <w:p w14:paraId="7F79D4B5" w14:textId="77777777" w:rsidR="000100F4" w:rsidRPr="00B364CB" w:rsidRDefault="000100F4" w:rsidP="00761165">
      <w:pPr>
        <w:pStyle w:val="MAWPBodytextbullets"/>
      </w:pPr>
      <w:r w:rsidRPr="00B364CB">
        <w:t>Adapting fuel cell systems from other vehicles (urban buses / cars) for long distance coaches and HDV;</w:t>
      </w:r>
    </w:p>
    <w:p w14:paraId="7FE21531" w14:textId="0C57592E" w:rsidR="000100F4" w:rsidRPr="00B364CB" w:rsidRDefault="00E06974" w:rsidP="00761165">
      <w:pPr>
        <w:pStyle w:val="MAWPBodytextbullets"/>
      </w:pPr>
      <w:r>
        <w:t>Producing c</w:t>
      </w:r>
      <w:r w:rsidR="000100F4" w:rsidRPr="00B364CB">
        <w:t xml:space="preserve">omponents for </w:t>
      </w:r>
      <w:r w:rsidR="00A02625">
        <w:t>rail</w:t>
      </w:r>
      <w:r w:rsidR="000100F4" w:rsidRPr="00B364CB">
        <w:t xml:space="preserve"> freight and shunting locomotive applications;</w:t>
      </w:r>
    </w:p>
    <w:p w14:paraId="1F53F94E" w14:textId="57850AA4" w:rsidR="000100F4" w:rsidRPr="00B364CB" w:rsidRDefault="00E06974" w:rsidP="00761165">
      <w:pPr>
        <w:pStyle w:val="MAWPBodytextbullets"/>
      </w:pPr>
      <w:r>
        <w:t>Adapting</w:t>
      </w:r>
      <w:r w:rsidR="000100F4" w:rsidRPr="00B364CB">
        <w:t xml:space="preserve"> FC components</w:t>
      </w:r>
      <w:r>
        <w:t xml:space="preserve"> to waterborne transport</w:t>
      </w:r>
      <w:r w:rsidR="006E517D">
        <w:t xml:space="preserve">, and developing </w:t>
      </w:r>
      <w:r w:rsidR="00C41B03">
        <w:t>next generation</w:t>
      </w:r>
      <w:r w:rsidR="00A01205">
        <w:t xml:space="preserve">s </w:t>
      </w:r>
      <w:r w:rsidR="00C47A75">
        <w:t xml:space="preserve">based on learnings from </w:t>
      </w:r>
      <w:r w:rsidR="0040452A">
        <w:t>first demonstrations</w:t>
      </w:r>
      <w:r w:rsidR="00F861B0">
        <w:t>;</w:t>
      </w:r>
    </w:p>
    <w:p w14:paraId="738FEC97" w14:textId="5E9AD847" w:rsidR="000100F4" w:rsidRPr="00B364CB" w:rsidRDefault="00E06974" w:rsidP="00761165">
      <w:pPr>
        <w:pStyle w:val="MAWPBodytextbullets"/>
      </w:pPr>
      <w:r w:rsidRPr="00B364CB">
        <w:t>Develop</w:t>
      </w:r>
      <w:r>
        <w:t>ing</w:t>
      </w:r>
      <w:r w:rsidR="000100F4" w:rsidRPr="00B364CB">
        <w:t xml:space="preserve"> tanks and FC technologies specifically adapted for aviation</w:t>
      </w:r>
      <w:r w:rsidR="00FE1BFE" w:rsidRPr="00B364CB">
        <w:t>.</w:t>
      </w:r>
    </w:p>
    <w:p w14:paraId="73745317" w14:textId="0BEAAF0E" w:rsidR="000100F4" w:rsidRPr="00B364CB" w:rsidRDefault="000100F4" w:rsidP="00761165">
      <w:pPr>
        <w:pStyle w:val="MAWP-Bodytext"/>
      </w:pPr>
      <w:r w:rsidRPr="00B364CB">
        <w:t xml:space="preserve">It should be also stressed that, especially in the case of hydrogen-based </w:t>
      </w:r>
      <w:r w:rsidR="0082236F" w:rsidRPr="00B364CB">
        <w:t>transport</w:t>
      </w:r>
      <w:r w:rsidR="002F238E" w:rsidRPr="00B364CB">
        <w:t>ation</w:t>
      </w:r>
      <w:r w:rsidRPr="00B364CB">
        <w:t xml:space="preserve">, </w:t>
      </w:r>
      <w:r w:rsidR="00DF7826">
        <w:t xml:space="preserve">the competitiveness </w:t>
      </w:r>
      <w:r w:rsidR="00A4620B">
        <w:t xml:space="preserve">of </w:t>
      </w:r>
      <w:r w:rsidR="00A4620B" w:rsidRPr="002D15A2">
        <w:t xml:space="preserve">hydrogen technologies </w:t>
      </w:r>
      <w:r w:rsidR="00E06974" w:rsidRPr="002D15A2">
        <w:t>is</w:t>
      </w:r>
      <w:r w:rsidRPr="002D15A2">
        <w:t xml:space="preserve"> dependent on research and innovation breakthroughs</w:t>
      </w:r>
      <w:r w:rsidR="007B5625" w:rsidRPr="002D15A2">
        <w:t>,</w:t>
      </w:r>
      <w:r w:rsidRPr="002D15A2">
        <w:t xml:space="preserve"> on production </w:t>
      </w:r>
      <w:r w:rsidR="0082236F" w:rsidRPr="002D15A2">
        <w:t xml:space="preserve">volumes </w:t>
      </w:r>
      <w:r w:rsidRPr="002D15A2">
        <w:t>of vehicles and components</w:t>
      </w:r>
      <w:r w:rsidR="007B5625" w:rsidRPr="002D15A2">
        <w:t xml:space="preserve"> and on the price and availability of hydrogen</w:t>
      </w:r>
      <w:r w:rsidR="001B2CB8" w:rsidRPr="002D15A2">
        <w:t xml:space="preserve"> as a fuel</w:t>
      </w:r>
      <w:r w:rsidRPr="002D15A2">
        <w:t xml:space="preserve"> . Therefore, actions ai</w:t>
      </w:r>
      <w:r w:rsidR="00A91C66" w:rsidRPr="002D15A2">
        <w:t xml:space="preserve">med </w:t>
      </w:r>
      <w:r w:rsidR="00D035D2" w:rsidRPr="002D15A2">
        <w:t>at</w:t>
      </w:r>
      <w:r w:rsidRPr="002D15A2">
        <w:t xml:space="preserve"> stimulating a broad rollout of FC vehicles around Europe are </w:t>
      </w:r>
      <w:r w:rsidR="007B5625" w:rsidRPr="002D15A2">
        <w:t xml:space="preserve">equally </w:t>
      </w:r>
      <w:r w:rsidRPr="002D15A2">
        <w:t>important</w:t>
      </w:r>
      <w:r w:rsidR="001B2CB8" w:rsidRPr="002D15A2">
        <w:t xml:space="preserve"> to research and innovation actions</w:t>
      </w:r>
      <w:r w:rsidR="007B5625" w:rsidRPr="002D15A2">
        <w:t xml:space="preserve">, in particular </w:t>
      </w:r>
      <w:r w:rsidR="007B5625" w:rsidRPr="002D15A2">
        <w:lastRenderedPageBreak/>
        <w:t xml:space="preserve">for hard to abate sectors, </w:t>
      </w:r>
      <w:r w:rsidR="001B2CB8" w:rsidRPr="002D15A2">
        <w:t>in ord</w:t>
      </w:r>
      <w:r w:rsidR="001B2CB8" w:rsidRPr="00B364CB">
        <w:t xml:space="preserve">er to drive </w:t>
      </w:r>
      <w:r w:rsidRPr="00B364CB">
        <w:t xml:space="preserve">the Total Cost of Ownership (TCO) of the FC vehicles </w:t>
      </w:r>
      <w:r w:rsidR="001B2CB8" w:rsidRPr="00B364CB">
        <w:t xml:space="preserve">down. </w:t>
      </w:r>
      <w:r w:rsidR="00587BA5">
        <w:t>This is particularly true, for example,</w:t>
      </w:r>
      <w:r w:rsidR="002B60FC">
        <w:t xml:space="preserve"> for the </w:t>
      </w:r>
      <w:r w:rsidR="002B60FC" w:rsidRPr="002B60FC">
        <w:t>road heavy duty transport segment</w:t>
      </w:r>
      <w:r w:rsidR="00587BA5">
        <w:t xml:space="preserve"> where the. </w:t>
      </w:r>
      <w:r w:rsidR="00587BA5" w:rsidRPr="00B364CB">
        <w:t>TCO</w:t>
      </w:r>
      <w:r w:rsidR="00587BA5">
        <w:t xml:space="preserve"> is extremely relevant for final users and ultimately for the market uptake. . Monitoring  of the FC trucks TCO and comparison with b</w:t>
      </w:r>
      <w:r w:rsidR="00587BA5" w:rsidRPr="00556C86">
        <w:t>attery-powered trucks electrif</w:t>
      </w:r>
      <w:r w:rsidR="00587BA5">
        <w:t>ied</w:t>
      </w:r>
      <w:r w:rsidR="00587BA5" w:rsidRPr="00556C86">
        <w:t xml:space="preserve"> trucks </w:t>
      </w:r>
      <w:r w:rsidR="00587BA5">
        <w:t xml:space="preserve">and others decarbonisation technologies </w:t>
      </w:r>
      <w:r w:rsidR="00587BA5" w:rsidRPr="00556C86">
        <w:t xml:space="preserve">will </w:t>
      </w:r>
      <w:r w:rsidR="00587BA5">
        <w:t xml:space="preserve">be needed. </w:t>
      </w:r>
      <w:r w:rsidR="001B2CB8" w:rsidRPr="00B364CB">
        <w:t xml:space="preserve">Addressing all of these aspects simultaneously is necessary to allow </w:t>
      </w:r>
      <w:r w:rsidRPr="00B364CB">
        <w:t xml:space="preserve">for hydrogen </w:t>
      </w:r>
      <w:r w:rsidR="001B2CB8" w:rsidRPr="00B364CB">
        <w:t xml:space="preserve">transport </w:t>
      </w:r>
      <w:r w:rsidRPr="00B364CB">
        <w:t>application</w:t>
      </w:r>
      <w:r w:rsidR="001B2CB8" w:rsidRPr="00B364CB">
        <w:t>s</w:t>
      </w:r>
      <w:r w:rsidRPr="00B364CB">
        <w:t xml:space="preserve"> to enter mass market.</w:t>
      </w:r>
      <w:r w:rsidR="00855B1B" w:rsidRPr="00B364CB">
        <w:t xml:space="preserve"> </w:t>
      </w:r>
    </w:p>
    <w:p w14:paraId="53876D02" w14:textId="4248A772" w:rsidR="000100F4" w:rsidRPr="00B364CB" w:rsidRDefault="000100F4" w:rsidP="006802D3">
      <w:pPr>
        <w:pStyle w:val="MAWPsubtitle2"/>
      </w:pPr>
      <w:bookmarkStart w:id="92" w:name="_Toc64640558"/>
      <w:bookmarkStart w:id="93" w:name="_Ref72703599"/>
      <w:bookmarkStart w:id="94" w:name="_Toc93907326"/>
      <w:r w:rsidRPr="00B364CB">
        <w:t>Building Blocks</w:t>
      </w:r>
      <w:bookmarkEnd w:id="92"/>
      <w:bookmarkEnd w:id="93"/>
      <w:bookmarkEnd w:id="94"/>
    </w:p>
    <w:p w14:paraId="297FAAE6" w14:textId="77777777" w:rsidR="006224E4" w:rsidRPr="00B364CB" w:rsidRDefault="006224E4" w:rsidP="006224E4">
      <w:pPr>
        <w:pStyle w:val="MAWPHeadingStyleLevel4"/>
      </w:pPr>
      <w:r w:rsidRPr="00B364CB">
        <w:t>Rationale for Support</w:t>
      </w:r>
    </w:p>
    <w:p w14:paraId="0D6DCD95" w14:textId="2B563E2A" w:rsidR="000100F4" w:rsidRPr="00B364CB" w:rsidRDefault="000100F4" w:rsidP="00761165">
      <w:pPr>
        <w:pStyle w:val="MAWP-Bodytext"/>
      </w:pPr>
      <w:r w:rsidRPr="00B364CB">
        <w:t xml:space="preserve">In order to fully unlock the potential of </w:t>
      </w:r>
      <w:r w:rsidR="00A8170C">
        <w:t>hydrogen</w:t>
      </w:r>
      <w:r w:rsidRPr="00B364CB">
        <w:t xml:space="preserve"> technolog</w:t>
      </w:r>
      <w:r w:rsidR="00A8170C">
        <w:t>ies</w:t>
      </w:r>
      <w:r w:rsidRPr="00B364CB">
        <w:t xml:space="preserve"> and introduce </w:t>
      </w:r>
      <w:r w:rsidR="00A8170C">
        <w:t>them</w:t>
      </w:r>
      <w:r w:rsidRPr="00B364CB">
        <w:t xml:space="preserve"> as a mainstream means of </w:t>
      </w:r>
      <w:r w:rsidR="00A91C66" w:rsidRPr="00B364CB">
        <w:t>decarbonisation</w:t>
      </w:r>
      <w:r w:rsidRPr="00B364CB">
        <w:t xml:space="preserve"> in all transport modes, vehicle prices will need to evolve towards the </w:t>
      </w:r>
      <w:r w:rsidR="00933695" w:rsidRPr="00B364CB">
        <w:t xml:space="preserve">prices </w:t>
      </w:r>
      <w:r w:rsidRPr="00B364CB">
        <w:t xml:space="preserve">of vehicles in use today. </w:t>
      </w:r>
    </w:p>
    <w:p w14:paraId="4874772A" w14:textId="0A9CADC3" w:rsidR="000100F4" w:rsidRPr="00B364CB" w:rsidRDefault="000100F4" w:rsidP="00761165">
      <w:pPr>
        <w:pStyle w:val="MAWP-Bodytext"/>
      </w:pPr>
      <w:r w:rsidRPr="00B364CB">
        <w:t xml:space="preserve">This in turn requires a reduction in the cost of the powertrain components – the “technology building blocks” – the fuel cell stacks, the supporting </w:t>
      </w:r>
      <w:r w:rsidR="00A8170C">
        <w:t>BoP</w:t>
      </w:r>
      <w:r w:rsidR="0082236F" w:rsidRPr="00B364CB">
        <w:t>,</w:t>
      </w:r>
      <w:r w:rsidRPr="00B364CB">
        <w:t xml:space="preserve"> which makes up the “fuel cell system” and the hydrogen storage tank. Cost reduction in these components will be driven by a combination of technology development and volume of deployment</w:t>
      </w:r>
      <w:r w:rsidR="008D48BE" w:rsidRPr="00B364CB">
        <w:t>.</w:t>
      </w:r>
      <w:r w:rsidR="0082236F" w:rsidRPr="00B364CB">
        <w:t xml:space="preserve"> </w:t>
      </w:r>
      <w:r w:rsidR="00924EB5" w:rsidRPr="00B364CB">
        <w:t>Embedding the concept of modularity in the development of components and BoP will also be important in order to reach mass production efficiently. Modular systems will be adapted to the specific needs of each transport modes, while avoiding the re-engineering of components and systems hence allowing the attainment of mass production dynamics despite the low number of units deployed in different transport modes at early stage.</w:t>
      </w:r>
    </w:p>
    <w:p w14:paraId="370C5C47" w14:textId="2B0341B6" w:rsidR="000100F4" w:rsidRPr="00B364CB" w:rsidRDefault="000100F4" w:rsidP="00761165">
      <w:pPr>
        <w:pStyle w:val="MAWP-Bodytext"/>
      </w:pPr>
      <w:r w:rsidRPr="00B364CB">
        <w:t xml:space="preserve">The strategy for the development of the transport fuel cell system components will continue to pursue three overarching goals: cost reduction, increased performance and lifetime. Advancements in this domain will be beneficial to all transport applications regardless of their current state of the art. </w:t>
      </w:r>
      <w:r w:rsidR="00924EB5" w:rsidRPr="00B364CB">
        <w:t xml:space="preserve">Sustainability, recycling and eco-design are also important driving principles that will guide the development of components (these aspects are addressed  in </w:t>
      </w:r>
      <w:r w:rsidR="00FA6C29">
        <w:t>more</w:t>
      </w:r>
      <w:r w:rsidR="00924EB5" w:rsidRPr="00B364CB">
        <w:t xml:space="preserve"> detail in their dedicated chapter).</w:t>
      </w:r>
    </w:p>
    <w:p w14:paraId="703CD759" w14:textId="751E0256" w:rsidR="000100F4" w:rsidRPr="00B364CB" w:rsidRDefault="000100F4" w:rsidP="00761165">
      <w:pPr>
        <w:pStyle w:val="MAWP-Bodytext"/>
      </w:pPr>
      <w:r w:rsidRPr="00B364CB">
        <w:t xml:space="preserve">These efforts will need to be complemented by an adaptation of these “building blocks” to meet the specific technical needs of transport modes where FC applications have </w:t>
      </w:r>
      <w:r w:rsidR="00133C6B">
        <w:t xml:space="preserve">more </w:t>
      </w:r>
      <w:r w:rsidR="000B0C1A">
        <w:t>recently</w:t>
      </w:r>
      <w:r w:rsidRPr="00B364CB">
        <w:t xml:space="preserve"> become a viable option (i.e. marinisation of fuel cells, on-board storage solutions for aviation etc.).</w:t>
      </w:r>
    </w:p>
    <w:p w14:paraId="691E5D14" w14:textId="19AE45D7" w:rsidR="000100F4" w:rsidRPr="00A8170C" w:rsidRDefault="000100F4" w:rsidP="00761165">
      <w:pPr>
        <w:pStyle w:val="MAWP-Bodytext"/>
      </w:pPr>
      <w:r w:rsidRPr="00B364CB">
        <w:t xml:space="preserve">Within road transport applications, such adaptations will be required for </w:t>
      </w:r>
      <w:r w:rsidR="008D48BE" w:rsidRPr="00B364CB">
        <w:t>HDV</w:t>
      </w:r>
      <w:r w:rsidRPr="00B364CB">
        <w:t xml:space="preserve">. Due to the fact that research and innovation activities so far have been mainly dedicated to the development of components for road </w:t>
      </w:r>
      <w:r w:rsidRPr="00A8170C">
        <w:t>applications (</w:t>
      </w:r>
      <w:r w:rsidR="00A91C66" w:rsidRPr="00A8170C">
        <w:t>passenger’s</w:t>
      </w:r>
      <w:r w:rsidRPr="00A8170C">
        <w:t xml:space="preserve"> cars, urban buses, forklifts etc.), the state of the art of the transport “building blocks” and components for road applications by </w:t>
      </w:r>
      <w:r w:rsidR="005D3E46" w:rsidRPr="00A8170C">
        <w:t xml:space="preserve">and </w:t>
      </w:r>
      <w:r w:rsidRPr="00A8170C">
        <w:t xml:space="preserve">large coincide.  </w:t>
      </w:r>
    </w:p>
    <w:p w14:paraId="4CE5A9E6" w14:textId="77777777" w:rsidR="000100F4" w:rsidRPr="00A8170C" w:rsidRDefault="000100F4" w:rsidP="00761165">
      <w:pPr>
        <w:pStyle w:val="MAWP-Bodytext"/>
      </w:pPr>
      <w:r w:rsidRPr="00A8170C">
        <w:t xml:space="preserve">Therefore, even though adaptations of the fuel cell system </w:t>
      </w:r>
      <w:r w:rsidR="00CA274C" w:rsidRPr="00A8170C">
        <w:t xml:space="preserve">BoP </w:t>
      </w:r>
      <w:r w:rsidRPr="00A8170C">
        <w:t>components for road heavy-duty applications will require special attention, these will be fewer in number and less pronounced than the ones required for other transport modes.</w:t>
      </w:r>
    </w:p>
    <w:p w14:paraId="21B3AA08" w14:textId="110B16A8" w:rsidR="000100F4" w:rsidRPr="00B364CB" w:rsidRDefault="000100F4" w:rsidP="00761165">
      <w:pPr>
        <w:pStyle w:val="MAWP-Bodytext"/>
      </w:pPr>
      <w:r w:rsidRPr="00A8170C">
        <w:t>Consequently, the strategy for the development of the building blocks and road heavy-duty applications will be similar in many respects</w:t>
      </w:r>
      <w:r w:rsidRPr="00B364CB">
        <w:t xml:space="preserve"> and will be addressed jointly. </w:t>
      </w:r>
    </w:p>
    <w:p w14:paraId="7170D6B6" w14:textId="59D80E85" w:rsidR="00B26819" w:rsidRPr="00B364CB" w:rsidRDefault="00B26819" w:rsidP="00761165">
      <w:pPr>
        <w:pStyle w:val="MAWP-Bodytext"/>
      </w:pPr>
      <w:r w:rsidRPr="00B364CB">
        <w:t>At the same time</w:t>
      </w:r>
      <w:r w:rsidR="00B52BC6" w:rsidRPr="00B364CB">
        <w:t>,</w:t>
      </w:r>
      <w:r w:rsidRPr="00B364CB">
        <w:t xml:space="preserve"> the building block research area will encompass R&amp;D priorities of interest to all transport modes. Low TRL priorities such as reduction platinum loading or increased power density will be pursued with the intention of bringing benefits across all fuel cells applications </w:t>
      </w:r>
      <w:r w:rsidRPr="00B364CB">
        <w:lastRenderedPageBreak/>
        <w:t xml:space="preserve">in all transport modes. </w:t>
      </w:r>
    </w:p>
    <w:p w14:paraId="563E021E" w14:textId="2A50D0E6" w:rsidR="000100F4" w:rsidRPr="00B364CB" w:rsidRDefault="000100F4" w:rsidP="00761165">
      <w:pPr>
        <w:pStyle w:val="MAWPBodytextbullets"/>
      </w:pPr>
      <w:r w:rsidRPr="00B364CB">
        <w:t>Fuel Cell systems</w:t>
      </w:r>
    </w:p>
    <w:p w14:paraId="23E40A59" w14:textId="7CD05F73" w:rsidR="000100F4" w:rsidRPr="00B364CB" w:rsidRDefault="000100F4" w:rsidP="00761165">
      <w:pPr>
        <w:pStyle w:val="MAWP-Bodytext"/>
      </w:pPr>
      <w:r w:rsidRPr="00B364CB">
        <w:t xml:space="preserve">It is clear that increasing production </w:t>
      </w:r>
      <w:r w:rsidR="0082236F" w:rsidRPr="00B364CB">
        <w:t xml:space="preserve">volumes </w:t>
      </w:r>
      <w:r w:rsidRPr="00B364CB">
        <w:t xml:space="preserve">will have a significant impact on </w:t>
      </w:r>
      <w:r w:rsidR="0082236F" w:rsidRPr="00B364CB">
        <w:t>cost</w:t>
      </w:r>
      <w:r w:rsidRPr="00B364CB">
        <w:t xml:space="preserve">. </w:t>
      </w:r>
      <w:r w:rsidR="0015530E">
        <w:t xml:space="preserve">According to the study on </w:t>
      </w:r>
      <w:r w:rsidR="0015530E" w:rsidRPr="00B364CB">
        <w:t>Fuel Cell Hydrogen Trucks</w:t>
      </w:r>
      <w:r w:rsidR="0015530E">
        <w:t xml:space="preserve"> study, </w:t>
      </w:r>
      <w:r w:rsidR="00012299">
        <w:t>it is expected</w:t>
      </w:r>
      <w:r w:rsidR="0015530E" w:rsidRPr="00B364CB">
        <w:t xml:space="preserve"> </w:t>
      </w:r>
      <w:r w:rsidR="00562E19" w:rsidRPr="00B364CB">
        <w:t>that an increased</w:t>
      </w:r>
      <w:r w:rsidRPr="00B364CB">
        <w:t xml:space="preserve"> annual production volume </w:t>
      </w:r>
      <w:r w:rsidR="00562E19" w:rsidRPr="00B364CB">
        <w:t xml:space="preserve">of heavy-duty </w:t>
      </w:r>
      <w:r w:rsidR="00012299">
        <w:t xml:space="preserve">trucks </w:t>
      </w:r>
      <w:r w:rsidR="00A02625">
        <w:t>(</w:t>
      </w:r>
      <w:r w:rsidR="0089052C">
        <w:t>75.000 units per year in 2030</w:t>
      </w:r>
      <w:r w:rsidR="00A02625">
        <w:t xml:space="preserve">) </w:t>
      </w:r>
      <w:r w:rsidR="00562E19" w:rsidRPr="00B364CB">
        <w:t xml:space="preserve">can lead to a </w:t>
      </w:r>
      <w:r w:rsidRPr="00B364CB">
        <w:t xml:space="preserve">reduction of the Fuel Cell </w:t>
      </w:r>
      <w:r w:rsidR="0089052C">
        <w:t>Module</w:t>
      </w:r>
      <w:r w:rsidR="0089052C">
        <w:rPr>
          <w:rStyle w:val="FootnoteReference"/>
        </w:rPr>
        <w:footnoteReference w:id="88"/>
      </w:r>
      <w:r w:rsidR="0089052C" w:rsidRPr="00B364CB">
        <w:t xml:space="preserve"> </w:t>
      </w:r>
      <w:r w:rsidRPr="00B364CB">
        <w:t xml:space="preserve">cost </w:t>
      </w:r>
      <w:r w:rsidR="00562E19" w:rsidRPr="00B364CB">
        <w:t>by around</w:t>
      </w:r>
      <w:r w:rsidRPr="00B364CB">
        <w:t xml:space="preserve"> </w:t>
      </w:r>
      <w:r w:rsidR="008870AC" w:rsidRPr="00B364CB">
        <w:t>76</w:t>
      </w:r>
      <w:r w:rsidRPr="00B364CB">
        <w:t>%.</w:t>
      </w:r>
      <w:r w:rsidR="0082236F" w:rsidRPr="00B364CB">
        <w:t xml:space="preserve"> </w:t>
      </w:r>
      <w:r w:rsidR="002341C2" w:rsidRPr="00B364CB">
        <w:t>Th</w:t>
      </w:r>
      <w:r w:rsidR="002341C2">
        <w:t>is</w:t>
      </w:r>
      <w:r w:rsidR="002341C2" w:rsidRPr="00B364CB">
        <w:t xml:space="preserve"> </w:t>
      </w:r>
      <w:r w:rsidR="0082236F" w:rsidRPr="00B364CB">
        <w:t xml:space="preserve">cost reduction will be reached </w:t>
      </w:r>
      <w:r w:rsidR="00924EB5" w:rsidRPr="00B364CB">
        <w:t xml:space="preserve">more efficiently </w:t>
      </w:r>
      <w:r w:rsidR="0082236F" w:rsidRPr="00B364CB">
        <w:t xml:space="preserve">if the different building block technologies </w:t>
      </w:r>
      <w:r w:rsidR="00B66BA1">
        <w:t>become</w:t>
      </w:r>
      <w:r w:rsidR="0082236F" w:rsidRPr="00B364CB">
        <w:t xml:space="preserve"> modular </w:t>
      </w:r>
      <w:r w:rsidR="00924EB5" w:rsidRPr="00B364CB">
        <w:t>hence reaching faster</w:t>
      </w:r>
      <w:r w:rsidR="0082236F" w:rsidRPr="00B364CB">
        <w:t xml:space="preserve"> production rates consistent with mass production for different types of vehicles and associated performance and durability requirements.</w:t>
      </w:r>
      <w:r w:rsidR="00775A78" w:rsidRPr="00775A78">
        <w:t xml:space="preserve"> </w:t>
      </w:r>
      <w:r w:rsidR="00775A78">
        <w:t>At the same times Fuel Cell systems may prove to be effective on operative conditions of other transport modalities, such us maritime, that are demanding in terms of power and operational conditions.</w:t>
      </w:r>
    </w:p>
    <w:p w14:paraId="7E6DBCD0" w14:textId="7B692AD2" w:rsidR="000100F4" w:rsidRPr="00B364CB" w:rsidRDefault="00A84319" w:rsidP="00761165">
      <w:pPr>
        <w:pStyle w:val="MAWPBodytextbullets"/>
      </w:pPr>
      <w:r w:rsidRPr="00B364CB">
        <w:t xml:space="preserve">Compressed </w:t>
      </w:r>
      <w:r w:rsidR="0082236F" w:rsidRPr="00B364CB">
        <w:t xml:space="preserve">and liquid </w:t>
      </w:r>
      <w:r w:rsidRPr="00B364CB">
        <w:t>h</w:t>
      </w:r>
      <w:r w:rsidR="000100F4" w:rsidRPr="00B364CB">
        <w:t>ydrogen tanks</w:t>
      </w:r>
    </w:p>
    <w:p w14:paraId="52F17883" w14:textId="50E4DBDF" w:rsidR="000100F4" w:rsidRPr="00B364CB" w:rsidRDefault="000100F4" w:rsidP="00761165">
      <w:pPr>
        <w:pStyle w:val="MAWP-Bodytext"/>
      </w:pPr>
      <w:r w:rsidRPr="00B364CB">
        <w:t>Volume production and technology developments will also play a similar role for hydrogen tanks</w:t>
      </w:r>
      <w:r w:rsidR="00C326B5">
        <w:t>,</w:t>
      </w:r>
      <w:r w:rsidR="005E3E9D" w:rsidRPr="00B364CB">
        <w:t xml:space="preserve"> both gaseous and liquid.</w:t>
      </w:r>
      <w:r w:rsidRPr="00B364CB">
        <w:t xml:space="preserve"> The importance of volume is that to develop the components  to </w:t>
      </w:r>
      <w:r w:rsidR="00E936FE" w:rsidRPr="00B364CB">
        <w:t xml:space="preserve">a </w:t>
      </w:r>
      <w:r w:rsidR="00CB3A76" w:rsidRPr="00B364CB">
        <w:t>competitive cost level</w:t>
      </w:r>
      <w:r w:rsidRPr="00B364CB">
        <w:t>, market deployment programmes to stimulate the market and allow the technology to mature along the cost curve are crucial. In parallel, technology development programmes are required to ensure the core technology progresses towards the lower bound of the cost targets.</w:t>
      </w:r>
    </w:p>
    <w:p w14:paraId="456C2D41" w14:textId="1C78A751" w:rsidR="00DA0E0C" w:rsidRPr="00B364CB" w:rsidRDefault="00DA0E0C" w:rsidP="007150DB">
      <w:pPr>
        <w:pStyle w:val="MAWPHeadingStyleLevel4"/>
      </w:pPr>
      <w:r w:rsidRPr="00B364CB">
        <w:t>State of the Art</w:t>
      </w:r>
    </w:p>
    <w:p w14:paraId="36C167BF" w14:textId="3AC511AA" w:rsidR="005E3268" w:rsidRDefault="000100F4" w:rsidP="00761165">
      <w:pPr>
        <w:pStyle w:val="MAWP-Bodytext"/>
      </w:pPr>
      <w:r w:rsidRPr="00B364CB">
        <w:t>These</w:t>
      </w:r>
      <w:r w:rsidR="0082236F" w:rsidRPr="00B364CB">
        <w:t xml:space="preserve"> </w:t>
      </w:r>
      <w:r w:rsidRPr="00B364CB">
        <w:t>components have been developed to the point where they have the operational reliability to allow them to be deployed in small series production to mainstream vehicle customers (thousands of unit</w:t>
      </w:r>
      <w:r w:rsidR="00812120" w:rsidRPr="00B364CB">
        <w:t>s</w:t>
      </w:r>
      <w:r w:rsidRPr="00B364CB">
        <w:t xml:space="preserve"> in the US and Asia</w:t>
      </w:r>
      <w:r w:rsidR="00D748DC">
        <w:rPr>
          <w:rStyle w:val="FootnoteReference"/>
        </w:rPr>
        <w:footnoteReference w:id="89"/>
      </w:r>
      <w:r w:rsidRPr="00B364CB">
        <w:t>); the main driver for fuel cell technology in Europe is heavy-duty applications (over 1,600 buses to be deployed). The fuel cell stacks operating in London’s buses</w:t>
      </w:r>
      <w:r w:rsidR="00A84319" w:rsidRPr="00B364CB">
        <w:t xml:space="preserve"> involved in the projects CHIC</w:t>
      </w:r>
      <w:r w:rsidR="00012299">
        <w:rPr>
          <w:rStyle w:val="FootnoteReference"/>
        </w:rPr>
        <w:footnoteReference w:id="90"/>
      </w:r>
      <w:r w:rsidR="00A84319" w:rsidRPr="00B364CB">
        <w:t xml:space="preserve"> and 3EMOTION</w:t>
      </w:r>
      <w:r w:rsidR="00A44568" w:rsidRPr="00B364CB">
        <w:rPr>
          <w:rStyle w:val="FootnoteReference"/>
        </w:rPr>
        <w:footnoteReference w:id="91"/>
      </w:r>
      <w:r w:rsidRPr="00B364CB">
        <w:t xml:space="preserve"> since 2010 have lasted for over</w:t>
      </w:r>
      <w:r w:rsidR="00F52264">
        <w:t xml:space="preserve"> </w:t>
      </w:r>
      <w:r w:rsidR="003748AF" w:rsidRPr="00B364CB">
        <w:t>35</w:t>
      </w:r>
      <w:r w:rsidRPr="00B364CB">
        <w:t>,000 hours, thereby proving their possible longevity in a heavy-duty vehicle at least for this specific usage. The challenge now is to reduce cost through a combination of increased production volume</w:t>
      </w:r>
      <w:r w:rsidR="00562E19" w:rsidRPr="00B364CB">
        <w:t xml:space="preserve"> and </w:t>
      </w:r>
      <w:r w:rsidRPr="00B364CB">
        <w:t>technology development to improve and automate production techniques, reduce material costs per unit of output (specifically costs of precious metals used as catalysts in fuel cells and carbon fibr</w:t>
      </w:r>
      <w:r w:rsidR="0060724C" w:rsidRPr="00B364CB">
        <w:t>e</w:t>
      </w:r>
      <w:r w:rsidRPr="00B364CB">
        <w:t xml:space="preserve"> in tanks) and improve designs at stack (e.g. catalyst layers) and system BoP components level (e.g. air loop). Spill</w:t>
      </w:r>
      <w:r w:rsidR="0060724C" w:rsidRPr="00B364CB">
        <w:t>-</w:t>
      </w:r>
      <w:r w:rsidRPr="00B364CB">
        <w:t>overs in terms of technology and upscaling will be considered regarding LDV systems and are expected for other fields of HDV applications like rail, marine or aviation (where power ranges are comparable to HDVs).</w:t>
      </w:r>
    </w:p>
    <w:p w14:paraId="5A2FBD2C" w14:textId="768DBE10" w:rsidR="006429FE" w:rsidRPr="00B364CB" w:rsidRDefault="000100F4" w:rsidP="00761165">
      <w:pPr>
        <w:pStyle w:val="MAWP-Bodytext"/>
      </w:pPr>
      <w:r w:rsidRPr="00B364CB">
        <w:t xml:space="preserve">The </w:t>
      </w:r>
      <w:r w:rsidR="00562E19" w:rsidRPr="00B364CB">
        <w:t xml:space="preserve">FC </w:t>
      </w:r>
      <w:r w:rsidRPr="00B364CB">
        <w:t xml:space="preserve">technology is now validated in numerous European trials and cost reduction is the key challenge e.g. current FCEV system costs </w:t>
      </w:r>
      <w:r w:rsidR="00F552E4" w:rsidRPr="00B364CB">
        <w:t xml:space="preserve">higher than </w:t>
      </w:r>
      <w:r w:rsidRPr="00B364CB">
        <w:t>200</w:t>
      </w:r>
      <w:r w:rsidR="00991325" w:rsidRPr="00B364CB">
        <w:t xml:space="preserve"> €</w:t>
      </w:r>
      <w:r w:rsidRPr="00B364CB">
        <w:t>/kW for passenger cars but need to fall below 50</w:t>
      </w:r>
      <w:r w:rsidR="00991325" w:rsidRPr="00B364CB">
        <w:t xml:space="preserve"> €</w:t>
      </w:r>
      <w:r w:rsidRPr="00B364CB">
        <w:t>/kW for mass market.</w:t>
      </w:r>
    </w:p>
    <w:p w14:paraId="7EBBAB9A" w14:textId="64643244" w:rsidR="000100F4" w:rsidRPr="00B364CB" w:rsidRDefault="006224E4" w:rsidP="007150DB">
      <w:pPr>
        <w:pStyle w:val="MAWPHeadingStyleLevel4"/>
      </w:pPr>
      <w:r w:rsidRPr="00B364CB">
        <w:t>Objectives</w:t>
      </w:r>
    </w:p>
    <w:p w14:paraId="00B339E5" w14:textId="03655C41" w:rsidR="000100F4" w:rsidRPr="00B364CB" w:rsidRDefault="000100F4" w:rsidP="00761165">
      <w:pPr>
        <w:pStyle w:val="MAWP-Bodytext"/>
      </w:pPr>
      <w:r w:rsidRPr="00B364CB">
        <w:t xml:space="preserve">Low TRL research activities will drive the development of next generation components, which is the necessary step in order to further progress towards the full competitiveness of fuel cells </w:t>
      </w:r>
      <w:r w:rsidRPr="00B364CB">
        <w:lastRenderedPageBreak/>
        <w:t xml:space="preserve">for road applications both in terms of cost and performance. </w:t>
      </w:r>
    </w:p>
    <w:p w14:paraId="6290E242" w14:textId="19580A08" w:rsidR="003231C0" w:rsidRPr="00B364CB" w:rsidRDefault="003231C0" w:rsidP="00761165">
      <w:pPr>
        <w:pStyle w:val="MAWP-Bodytext"/>
      </w:pPr>
      <w:r w:rsidRPr="00B364CB">
        <w:t>The main objectives of this technology area will be the following:</w:t>
      </w:r>
    </w:p>
    <w:p w14:paraId="116B71B6" w14:textId="2BBA4980" w:rsidR="003231C0" w:rsidRPr="00B364CB" w:rsidRDefault="003231C0" w:rsidP="002256F6">
      <w:pPr>
        <w:pStyle w:val="MAWPBodyTextNumbered"/>
        <w:numPr>
          <w:ilvl w:val="0"/>
          <w:numId w:val="49"/>
        </w:numPr>
      </w:pPr>
      <w:r w:rsidRPr="00B364CB">
        <w:t>Improving overall system performance for fuel cell stack technology in terms of power density, reliability and durability;</w:t>
      </w:r>
    </w:p>
    <w:p w14:paraId="5E45BE18" w14:textId="1DCF40CC" w:rsidR="003231C0" w:rsidRPr="00B364CB" w:rsidRDefault="003231C0" w:rsidP="002256F6">
      <w:pPr>
        <w:pStyle w:val="MAWPBodyTextNumbered"/>
        <w:numPr>
          <w:ilvl w:val="0"/>
          <w:numId w:val="49"/>
        </w:numPr>
      </w:pPr>
      <w:r w:rsidRPr="00B364CB">
        <w:t>Reduction or replacement of PGM loading</w:t>
      </w:r>
      <w:r w:rsidR="00974B8F">
        <w:t>s</w:t>
      </w:r>
      <w:r w:rsidRPr="00B364CB">
        <w:t xml:space="preserve"> and development of new materials advancing the performance of </w:t>
      </w:r>
      <w:r w:rsidR="00980F09" w:rsidRPr="00B364CB">
        <w:t>on-board</w:t>
      </w:r>
      <w:r w:rsidRPr="00B364CB">
        <w:t xml:space="preserve"> storage technology;</w:t>
      </w:r>
    </w:p>
    <w:p w14:paraId="61858409" w14:textId="6A717909" w:rsidR="003231C0" w:rsidRPr="00B364CB" w:rsidRDefault="003231C0" w:rsidP="002256F6">
      <w:pPr>
        <w:pStyle w:val="MAWPBodyTextNumbered"/>
        <w:numPr>
          <w:ilvl w:val="0"/>
          <w:numId w:val="28"/>
        </w:numPr>
      </w:pPr>
      <w:r w:rsidRPr="00B364CB">
        <w:t xml:space="preserve">Improvements in design, health monitoring and manufacturability of core components for fuel cell stacks and </w:t>
      </w:r>
      <w:r w:rsidR="00980F09" w:rsidRPr="00B364CB">
        <w:t>on-board</w:t>
      </w:r>
      <w:r w:rsidRPr="00B364CB">
        <w:t xml:space="preserve"> storage technology</w:t>
      </w:r>
      <w:r w:rsidR="005E3268">
        <w:t>;</w:t>
      </w:r>
    </w:p>
    <w:p w14:paraId="4ED99DCE" w14:textId="5950DBD4" w:rsidR="00E2475F" w:rsidRPr="00B364CB" w:rsidRDefault="00E2475F" w:rsidP="002256F6">
      <w:pPr>
        <w:pStyle w:val="MAWPBodyTextNumbered"/>
        <w:numPr>
          <w:ilvl w:val="0"/>
          <w:numId w:val="28"/>
        </w:numPr>
      </w:pPr>
      <w:r>
        <w:t xml:space="preserve">Extending the EU leadership on FC production from automotive to </w:t>
      </w:r>
      <w:r w:rsidR="005E3268">
        <w:t>m</w:t>
      </w:r>
      <w:r>
        <w:t>aritime</w:t>
      </w:r>
      <w:r w:rsidR="00DF2D92">
        <w:t xml:space="preserve"> and aviation</w:t>
      </w:r>
      <w:r w:rsidR="00980F09">
        <w:t>, given</w:t>
      </w:r>
      <w:r>
        <w:t xml:space="preserve"> the high pressure for decarbonisation of th</w:t>
      </w:r>
      <w:r w:rsidR="00DF2D92">
        <w:t>ese</w:t>
      </w:r>
      <w:r>
        <w:t xml:space="preserve"> sector</w:t>
      </w:r>
      <w:r w:rsidR="00DF2D92">
        <w:t>s</w:t>
      </w:r>
      <w:r w:rsidR="005E3268">
        <w:t>.</w:t>
      </w:r>
    </w:p>
    <w:p w14:paraId="14419D53" w14:textId="6D30BCF1" w:rsidR="00BA4C01" w:rsidRPr="00CE70C1" w:rsidRDefault="00BA4C01" w:rsidP="00BA4C01">
      <w:pPr>
        <w:pStyle w:val="MAWP-Bodytext"/>
      </w:pPr>
      <w:r w:rsidRPr="00CE70C1">
        <w:t xml:space="preserve">In order to contribute towards achieving the above objectives, the following areas of research and development appear as good candidates for the support by the </w:t>
      </w:r>
      <w:r w:rsidR="00831A2C">
        <w:t xml:space="preserve">Clean Hydrogen </w:t>
      </w:r>
      <w:r w:rsidRPr="00CE70C1">
        <w:t>JU.</w:t>
      </w:r>
    </w:p>
    <w:p w14:paraId="744728C4" w14:textId="77777777" w:rsidR="00671C59" w:rsidRPr="00B364CB" w:rsidRDefault="00671C59" w:rsidP="00671C59">
      <w:pPr>
        <w:pStyle w:val="MAWPHeadingStyleLevel4"/>
      </w:pPr>
      <w:r w:rsidRPr="00B364CB">
        <w:rPr>
          <w:rFonts w:cs="Arial"/>
          <w:szCs w:val="22"/>
        </w:rPr>
        <w:t xml:space="preserve">R&amp;D Priorities - </w:t>
      </w:r>
      <w:r w:rsidRPr="00B364CB">
        <w:t>Early Stage Research Actions</w:t>
      </w:r>
    </w:p>
    <w:p w14:paraId="5B68DDBD" w14:textId="22B09940" w:rsidR="000100F4" w:rsidRPr="00B364CB" w:rsidRDefault="000100F4" w:rsidP="00761165">
      <w:pPr>
        <w:pStyle w:val="MAWPBodytextbullets"/>
      </w:pPr>
      <w:r w:rsidRPr="00B364CB">
        <w:t>Fuel cell stack technology</w:t>
      </w:r>
      <w:r w:rsidR="00562E19" w:rsidRPr="00B364CB">
        <w:t>:</w:t>
      </w:r>
    </w:p>
    <w:p w14:paraId="610F9305" w14:textId="783DD5CE" w:rsidR="000100F4" w:rsidRPr="00B364CB" w:rsidRDefault="000100F4" w:rsidP="002256F6">
      <w:pPr>
        <w:pStyle w:val="MAWPBodytextbullets"/>
        <w:numPr>
          <w:ilvl w:val="1"/>
          <w:numId w:val="24"/>
        </w:numPr>
      </w:pPr>
      <w:r w:rsidRPr="00B364CB">
        <w:t>Development of new disruptive technologies towards improved areal and volumetric power density, increased reliability</w:t>
      </w:r>
      <w:r w:rsidR="00591FF1" w:rsidRPr="00B364CB">
        <w:t>,</w:t>
      </w:r>
      <w:r w:rsidRPr="00B364CB">
        <w:t xml:space="preserve"> extended lifetime (validation at single cell and short stack level)</w:t>
      </w:r>
      <w:r w:rsidR="00591FF1" w:rsidRPr="00B364CB">
        <w:t xml:space="preserve"> and increased overall system performance</w:t>
      </w:r>
      <w:r w:rsidRPr="00B364CB">
        <w:t>;</w:t>
      </w:r>
    </w:p>
    <w:p w14:paraId="2D880E38" w14:textId="5A6E43C4" w:rsidR="000100F4" w:rsidRPr="00B364CB" w:rsidRDefault="000100F4" w:rsidP="002256F6">
      <w:pPr>
        <w:pStyle w:val="MAWPBodytextbullets"/>
        <w:numPr>
          <w:ilvl w:val="1"/>
          <w:numId w:val="24"/>
        </w:numPr>
      </w:pPr>
      <w:r w:rsidRPr="00B364CB">
        <w:t>Research at material level</w:t>
      </w:r>
      <w:r w:rsidR="0060724C" w:rsidRPr="00B364CB">
        <w:t xml:space="preserve"> for PEMFC</w:t>
      </w:r>
      <w:r w:rsidRPr="00B364CB">
        <w:t xml:space="preserve"> to reduce</w:t>
      </w:r>
      <w:r w:rsidR="008B40BF" w:rsidRPr="00B364CB">
        <w:t xml:space="preserve"> or replace</w:t>
      </w:r>
      <w:r w:rsidRPr="00B364CB">
        <w:t xml:space="preserve"> </w:t>
      </w:r>
      <w:r w:rsidR="0060724C" w:rsidRPr="00B364CB">
        <w:t xml:space="preserve">PGM </w:t>
      </w:r>
      <w:r w:rsidRPr="00B364CB">
        <w:t xml:space="preserve">loading and improve the performance of all main stack </w:t>
      </w:r>
      <w:r w:rsidR="00D72A3D" w:rsidRPr="00B364CB">
        <w:t xml:space="preserve">and fuel cell </w:t>
      </w:r>
      <w:r w:rsidRPr="00B364CB">
        <w:t>components (</w:t>
      </w:r>
      <w:r w:rsidR="00D72A3D" w:rsidRPr="00B364CB">
        <w:t xml:space="preserve">development of high performance membrane, </w:t>
      </w:r>
      <w:r w:rsidRPr="00B364CB">
        <w:t>BPP, GDL etc)</w:t>
      </w:r>
      <w:r w:rsidR="00562E19" w:rsidRPr="00B364CB">
        <w:t>.</w:t>
      </w:r>
    </w:p>
    <w:p w14:paraId="5796474B" w14:textId="18FFA692" w:rsidR="000100F4" w:rsidRPr="00B364CB" w:rsidRDefault="000100F4" w:rsidP="00761165">
      <w:pPr>
        <w:pStyle w:val="MAWPBodytextbullets"/>
      </w:pPr>
      <w:r w:rsidRPr="00B364CB">
        <w:t>On board storage technology</w:t>
      </w:r>
      <w:r w:rsidR="00562E19" w:rsidRPr="00B364CB">
        <w:t>:</w:t>
      </w:r>
    </w:p>
    <w:p w14:paraId="3B39F6FE" w14:textId="77777777" w:rsidR="000100F4" w:rsidRPr="00B364CB" w:rsidRDefault="000100F4" w:rsidP="002256F6">
      <w:pPr>
        <w:pStyle w:val="MAWPBodytextbullets"/>
        <w:numPr>
          <w:ilvl w:val="1"/>
          <w:numId w:val="24"/>
        </w:numPr>
      </w:pPr>
      <w:r w:rsidRPr="00B364CB">
        <w:t xml:space="preserve">Development of new materials for high-pressure tanks </w:t>
      </w:r>
      <w:r w:rsidR="0082236F" w:rsidRPr="00B364CB">
        <w:t xml:space="preserve">and fast refuelling </w:t>
      </w:r>
      <w:r w:rsidRPr="00B364CB">
        <w:t>enhancing the properties of the liner and targeting cost reduction of the reinforcement;</w:t>
      </w:r>
    </w:p>
    <w:p w14:paraId="39C53395" w14:textId="7A094B1B" w:rsidR="000100F4" w:rsidRPr="00B364CB" w:rsidRDefault="000100F4" w:rsidP="002256F6">
      <w:pPr>
        <w:pStyle w:val="MAWPBodytextbullets"/>
        <w:numPr>
          <w:ilvl w:val="1"/>
          <w:numId w:val="24"/>
        </w:numPr>
      </w:pPr>
      <w:r w:rsidRPr="00B364CB">
        <w:t>Development of novel storage concepts to improve storage density</w:t>
      </w:r>
      <w:r w:rsidR="0082236F" w:rsidRPr="00B364CB">
        <w:t xml:space="preserve"> (conformability),</w:t>
      </w:r>
      <w:r w:rsidRPr="00B364CB">
        <w:t xml:space="preserve"> including solid carrier, </w:t>
      </w:r>
      <w:r w:rsidR="0082236F" w:rsidRPr="00B364CB">
        <w:t>pressurised</w:t>
      </w:r>
      <w:r w:rsidRPr="00B364CB">
        <w:t xml:space="preserve"> tank and liquid </w:t>
      </w:r>
      <w:r w:rsidR="0082236F" w:rsidRPr="00B364CB">
        <w:t xml:space="preserve">cryogenic </w:t>
      </w:r>
      <w:r w:rsidRPr="00B364CB">
        <w:t>hydrogen.</w:t>
      </w:r>
    </w:p>
    <w:p w14:paraId="5D58B5A4" w14:textId="2B7CD4BC" w:rsidR="000100F4" w:rsidRPr="00B364CB" w:rsidRDefault="007150DB" w:rsidP="007150DB">
      <w:pPr>
        <w:pStyle w:val="MAWPHeadingStyleLevel4"/>
      </w:pPr>
      <w:r w:rsidRPr="00B364CB">
        <w:rPr>
          <w:szCs w:val="22"/>
        </w:rPr>
        <w:t xml:space="preserve">R&amp;D Priorities - </w:t>
      </w:r>
      <w:r w:rsidR="000100F4" w:rsidRPr="00B364CB">
        <w:t>Development Research Actions</w:t>
      </w:r>
    </w:p>
    <w:p w14:paraId="2F3D3E9A" w14:textId="64D662B2" w:rsidR="000100F4" w:rsidRPr="00B364CB" w:rsidRDefault="000100F4" w:rsidP="00761165">
      <w:pPr>
        <w:pStyle w:val="MAWPBodytextbullets"/>
      </w:pPr>
      <w:r w:rsidRPr="00B364CB">
        <w:t>Fuel cell stack technology</w:t>
      </w:r>
      <w:r w:rsidR="005622A4">
        <w:t xml:space="preserve"> (covering both low and high temperature PEMFC)</w:t>
      </w:r>
      <w:r w:rsidR="00562E19" w:rsidRPr="00B364CB">
        <w:t>:</w:t>
      </w:r>
    </w:p>
    <w:p w14:paraId="5B97749B" w14:textId="0BF0D51A" w:rsidR="000100F4" w:rsidRPr="00B364CB" w:rsidRDefault="0082236F" w:rsidP="002256F6">
      <w:pPr>
        <w:pStyle w:val="MAWPBodytextbullets"/>
        <w:numPr>
          <w:ilvl w:val="1"/>
          <w:numId w:val="24"/>
        </w:numPr>
      </w:pPr>
      <w:r w:rsidRPr="00B364CB">
        <w:t>Optimisation</w:t>
      </w:r>
      <w:r w:rsidR="000100F4" w:rsidRPr="00B364CB">
        <w:t xml:space="preserve"> of stacks for higher </w:t>
      </w:r>
      <w:r w:rsidR="00DA0E0C" w:rsidRPr="00B364CB">
        <w:t>performance</w:t>
      </w:r>
      <w:r w:rsidR="00EC6C52" w:rsidRPr="00B364CB">
        <w:t>, durability</w:t>
      </w:r>
      <w:r w:rsidR="00DA0E0C" w:rsidRPr="00B364CB">
        <w:t xml:space="preserve"> and</w:t>
      </w:r>
      <w:r w:rsidR="000100F4" w:rsidRPr="00B364CB">
        <w:t xml:space="preserve"> reliability incl. game changing concepts on core components</w:t>
      </w:r>
      <w:r w:rsidR="00591FF1" w:rsidRPr="00B364CB">
        <w:t xml:space="preserve"> and new methods for stack and system state-of-health monitoring</w:t>
      </w:r>
      <w:r w:rsidR="000100F4" w:rsidRPr="00B364CB">
        <w:t>;</w:t>
      </w:r>
    </w:p>
    <w:p w14:paraId="5C615644" w14:textId="77777777" w:rsidR="000100F4" w:rsidRPr="00B364CB" w:rsidRDefault="000100F4" w:rsidP="002256F6">
      <w:pPr>
        <w:pStyle w:val="MAWPBodytextbullets"/>
        <w:numPr>
          <w:ilvl w:val="1"/>
          <w:numId w:val="24"/>
        </w:numPr>
      </w:pPr>
      <w:r w:rsidRPr="00B364CB">
        <w:t>Developing low cost concepts and improving manufacturability and recyclability (processes, automation, quality control tools, in-line and end-of-line diagnostics).</w:t>
      </w:r>
    </w:p>
    <w:p w14:paraId="1D37677D" w14:textId="51AA81E1" w:rsidR="000100F4" w:rsidRPr="00B364CB" w:rsidRDefault="000100F4" w:rsidP="00761165">
      <w:pPr>
        <w:pStyle w:val="MAWPBodytextbullets"/>
      </w:pPr>
      <w:r w:rsidRPr="00B364CB">
        <w:t>Fuel cell system technology</w:t>
      </w:r>
      <w:r w:rsidR="00562E19" w:rsidRPr="00B364CB">
        <w:t>:</w:t>
      </w:r>
    </w:p>
    <w:p w14:paraId="7189F8C1" w14:textId="1D4F219D" w:rsidR="000100F4" w:rsidRPr="00B364CB" w:rsidRDefault="000100F4" w:rsidP="002256F6">
      <w:pPr>
        <w:pStyle w:val="MAWPBodytextbullets"/>
        <w:numPr>
          <w:ilvl w:val="1"/>
          <w:numId w:val="24"/>
        </w:numPr>
      </w:pPr>
      <w:r w:rsidRPr="00B364CB">
        <w:t>Simplification of the FC system design (</w:t>
      </w:r>
      <w:r w:rsidR="00EE7C67" w:rsidRPr="00B364CB">
        <w:t xml:space="preserve">in particular for </w:t>
      </w:r>
      <w:r w:rsidR="005D3E46" w:rsidRPr="00B364CB">
        <w:t>heavy</w:t>
      </w:r>
      <w:r w:rsidR="00483F34" w:rsidRPr="00B364CB">
        <w:t>-</w:t>
      </w:r>
      <w:r w:rsidR="005D3E46" w:rsidRPr="00B364CB">
        <w:t>duty applications</w:t>
      </w:r>
      <w:r w:rsidR="00800002" w:rsidRPr="00B364CB">
        <w:t>)</w:t>
      </w:r>
      <w:r w:rsidRPr="00B364CB">
        <w:t xml:space="preserve"> in order to reduce the number of parts and foster the emergence of standard components</w:t>
      </w:r>
      <w:r w:rsidR="0082236F" w:rsidRPr="00B364CB">
        <w:t>, interfaces</w:t>
      </w:r>
      <w:r w:rsidRPr="00B364CB">
        <w:t xml:space="preserve"> and system configurations hence improving their manufacturability</w:t>
      </w:r>
      <w:r w:rsidR="00562E19" w:rsidRPr="00B364CB">
        <w:t>.</w:t>
      </w:r>
    </w:p>
    <w:p w14:paraId="5518F5DA" w14:textId="52A180AA" w:rsidR="000100F4" w:rsidRPr="00B364CB" w:rsidRDefault="000100F4" w:rsidP="00761165">
      <w:pPr>
        <w:pStyle w:val="MAWPBodytextbullets"/>
      </w:pPr>
      <w:r w:rsidRPr="00B364CB">
        <w:lastRenderedPageBreak/>
        <w:t>On board storage technology</w:t>
      </w:r>
      <w:r w:rsidR="00562E19" w:rsidRPr="00B364CB">
        <w:t>:</w:t>
      </w:r>
    </w:p>
    <w:p w14:paraId="23AE8EA3" w14:textId="77777777" w:rsidR="002751E6" w:rsidRPr="00B364CB" w:rsidRDefault="000100F4" w:rsidP="002256F6">
      <w:pPr>
        <w:pStyle w:val="MAWPBodytextbullets"/>
        <w:numPr>
          <w:ilvl w:val="1"/>
          <w:numId w:val="24"/>
        </w:numPr>
      </w:pPr>
      <w:r w:rsidRPr="00B364CB">
        <w:t>Development and validation of integrated mounting concepts, safety by design and innovative manufacturing and quality control techniques;</w:t>
      </w:r>
    </w:p>
    <w:p w14:paraId="00CAF523" w14:textId="475ED489" w:rsidR="001A3927" w:rsidRPr="00B364CB" w:rsidRDefault="000100F4" w:rsidP="002256F6">
      <w:pPr>
        <w:pStyle w:val="MAWPBodytextbullets"/>
        <w:numPr>
          <w:ilvl w:val="1"/>
          <w:numId w:val="24"/>
        </w:numPr>
      </w:pPr>
      <w:r w:rsidRPr="00B364CB">
        <w:t>Integration of low cost and reliable safety sensors for structural health monitoring and fire detection</w:t>
      </w:r>
      <w:r w:rsidR="00562E19" w:rsidRPr="00B364CB">
        <w:t>.</w:t>
      </w:r>
    </w:p>
    <w:p w14:paraId="26019B35" w14:textId="77777777" w:rsidR="003B1110" w:rsidRPr="00B364CB" w:rsidRDefault="003B1110" w:rsidP="003B1110">
      <w:pPr>
        <w:pStyle w:val="MAWPHeadingStyleLevel4"/>
      </w:pPr>
      <w:r w:rsidRPr="00B364CB">
        <w:t xml:space="preserve">R&amp;D Priorities - Demonstration Actions </w:t>
      </w:r>
    </w:p>
    <w:p w14:paraId="0346ED33" w14:textId="17AB2837" w:rsidR="003B1110" w:rsidRPr="00B364CB" w:rsidRDefault="003B1110" w:rsidP="003B1110">
      <w:pPr>
        <w:pStyle w:val="MAWP-Bodytext"/>
        <w:rPr>
          <w:rStyle w:val="MAWPTitle"/>
          <w:bCs w:val="0"/>
          <w:color w:val="000000"/>
          <w:sz w:val="22"/>
          <w:shd w:val="clear" w:color="auto" w:fill="auto"/>
          <w:lang w:val="en-GB" w:eastAsia="en-GB" w:bidi="en-US"/>
        </w:rPr>
      </w:pPr>
      <w:r w:rsidRPr="00B364CB">
        <w:rPr>
          <w:rStyle w:val="MAWPTitle"/>
          <w:bCs w:val="0"/>
          <w:color w:val="000000"/>
          <w:sz w:val="22"/>
          <w:shd w:val="clear" w:color="auto" w:fill="auto"/>
          <w:lang w:val="en-GB" w:eastAsia="en-GB" w:bidi="en-US"/>
        </w:rPr>
        <w:t>No demonstration actions are foreseen.</w:t>
      </w:r>
    </w:p>
    <w:p w14:paraId="5030146F" w14:textId="61CB6474" w:rsidR="003B1110" w:rsidRPr="00B364CB" w:rsidRDefault="003B1110" w:rsidP="003B1110">
      <w:pPr>
        <w:pStyle w:val="MAWPHeadingStyleLevel4"/>
        <w:rPr>
          <w:bCs w:val="0"/>
        </w:rPr>
      </w:pPr>
      <w:r w:rsidRPr="00B364CB">
        <w:t>Flagship Actions</w:t>
      </w:r>
    </w:p>
    <w:p w14:paraId="5F8CBA9E" w14:textId="588F81FC" w:rsidR="003B1110" w:rsidRPr="00B364CB" w:rsidRDefault="003B1110" w:rsidP="003B1110">
      <w:pPr>
        <w:pStyle w:val="MAWP-Bodytext"/>
        <w:rPr>
          <w:rStyle w:val="MAWPTitle"/>
          <w:bCs w:val="0"/>
          <w:color w:val="000000"/>
          <w:sz w:val="22"/>
          <w:shd w:val="clear" w:color="auto" w:fill="auto"/>
          <w:lang w:val="en-GB" w:eastAsia="en-GB" w:bidi="en-US"/>
        </w:rPr>
      </w:pPr>
      <w:r w:rsidRPr="00B364CB">
        <w:rPr>
          <w:rStyle w:val="MAWPTitle"/>
          <w:bCs w:val="0"/>
          <w:color w:val="000000"/>
          <w:sz w:val="22"/>
          <w:shd w:val="clear" w:color="auto" w:fill="auto"/>
          <w:lang w:val="en-GB" w:eastAsia="en-GB" w:bidi="en-US"/>
        </w:rPr>
        <w:t>No flagship actions are foreseen.</w:t>
      </w:r>
    </w:p>
    <w:p w14:paraId="34E02680" w14:textId="0ACB5FEF" w:rsidR="003B1110" w:rsidRPr="00B364CB" w:rsidRDefault="003B1110" w:rsidP="003B1110">
      <w:pPr>
        <w:pStyle w:val="MAWPHeadingStyleLevel4"/>
      </w:pPr>
      <w:r w:rsidRPr="00B364CB">
        <w:t xml:space="preserve">Synergies </w:t>
      </w:r>
    </w:p>
    <w:p w14:paraId="049CC2C3" w14:textId="283A039A" w:rsidR="003B1110" w:rsidRPr="00B364CB" w:rsidRDefault="003B1110" w:rsidP="003B1110">
      <w:pPr>
        <w:pStyle w:val="MAWP-Bodytext"/>
      </w:pPr>
      <w:r w:rsidRPr="00B364CB">
        <w:t>No synergies have been identified.</w:t>
      </w:r>
    </w:p>
    <w:p w14:paraId="45D0F5D4" w14:textId="4826EABD" w:rsidR="000100F4" w:rsidRPr="00B364CB" w:rsidRDefault="000100F4" w:rsidP="006802D3">
      <w:pPr>
        <w:pStyle w:val="MAWPsubtitle2"/>
      </w:pPr>
      <w:bookmarkStart w:id="95" w:name="_Toc51656739"/>
      <w:bookmarkStart w:id="96" w:name="_Toc64640559"/>
      <w:bookmarkStart w:id="97" w:name="_Toc93907327"/>
      <w:r w:rsidRPr="00B364CB">
        <w:t>Heavy duty vehicles</w:t>
      </w:r>
      <w:bookmarkEnd w:id="95"/>
      <w:bookmarkEnd w:id="96"/>
      <w:bookmarkEnd w:id="97"/>
    </w:p>
    <w:p w14:paraId="2503510F" w14:textId="77777777" w:rsidR="006224E4" w:rsidRPr="00B364CB" w:rsidRDefault="006224E4" w:rsidP="006224E4">
      <w:pPr>
        <w:pStyle w:val="MAWPHeadingStyleLevel4"/>
      </w:pPr>
      <w:r w:rsidRPr="00B364CB">
        <w:t>Rationale for Support</w:t>
      </w:r>
    </w:p>
    <w:p w14:paraId="362707CB" w14:textId="77777777" w:rsidR="005E3268" w:rsidRDefault="00D50024" w:rsidP="00325990">
      <w:pPr>
        <w:pStyle w:val="MAWP-Bodytext"/>
      </w:pPr>
      <w:r w:rsidRPr="00B364CB">
        <w:t>Over 75% of the freight transport in the EU is done via road</w:t>
      </w:r>
      <w:r w:rsidRPr="005E3268">
        <w:rPr>
          <w:vertAlign w:val="superscript"/>
        </w:rPr>
        <w:footnoteReference w:id="92"/>
      </w:r>
      <w:r w:rsidRPr="00B364CB">
        <w:t xml:space="preserve"> and heavy duty trucks are responsible for over 25% of the transport CO</w:t>
      </w:r>
      <w:r w:rsidRPr="005E3268">
        <w:rPr>
          <w:vertAlign w:val="subscript"/>
        </w:rPr>
        <w:t>2</w:t>
      </w:r>
      <w:r w:rsidRPr="00B364CB">
        <w:t xml:space="preserve"> emissions</w:t>
      </w:r>
      <w:r w:rsidRPr="005E3268">
        <w:rPr>
          <w:vertAlign w:val="superscript"/>
        </w:rPr>
        <w:footnoteReference w:id="93"/>
      </w:r>
      <w:r w:rsidRPr="00B364CB">
        <w:t xml:space="preserve">. If transport is to contribute to the EU decarbonisation efforts, all transport modes, including heavy duty, will need to undergo a deep transformation in the coming decade. The rapid uptake of zero emission vehicles is bound to play a key role. </w:t>
      </w:r>
      <w:r w:rsidR="004B75C9">
        <w:t>Battery</w:t>
      </w:r>
      <w:r w:rsidR="005E3268">
        <w:t>-powered</w:t>
      </w:r>
      <w:r w:rsidR="004B75C9">
        <w:t xml:space="preserve"> </w:t>
      </w:r>
      <w:r w:rsidR="005E3268">
        <w:t>h</w:t>
      </w:r>
      <w:r w:rsidR="004B75C9">
        <w:t>eavy</w:t>
      </w:r>
      <w:r w:rsidR="005E3268">
        <w:t xml:space="preserve"> d</w:t>
      </w:r>
      <w:r w:rsidR="004B75C9">
        <w:t xml:space="preserve">uty </w:t>
      </w:r>
      <w:r w:rsidR="005E3268">
        <w:t>t</w:t>
      </w:r>
      <w:r w:rsidR="004B75C9">
        <w:t>rucks are already on the market, and thanks to t</w:t>
      </w:r>
      <w:r w:rsidR="004B75C9" w:rsidRPr="00441087">
        <w:t xml:space="preserve">he rapidly developing scale in </w:t>
      </w:r>
      <w:r w:rsidR="004B75C9">
        <w:t xml:space="preserve">batteries, coverage of </w:t>
      </w:r>
      <w:r w:rsidR="004B75C9" w:rsidRPr="00441087">
        <w:t>long-haul</w:t>
      </w:r>
      <w:r w:rsidR="004B75C9">
        <w:t xml:space="preserve"> mission is soon expected.</w:t>
      </w:r>
      <w:r w:rsidR="004B75C9" w:rsidRPr="00B364CB">
        <w:t xml:space="preserve"> </w:t>
      </w:r>
      <w:r w:rsidR="000100F4" w:rsidRPr="00B364CB">
        <w:t xml:space="preserve">Hydrogen fuel cells are well suited to applications where long range and/or high payloads are required due to the relatively high energy density of compressed </w:t>
      </w:r>
      <w:r w:rsidR="0082236F" w:rsidRPr="00B364CB">
        <w:t xml:space="preserve">or liquid </w:t>
      </w:r>
      <w:r w:rsidR="000100F4" w:rsidRPr="00B364CB">
        <w:t>hydrogen. In much the same way as fuel cell buses provide a zero emission solution for public transport operators, fuel cell trucks are a potential drop-in replacement for diesel trucks as they can be refue</w:t>
      </w:r>
      <w:r w:rsidR="0060724C" w:rsidRPr="00B364CB">
        <w:t>l</w:t>
      </w:r>
      <w:r w:rsidR="000100F4" w:rsidRPr="00B364CB">
        <w:t>led in minutes and achieve a range of hundreds of kilometr</w:t>
      </w:r>
      <w:r w:rsidR="0060724C" w:rsidRPr="00B364CB">
        <w:t>e</w:t>
      </w:r>
      <w:r w:rsidR="000100F4" w:rsidRPr="00B364CB">
        <w:t xml:space="preserve">s, while having </w:t>
      </w:r>
      <w:r w:rsidR="001D527E" w:rsidRPr="00B364CB">
        <w:t>minimal impact</w:t>
      </w:r>
      <w:r w:rsidR="000100F4" w:rsidRPr="00B364CB">
        <w:t xml:space="preserve"> on the payload.</w:t>
      </w:r>
    </w:p>
    <w:p w14:paraId="4A6CC363" w14:textId="288FCF70" w:rsidR="006429FE" w:rsidRDefault="000100F4" w:rsidP="006429FE">
      <w:pPr>
        <w:pStyle w:val="MAWP-Bodytext"/>
      </w:pPr>
      <w:r w:rsidRPr="00B364CB">
        <w:t xml:space="preserve">The </w:t>
      </w:r>
      <w:r w:rsidR="006429FE">
        <w:t>heavy-duty</w:t>
      </w:r>
      <w:r w:rsidR="00325990">
        <w:t xml:space="preserve"> vehicles</w:t>
      </w:r>
      <w:r w:rsidRPr="00B364CB">
        <w:t xml:space="preserve"> sector is composed of a wide range of segments</w:t>
      </w:r>
      <w:r w:rsidR="004B75C9">
        <w:t xml:space="preserve">, </w:t>
      </w:r>
      <w:r w:rsidR="005E3268">
        <w:t>with</w:t>
      </w:r>
      <w:r w:rsidRPr="00B364CB">
        <w:t xml:space="preserve"> the most promising for FCs</w:t>
      </w:r>
      <w:r w:rsidR="005E3268">
        <w:t xml:space="preserve"> being</w:t>
      </w:r>
      <w:r w:rsidR="004B75C9">
        <w:t xml:space="preserve"> </w:t>
      </w:r>
      <w:r w:rsidR="005E3268">
        <w:t>l</w:t>
      </w:r>
      <w:r w:rsidRPr="00B364CB">
        <w:t>ong</w:t>
      </w:r>
      <w:r w:rsidR="005D1576">
        <w:t>-</w:t>
      </w:r>
      <w:r w:rsidRPr="00B364CB">
        <w:t xml:space="preserve">haul heavy duty </w:t>
      </w:r>
      <w:r w:rsidR="005E3268">
        <w:t xml:space="preserve">trucks </w:t>
      </w:r>
      <w:r w:rsidRPr="00B364CB">
        <w:t>for logistics applications</w:t>
      </w:r>
      <w:r w:rsidR="004B75C9">
        <w:t xml:space="preserve"> (with potential </w:t>
      </w:r>
      <w:r w:rsidR="005E3268">
        <w:t>spill overs</w:t>
      </w:r>
      <w:r w:rsidR="004B75C9">
        <w:t xml:space="preserve"> to other HDV classes)</w:t>
      </w:r>
      <w:r w:rsidR="005E3268">
        <w:t xml:space="preserve"> and r</w:t>
      </w:r>
      <w:r w:rsidRPr="00B364CB">
        <w:t>efuse collection trucks</w:t>
      </w:r>
      <w:r w:rsidR="00B87174" w:rsidRPr="00B364CB">
        <w:t>.</w:t>
      </w:r>
      <w:r w:rsidR="005E3268">
        <w:t xml:space="preserve"> </w:t>
      </w:r>
      <w:r w:rsidRPr="00B364CB">
        <w:t>In addition, coaches present the same goals and requirements of long-haul trucks are set/to be pursued and are therefore covered in this area.</w:t>
      </w:r>
    </w:p>
    <w:p w14:paraId="3015C891" w14:textId="771CD277" w:rsidR="003F0364" w:rsidRDefault="003F0364" w:rsidP="006429FE">
      <w:pPr>
        <w:pStyle w:val="MAWP-Bodytext"/>
      </w:pPr>
      <w:r w:rsidRPr="00E8307C">
        <w:t xml:space="preserve">A strong collaboration is envisaged between </w:t>
      </w:r>
      <w:r>
        <w:t xml:space="preserve">Clean Hydrogen </w:t>
      </w:r>
      <w:r w:rsidRPr="00E8307C">
        <w:t>JU and 2</w:t>
      </w:r>
      <w:r>
        <w:t>ZERO</w:t>
      </w:r>
      <w:r w:rsidRPr="00E8307C">
        <w:t xml:space="preserve"> as both partnerships will deal with the development and deployment of hydrogen and fuel cells trucks. </w:t>
      </w:r>
      <w:r w:rsidRPr="00B364CB">
        <w:t xml:space="preserve">An overview of the </w:t>
      </w:r>
      <w:r w:rsidR="003D3E4A" w:rsidRPr="003D3E4A">
        <w:t xml:space="preserve">envisioned distribution of responsibilities between these </w:t>
      </w:r>
      <w:r w:rsidR="002B7AE5">
        <w:t>p</w:t>
      </w:r>
      <w:r w:rsidR="003D3E4A" w:rsidRPr="003D3E4A">
        <w:t>artnerships</w:t>
      </w:r>
      <w:r w:rsidR="003D3E4A" w:rsidRPr="00B364CB">
        <w:t xml:space="preserve"> </w:t>
      </w:r>
      <w:r w:rsidRPr="00B364CB">
        <w:t xml:space="preserve">is provided in </w:t>
      </w:r>
      <w:r>
        <w:t>Annex 7</w:t>
      </w:r>
      <w:r w:rsidRPr="00B364CB">
        <w:t>.</w:t>
      </w:r>
    </w:p>
    <w:p w14:paraId="68276A40" w14:textId="2FA6740E" w:rsidR="00DA0E0C" w:rsidRPr="00B364CB" w:rsidRDefault="00DA0E0C" w:rsidP="007150DB">
      <w:pPr>
        <w:pStyle w:val="MAWPHeadingStyleLevel4"/>
      </w:pPr>
      <w:r w:rsidRPr="00B364CB">
        <w:t>State of the Art</w:t>
      </w:r>
    </w:p>
    <w:p w14:paraId="67A86947" w14:textId="135599EB" w:rsidR="00D50024" w:rsidRPr="00B364CB" w:rsidRDefault="000100F4" w:rsidP="00761165">
      <w:pPr>
        <w:pStyle w:val="MAWP-Bodytext"/>
      </w:pPr>
      <w:r w:rsidRPr="00B364CB">
        <w:t>Despite a growing number of small-scale FC truck development and demonstration projects underway in Europe,</w:t>
      </w:r>
      <w:r w:rsidR="00D50024" w:rsidRPr="00B364CB">
        <w:t xml:space="preserve"> US, Canada</w:t>
      </w:r>
      <w:r w:rsidR="004B75C9">
        <w:t>, Korea</w:t>
      </w:r>
      <w:r w:rsidR="00D50024" w:rsidRPr="00B364CB">
        <w:t xml:space="preserve"> and China</w:t>
      </w:r>
      <w:r w:rsidR="005A6771">
        <w:t>,</w:t>
      </w:r>
      <w:r w:rsidRPr="00B364CB">
        <w:t xml:space="preserve"> vehicles </w:t>
      </w:r>
      <w:r w:rsidR="001534E0">
        <w:t xml:space="preserve">have only </w:t>
      </w:r>
      <w:r w:rsidR="004B75C9">
        <w:t xml:space="preserve">recently </w:t>
      </w:r>
      <w:r w:rsidR="001534E0">
        <w:t xml:space="preserve">started being </w:t>
      </w:r>
      <w:r w:rsidRPr="00B364CB">
        <w:t xml:space="preserve">tested and validated in real world operations. </w:t>
      </w:r>
      <w:r w:rsidR="005E4983" w:rsidRPr="00B364CB">
        <w:t xml:space="preserve">A little over 23 projects worldwide led to the </w:t>
      </w:r>
      <w:r w:rsidR="005E4983" w:rsidRPr="00B364CB">
        <w:lastRenderedPageBreak/>
        <w:t>deployment of tens of units</w:t>
      </w:r>
      <w:r w:rsidR="005E4983" w:rsidRPr="00B364CB">
        <w:rPr>
          <w:rStyle w:val="FootnoteReference"/>
        </w:rPr>
        <w:footnoteReference w:id="94"/>
      </w:r>
      <w:r w:rsidR="005E4983" w:rsidRPr="00B364CB">
        <w:t>. Among them H2HAUL</w:t>
      </w:r>
      <w:r w:rsidR="005E4983" w:rsidRPr="00B364CB">
        <w:rPr>
          <w:rStyle w:val="FootnoteReference"/>
        </w:rPr>
        <w:footnoteReference w:id="95"/>
      </w:r>
      <w:r w:rsidR="005E4983" w:rsidRPr="00B364CB">
        <w:t>, which will develop and demonstrate a total of 16 new heavy-duty (26–44t) hydrogen fuel cell trucks in real-world commercial operations, and REVIVE</w:t>
      </w:r>
      <w:r w:rsidR="005E4983" w:rsidRPr="00B364CB">
        <w:rPr>
          <w:rStyle w:val="FootnoteReference"/>
        </w:rPr>
        <w:footnoteReference w:id="96"/>
      </w:r>
      <w:r w:rsidR="005E4983" w:rsidRPr="00B364CB">
        <w:t xml:space="preserve"> tackling the vocational trucks sector. Even though the situation is rapidly evolving and several announcements</w:t>
      </w:r>
      <w:r w:rsidR="005E4983" w:rsidRPr="00B364CB">
        <w:rPr>
          <w:rStyle w:val="FootnoteReference"/>
        </w:rPr>
        <w:footnoteReference w:id="97"/>
      </w:r>
      <w:r w:rsidR="005E4983" w:rsidRPr="00B364CB">
        <w:t xml:space="preserve"> indicate that a significant ramp up is to be expected in the near term, t</w:t>
      </w:r>
      <w:r w:rsidR="00D50024" w:rsidRPr="00B364CB">
        <w:t xml:space="preserve">he commercialisation of FCH </w:t>
      </w:r>
      <w:r w:rsidR="008D03B1" w:rsidRPr="00B364CB">
        <w:t xml:space="preserve">HDV </w:t>
      </w:r>
      <w:r w:rsidR="00D50024" w:rsidRPr="00B364CB">
        <w:t xml:space="preserve">is </w:t>
      </w:r>
      <w:r w:rsidR="005E4983" w:rsidRPr="00B364CB">
        <w:t xml:space="preserve">still </w:t>
      </w:r>
      <w:r w:rsidR="00D50024" w:rsidRPr="00B364CB">
        <w:t>at the very early stage; t</w:t>
      </w:r>
      <w:r w:rsidRPr="00B364CB">
        <w:t>oday there is no FC</w:t>
      </w:r>
      <w:r w:rsidR="008D03B1" w:rsidRPr="00B364CB">
        <w:t>H</w:t>
      </w:r>
      <w:r w:rsidRPr="00B364CB">
        <w:t xml:space="preserve"> HDV </w:t>
      </w:r>
      <w:r w:rsidR="00426111" w:rsidRPr="00B364CB">
        <w:t>original equipment manufacturer (</w:t>
      </w:r>
      <w:r w:rsidRPr="00B364CB">
        <w:t>OEM</w:t>
      </w:r>
      <w:r w:rsidR="00426111" w:rsidRPr="00B364CB">
        <w:t>)</w:t>
      </w:r>
      <w:r w:rsidRPr="00B364CB">
        <w:t xml:space="preserve"> available on the market with a commercial offer on a regular basis. </w:t>
      </w:r>
    </w:p>
    <w:p w14:paraId="2EE3FC41" w14:textId="0A17EC5D" w:rsidR="008505CF" w:rsidRPr="00B364CB" w:rsidRDefault="008505CF" w:rsidP="00761165">
      <w:pPr>
        <w:pStyle w:val="MAWP-Bodytext"/>
      </w:pPr>
      <w:r w:rsidRPr="00B364CB">
        <w:t xml:space="preserve">In order to facilitate the commercialisation step, a number of other items, such as the standardisation </w:t>
      </w:r>
      <w:r w:rsidR="0082236F" w:rsidRPr="00B364CB">
        <w:t xml:space="preserve">and modularity </w:t>
      </w:r>
      <w:r w:rsidRPr="00B364CB">
        <w:t>of components</w:t>
      </w:r>
      <w:r w:rsidR="0082236F" w:rsidRPr="00B364CB">
        <w:t>, interfaces</w:t>
      </w:r>
      <w:r w:rsidRPr="00B364CB">
        <w:t xml:space="preserve"> and development of protocols allowing faster refuelling operations will need to be developed. Projects such as STASHH</w:t>
      </w:r>
      <w:r w:rsidRPr="00B364CB">
        <w:rPr>
          <w:rStyle w:val="FootnoteReference"/>
        </w:rPr>
        <w:footnoteReference w:id="98"/>
      </w:r>
      <w:r w:rsidRPr="00B364CB">
        <w:t xml:space="preserve"> and PRHYDE</w:t>
      </w:r>
      <w:r w:rsidRPr="00B364CB">
        <w:rPr>
          <w:rStyle w:val="FootnoteReference"/>
        </w:rPr>
        <w:footnoteReference w:id="99"/>
      </w:r>
      <w:r w:rsidRPr="00B364CB">
        <w:t xml:space="preserve"> are tackling these issues.</w:t>
      </w:r>
    </w:p>
    <w:p w14:paraId="3E059966" w14:textId="357BC363" w:rsidR="000100F4" w:rsidRPr="00B364CB" w:rsidRDefault="00D50024" w:rsidP="00761165">
      <w:pPr>
        <w:pStyle w:val="MAWP-Bodytext"/>
      </w:pPr>
      <w:r w:rsidRPr="00B364CB">
        <w:t xml:space="preserve">Key hurdles to overcome before FC </w:t>
      </w:r>
      <w:r w:rsidR="0015068E">
        <w:t>Heavy Duty Transport (</w:t>
      </w:r>
      <w:r w:rsidRPr="00B364CB">
        <w:t>HDT</w:t>
      </w:r>
      <w:r w:rsidR="0015068E">
        <w:t>)</w:t>
      </w:r>
      <w:r w:rsidRPr="00B364CB">
        <w:t xml:space="preserve"> can become a mainstream decarbonisation solution include relatively high prices of the vehicles and </w:t>
      </w:r>
      <w:r w:rsidR="00140652" w:rsidRPr="00B364CB">
        <w:t>hydrogen</w:t>
      </w:r>
      <w:r w:rsidRPr="00B364CB">
        <w:t xml:space="preserve"> as well as the deployment of an appropriate refuelling infrastructure. Following the recent adoption of the EU regulation</w:t>
      </w:r>
      <w:r w:rsidR="00A86DE3" w:rsidRPr="00B364CB">
        <w:t xml:space="preserve"> on the CO</w:t>
      </w:r>
      <w:r w:rsidR="00A86DE3" w:rsidRPr="00B364CB">
        <w:rPr>
          <w:vertAlign w:val="subscript"/>
        </w:rPr>
        <w:t>2</w:t>
      </w:r>
      <w:r w:rsidR="00A86DE3" w:rsidRPr="00B364CB">
        <w:t xml:space="preserve"> standards of Heavy Duty Vehicles</w:t>
      </w:r>
      <w:r w:rsidRPr="00B364CB">
        <w:rPr>
          <w:rStyle w:val="FootnoteReference"/>
        </w:rPr>
        <w:footnoteReference w:id="100"/>
      </w:r>
      <w:r w:rsidRPr="00B364CB">
        <w:t xml:space="preserve">, an increasing number of European OEMs </w:t>
      </w:r>
      <w:r w:rsidR="00A86DE3" w:rsidRPr="00B364CB">
        <w:t>started</w:t>
      </w:r>
      <w:r w:rsidRPr="00B364CB">
        <w:t xml:space="preserve"> investing in FCH HD</w:t>
      </w:r>
      <w:r w:rsidR="004B75C9">
        <w:t>V</w:t>
      </w:r>
      <w:r w:rsidRPr="00B364CB">
        <w:t xml:space="preserve"> solutions and the variety of products on the market is set to rapidly increase in the coming years.</w:t>
      </w:r>
    </w:p>
    <w:p w14:paraId="77DAA41C" w14:textId="1B323105" w:rsidR="000100F4" w:rsidRPr="00B364CB" w:rsidRDefault="006224E4" w:rsidP="007150DB">
      <w:pPr>
        <w:pStyle w:val="MAWPHeadingStyleLevel4"/>
      </w:pPr>
      <w:r w:rsidRPr="00B364CB">
        <w:t>Objectives</w:t>
      </w:r>
    </w:p>
    <w:p w14:paraId="19D6C002" w14:textId="3A8F4223" w:rsidR="000100F4" w:rsidRDefault="000100F4" w:rsidP="00761165">
      <w:pPr>
        <w:pStyle w:val="MAWP-Bodytext"/>
      </w:pPr>
      <w:r w:rsidRPr="00B364CB">
        <w:t xml:space="preserve">Building on the development work already underway in this sector, a targeted </w:t>
      </w:r>
      <w:r w:rsidR="008B064F" w:rsidRPr="00B364CB">
        <w:t xml:space="preserve">programme </w:t>
      </w:r>
      <w:r w:rsidRPr="00B364CB">
        <w:t xml:space="preserve">of support can help to cover the costs of further development activities and attract a growing number of suppliers. There is a case for funding to support non-recurring engineering costs and prototyping / development activities in addition to the adaptation of the building blocks for HD purposes.  </w:t>
      </w:r>
      <w:r w:rsidR="00D50024" w:rsidRPr="00B364CB">
        <w:t xml:space="preserve">By 2030 FC suppliers, OEMs, truck operators and infrastructure and </w:t>
      </w:r>
      <w:r w:rsidR="00140652" w:rsidRPr="00B364CB">
        <w:t>hydrogen</w:t>
      </w:r>
      <w:r w:rsidR="00D50024" w:rsidRPr="00B364CB">
        <w:t xml:space="preserve"> providers intend to put on the EU roads up to 100.000 FCH HD</w:t>
      </w:r>
      <w:r w:rsidR="001534E0">
        <w:t>V</w:t>
      </w:r>
      <w:r w:rsidR="00D50024" w:rsidRPr="00B364CB">
        <w:rPr>
          <w:rStyle w:val="FootnoteReference"/>
        </w:rPr>
        <w:footnoteReference w:id="101"/>
      </w:r>
      <w:r w:rsidR="00D50024" w:rsidRPr="00B364CB">
        <w:t>.</w:t>
      </w:r>
    </w:p>
    <w:p w14:paraId="375D4CB9" w14:textId="57EF632F" w:rsidR="00B22790" w:rsidRDefault="00B22790" w:rsidP="00B22790">
      <w:pPr>
        <w:pStyle w:val="MAWPBodyTextNumbered"/>
        <w:numPr>
          <w:ilvl w:val="0"/>
          <w:numId w:val="0"/>
        </w:numPr>
      </w:pPr>
      <w:r>
        <w:t xml:space="preserve">Overall, </w:t>
      </w:r>
      <w:r w:rsidRPr="00B364CB">
        <w:t xml:space="preserve">R&amp;D actions in this area have the following objectives: </w:t>
      </w:r>
    </w:p>
    <w:p w14:paraId="06549D43" w14:textId="77777777" w:rsidR="00097706" w:rsidRPr="00B364CB" w:rsidRDefault="00097706" w:rsidP="002256F6">
      <w:pPr>
        <w:pStyle w:val="MAWPBodyTextNumbered"/>
        <w:numPr>
          <w:ilvl w:val="0"/>
          <w:numId w:val="48"/>
        </w:numPr>
      </w:pPr>
      <w:r w:rsidRPr="00B364CB">
        <w:t xml:space="preserve">Reducing the </w:t>
      </w:r>
      <w:r>
        <w:t xml:space="preserve">cost </w:t>
      </w:r>
      <w:r w:rsidRPr="00B364CB">
        <w:t xml:space="preserve"> of </w:t>
      </w:r>
      <w:r>
        <w:t>core components such as modules and stacks in order to foster the competitiveness of FC heavy-duty applications</w:t>
      </w:r>
      <w:r w:rsidRPr="00B364CB">
        <w:t>;</w:t>
      </w:r>
    </w:p>
    <w:p w14:paraId="7721CB88" w14:textId="77777777" w:rsidR="00097706" w:rsidRDefault="00097706" w:rsidP="002256F6">
      <w:pPr>
        <w:pStyle w:val="MAWPBodyTextNumbered"/>
        <w:numPr>
          <w:ilvl w:val="0"/>
          <w:numId w:val="48"/>
        </w:numPr>
      </w:pPr>
      <w:r>
        <w:t xml:space="preserve">Improving overall system performance of FC systems in order to improve the availability and durability and meet the needs of FCH HDV end users; </w:t>
      </w:r>
    </w:p>
    <w:p w14:paraId="0982C950" w14:textId="5F204604" w:rsidR="00B22790" w:rsidRDefault="00B22790" w:rsidP="002256F6">
      <w:pPr>
        <w:pStyle w:val="MAWPBodyTextNumbered"/>
        <w:numPr>
          <w:ilvl w:val="0"/>
          <w:numId w:val="48"/>
        </w:numPr>
      </w:pPr>
      <w:r>
        <w:t>Improvements in design and monitoring procedures</w:t>
      </w:r>
      <w:r w:rsidR="006B665A">
        <w:t xml:space="preserve"> of FC systems;</w:t>
      </w:r>
    </w:p>
    <w:p w14:paraId="15BCF398" w14:textId="61CC5E1B" w:rsidR="00B22790" w:rsidRPr="00B364CB" w:rsidRDefault="00B22790" w:rsidP="002256F6">
      <w:pPr>
        <w:pStyle w:val="MAWPBodyTextNumbered"/>
        <w:numPr>
          <w:ilvl w:val="0"/>
          <w:numId w:val="48"/>
        </w:numPr>
      </w:pPr>
      <w:r>
        <w:t>Supporting</w:t>
      </w:r>
      <w:r w:rsidR="00097706">
        <w:t xml:space="preserve"> and accelerating</w:t>
      </w:r>
      <w:r>
        <w:t xml:space="preserve"> the wide roll out of FC HDVs</w:t>
      </w:r>
      <w:r w:rsidR="005C0D55">
        <w:t>.</w:t>
      </w:r>
    </w:p>
    <w:p w14:paraId="0F3E9DF2" w14:textId="2508449A" w:rsidR="00B22790" w:rsidRDefault="00BA4C01" w:rsidP="00BA4C01">
      <w:pPr>
        <w:pStyle w:val="MAWP-Bodytext"/>
      </w:pPr>
      <w:r w:rsidRPr="00CE70C1">
        <w:t xml:space="preserve">In order to contribute towards achieving the above objectives, the following areas of research and development appear as good candidates for the support by the </w:t>
      </w:r>
      <w:r w:rsidR="00831A2C">
        <w:t xml:space="preserve">Clean Hydrogen </w:t>
      </w:r>
      <w:r w:rsidRPr="00CE70C1">
        <w:t>JU.</w:t>
      </w:r>
    </w:p>
    <w:p w14:paraId="69E50400" w14:textId="77777777" w:rsidR="00671C59" w:rsidRPr="00B364CB" w:rsidRDefault="00671C59" w:rsidP="00671C59">
      <w:pPr>
        <w:pStyle w:val="MAWPHeadingStyleLevel4"/>
      </w:pPr>
      <w:r w:rsidRPr="00B364CB">
        <w:rPr>
          <w:rFonts w:cs="Arial"/>
          <w:szCs w:val="22"/>
        </w:rPr>
        <w:t xml:space="preserve">R&amp;D Priorities - </w:t>
      </w:r>
      <w:r w:rsidRPr="00B364CB">
        <w:t>Early Stage Research Actions</w:t>
      </w:r>
    </w:p>
    <w:p w14:paraId="742FC548" w14:textId="77777777" w:rsidR="000100F4" w:rsidRPr="00B364CB" w:rsidRDefault="000100F4" w:rsidP="00761165">
      <w:pPr>
        <w:pStyle w:val="MAWPBodytextbullets"/>
      </w:pPr>
      <w:r w:rsidRPr="00B364CB">
        <w:lastRenderedPageBreak/>
        <w:t>Improvement or development of strategic BoP components and design of HDV systems for low cost and scaled-up manufacturing;</w:t>
      </w:r>
    </w:p>
    <w:p w14:paraId="294EF602" w14:textId="77B69375" w:rsidR="000418F8" w:rsidRPr="00B364CB" w:rsidRDefault="000100F4" w:rsidP="00761165">
      <w:pPr>
        <w:pStyle w:val="MAWPBodytextbullets"/>
      </w:pPr>
      <w:r w:rsidRPr="00B364CB">
        <w:t xml:space="preserve">Development of disruptive concepts towards improved volumetric and gravimetric </w:t>
      </w:r>
      <w:r w:rsidR="0082236F" w:rsidRPr="00B364CB">
        <w:t xml:space="preserve">power and energy </w:t>
      </w:r>
      <w:r w:rsidRPr="00B364CB">
        <w:t>density and increased durability of HDV systems</w:t>
      </w:r>
      <w:r w:rsidR="006762C2" w:rsidRPr="00B364CB">
        <w:t>;</w:t>
      </w:r>
    </w:p>
    <w:p w14:paraId="67B04E05" w14:textId="57C91FA5" w:rsidR="000100F4" w:rsidRPr="00B364CB" w:rsidRDefault="000418F8" w:rsidP="00761165">
      <w:pPr>
        <w:pStyle w:val="MAWPBodytextbullets"/>
      </w:pPr>
      <w:r w:rsidRPr="00B364CB">
        <w:t xml:space="preserve">Improved </w:t>
      </w:r>
      <w:r w:rsidR="006762C2" w:rsidRPr="00B364CB">
        <w:t xml:space="preserve">and lower cost </w:t>
      </w:r>
      <w:r w:rsidRPr="00B364CB">
        <w:t xml:space="preserve">hydrogen on-board storage </w:t>
      </w:r>
      <w:r w:rsidR="006762C2" w:rsidRPr="00B364CB">
        <w:t>(gaseous and liquid) solutions</w:t>
      </w:r>
      <w:r w:rsidR="0006644B" w:rsidRPr="0006644B">
        <w:t>.</w:t>
      </w:r>
    </w:p>
    <w:p w14:paraId="71AE0130" w14:textId="5606987B" w:rsidR="000100F4" w:rsidRPr="00B364CB" w:rsidRDefault="007150DB" w:rsidP="007150DB">
      <w:pPr>
        <w:pStyle w:val="MAWPHeadingStyleLevel4"/>
      </w:pPr>
      <w:r w:rsidRPr="00B364CB">
        <w:rPr>
          <w:szCs w:val="22"/>
        </w:rPr>
        <w:t xml:space="preserve">R&amp;D Priorities - </w:t>
      </w:r>
      <w:r w:rsidR="000100F4" w:rsidRPr="00B364CB">
        <w:t>Development Research Actions</w:t>
      </w:r>
    </w:p>
    <w:p w14:paraId="1A0478C1" w14:textId="327A6760" w:rsidR="00F024E7" w:rsidRDefault="000100F4" w:rsidP="00761165">
      <w:pPr>
        <w:pStyle w:val="MAWPBodytextbullets"/>
      </w:pPr>
      <w:r w:rsidRPr="00B364CB">
        <w:t xml:space="preserve">Establishing FC HDV specifications required to meet users’ needs and regulation constraints for a range of truck sizes, duty cycles and auxiliary units (e.g., refrigerated food transport) power demand. </w:t>
      </w:r>
    </w:p>
    <w:p w14:paraId="3B707371" w14:textId="727578D0" w:rsidR="000100F4" w:rsidRPr="00B364CB" w:rsidRDefault="00CD30FD" w:rsidP="00443214">
      <w:pPr>
        <w:pStyle w:val="MAWPBodytextbullets"/>
      </w:pPr>
      <w:r>
        <w:t>Modelling</w:t>
      </w:r>
      <w:r w:rsidR="000100F4" w:rsidRPr="00B364CB">
        <w:t xml:space="preserve">, </w:t>
      </w:r>
      <w:r w:rsidR="0082236F" w:rsidRPr="00B364CB">
        <w:t>optimisation</w:t>
      </w:r>
      <w:r w:rsidR="000100F4" w:rsidRPr="00B364CB">
        <w:t xml:space="preserve"> and life cycle cost analysis tools are essential to suitably address optimal HDV and coaches powertrain design and energy management</w:t>
      </w:r>
      <w:r w:rsidR="0082236F" w:rsidRPr="00B364CB">
        <w:t xml:space="preserve"> taking into account a hybridisation with a battery pack</w:t>
      </w:r>
      <w:r w:rsidR="000100F4" w:rsidRPr="00B364CB">
        <w:t>, as well as FC-related recycling potential;</w:t>
      </w:r>
    </w:p>
    <w:p w14:paraId="64098A32" w14:textId="7DE96187" w:rsidR="000100F4" w:rsidRPr="00B364CB" w:rsidRDefault="000100F4" w:rsidP="00761165">
      <w:pPr>
        <w:pStyle w:val="MAWPBodytextbullets"/>
      </w:pPr>
      <w:r w:rsidRPr="00B364CB">
        <w:t xml:space="preserve">Prototyping activities, development of control, diagnostic and prognostic procedure, interfaces between sub-systems and integration of FC systems and on-board hydrogen storage into FC HDV. </w:t>
      </w:r>
      <w:r w:rsidR="008643E6" w:rsidRPr="00B364CB">
        <w:t>Investigation</w:t>
      </w:r>
      <w:r w:rsidRPr="00B364CB">
        <w:t xml:space="preserve"> of future usage of liquid hydrogen. Development of health of state monitoring concepts for service and maintenance;</w:t>
      </w:r>
    </w:p>
    <w:p w14:paraId="5D077954" w14:textId="6B0DFDBD" w:rsidR="000100F4" w:rsidRPr="00B364CB" w:rsidRDefault="000100F4" w:rsidP="00761165">
      <w:pPr>
        <w:pStyle w:val="MAWPBodytextbullets"/>
      </w:pPr>
      <w:r w:rsidRPr="00B364CB">
        <w:t xml:space="preserve">Stack </w:t>
      </w:r>
      <w:r w:rsidR="000F25C2" w:rsidRPr="00B364CB">
        <w:t>improvements in</w:t>
      </w:r>
      <w:r w:rsidRPr="00B364CB">
        <w:t xml:space="preserve"> terms of performance, durability and reliability (incl. game changing concepts on core components) specifically aimed at meeting HDV needs;</w:t>
      </w:r>
    </w:p>
    <w:p w14:paraId="02C66B34" w14:textId="0CA3B099" w:rsidR="000100F4" w:rsidRPr="00B364CB" w:rsidRDefault="0082236F" w:rsidP="00761165">
      <w:pPr>
        <w:pStyle w:val="MAWPBodytextbullets"/>
      </w:pPr>
      <w:r w:rsidRPr="00B364CB">
        <w:t>Optimisation</w:t>
      </w:r>
      <w:r w:rsidR="000100F4" w:rsidRPr="00B364CB">
        <w:t xml:space="preserve"> of the HDV system to different use cases targeting improved performance and durability (e.g. </w:t>
      </w:r>
      <w:r w:rsidRPr="00B364CB">
        <w:t>hybridised</w:t>
      </w:r>
      <w:r w:rsidR="000100F4" w:rsidRPr="00B364CB">
        <w:t xml:space="preserve"> powertrains, range extender, advanced tools and methods for improving control and strategies)</w:t>
      </w:r>
      <w:r w:rsidR="003B1110" w:rsidRPr="00B364CB">
        <w:t>;</w:t>
      </w:r>
    </w:p>
    <w:p w14:paraId="110B5BA5" w14:textId="426CB191" w:rsidR="000100F4" w:rsidRPr="00B364CB" w:rsidRDefault="000100F4" w:rsidP="00761165">
      <w:pPr>
        <w:pStyle w:val="MAWPBodytextbullets"/>
      </w:pPr>
      <w:r w:rsidRPr="00B364CB">
        <w:t xml:space="preserve">Further development of Auxiliary Power Unit </w:t>
      </w:r>
      <w:r w:rsidR="00426111" w:rsidRPr="00B364CB">
        <w:t xml:space="preserve">(APU) </w:t>
      </w:r>
      <w:r w:rsidRPr="00B364CB">
        <w:t>concepts capable of meeting high power demand of vocational heavy</w:t>
      </w:r>
      <w:r w:rsidR="007E7379" w:rsidRPr="00B364CB">
        <w:t>-</w:t>
      </w:r>
      <w:r w:rsidRPr="00B364CB">
        <w:t>duty applications (</w:t>
      </w:r>
      <w:r w:rsidR="004B75C9">
        <w:t>e.g.</w:t>
      </w:r>
      <w:r w:rsidRPr="00B364CB">
        <w:t xml:space="preserve"> construction trucks</w:t>
      </w:r>
      <w:r w:rsidR="00FF144D" w:rsidRPr="00B364CB">
        <w:t>, off-road vehicles</w:t>
      </w:r>
      <w:r w:rsidRPr="00B364CB">
        <w:t>)</w:t>
      </w:r>
      <w:r w:rsidR="00B87174" w:rsidRPr="00B364CB">
        <w:t>.</w:t>
      </w:r>
    </w:p>
    <w:p w14:paraId="7BC793CB" w14:textId="595CF541" w:rsidR="000100F4" w:rsidRPr="00B364CB" w:rsidRDefault="00F43A04" w:rsidP="007150DB">
      <w:pPr>
        <w:pStyle w:val="MAWPHeadingStyleLevel4"/>
      </w:pPr>
      <w:r w:rsidRPr="00B364CB">
        <w:t>R&amp;D Priorities - Demonstration Actions</w:t>
      </w:r>
    </w:p>
    <w:p w14:paraId="327DD533" w14:textId="52F0A596" w:rsidR="000100F4" w:rsidRPr="00B364CB" w:rsidRDefault="004B75C9" w:rsidP="00761165">
      <w:pPr>
        <w:pStyle w:val="MAWP-Bodytext"/>
      </w:pPr>
      <w:r>
        <w:t>D</w:t>
      </w:r>
      <w:r w:rsidR="000100F4" w:rsidRPr="00B364CB">
        <w:t>emonstrations should focus on:</w:t>
      </w:r>
    </w:p>
    <w:p w14:paraId="6082E38A" w14:textId="65343050" w:rsidR="006429FE" w:rsidRPr="00B364CB" w:rsidRDefault="000100F4" w:rsidP="006429FE">
      <w:pPr>
        <w:pStyle w:val="MAWPBodytextbullets"/>
      </w:pPr>
      <w:r w:rsidRPr="00B364CB">
        <w:t>Validating the performance of the technology in a range of real-world operations, specifically KPIs such as availability, lifetime, efficiency</w:t>
      </w:r>
      <w:r w:rsidR="00443214">
        <w:t xml:space="preserve"> and</w:t>
      </w:r>
      <w:r w:rsidRPr="00B364CB">
        <w:t xml:space="preserve"> </w:t>
      </w:r>
      <w:r w:rsidR="00443214">
        <w:t>t</w:t>
      </w:r>
      <w:r w:rsidR="004B75C9">
        <w:t xml:space="preserve">otal </w:t>
      </w:r>
      <w:r w:rsidR="00443214">
        <w:t>c</w:t>
      </w:r>
      <w:r w:rsidR="004B75C9">
        <w:t xml:space="preserve">ost of </w:t>
      </w:r>
      <w:r w:rsidR="00443214">
        <w:t>o</w:t>
      </w:r>
      <w:r w:rsidR="004B75C9" w:rsidRPr="00B364CB">
        <w:t>wnership;</w:t>
      </w:r>
    </w:p>
    <w:p w14:paraId="6DECDD41" w14:textId="2C747432" w:rsidR="000100F4" w:rsidRPr="00B364CB" w:rsidRDefault="000100F4" w:rsidP="00761165">
      <w:pPr>
        <w:pStyle w:val="MAWPBodytextbullets"/>
      </w:pPr>
      <w:r w:rsidRPr="00B364CB">
        <w:t xml:space="preserve">Preparing the market for wider roll-out, e.g. by training technicians to maintain </w:t>
      </w:r>
      <w:r w:rsidR="004B75C9">
        <w:t>hydrogen components</w:t>
      </w:r>
      <w:r w:rsidR="00443214">
        <w:t xml:space="preserve"> of </w:t>
      </w:r>
      <w:r w:rsidRPr="00B364CB">
        <w:t>the vehicles</w:t>
      </w:r>
      <w:r w:rsidR="00443214">
        <w:t>,</w:t>
      </w:r>
      <w:r w:rsidRPr="00B364CB">
        <w:t xml:space="preserve"> etc</w:t>
      </w:r>
      <w:r w:rsidR="00B87174" w:rsidRPr="00B364CB">
        <w:t>;</w:t>
      </w:r>
    </w:p>
    <w:p w14:paraId="07CE3813" w14:textId="77777777" w:rsidR="00A06692" w:rsidRDefault="000100F4" w:rsidP="00761165">
      <w:pPr>
        <w:pStyle w:val="MAWPBodytextbullets"/>
      </w:pPr>
      <w:r w:rsidRPr="00B364CB">
        <w:t xml:space="preserve">Collecting and </w:t>
      </w:r>
      <w:r w:rsidR="00855B1B" w:rsidRPr="00B364CB">
        <w:t>analysing</w:t>
      </w:r>
      <w:r w:rsidRPr="00B364CB">
        <w:t xml:space="preserve"> empirical evidence on performance (technical and commercial) of vehicles and associated </w:t>
      </w:r>
      <w:r w:rsidR="00855B1B" w:rsidRPr="00B364CB">
        <w:t>refuelling</w:t>
      </w:r>
      <w:r w:rsidRPr="00B364CB">
        <w:t xml:space="preserve"> infrastructure</w:t>
      </w:r>
    </w:p>
    <w:p w14:paraId="32F10252" w14:textId="7059262B" w:rsidR="000100F4" w:rsidRPr="00B364CB" w:rsidRDefault="000100F4" w:rsidP="00761165">
      <w:pPr>
        <w:pStyle w:val="MAWPBodytextbullets"/>
      </w:pPr>
      <w:r w:rsidRPr="00B364CB">
        <w:t>Exploiting the promising synergies between hydrogen-based renewable distributed energy systems and transport sector</w:t>
      </w:r>
      <w:r w:rsidR="00B87174" w:rsidRPr="00B364CB">
        <w:t>;</w:t>
      </w:r>
    </w:p>
    <w:p w14:paraId="198C4268" w14:textId="06FAC2AF" w:rsidR="000100F4" w:rsidRPr="00B364CB" w:rsidRDefault="000100F4" w:rsidP="00761165">
      <w:pPr>
        <w:pStyle w:val="MAWPBodytextbullets"/>
        <w:rPr>
          <w:rFonts w:asciiTheme="minorHAnsi" w:hAnsiTheme="minorHAnsi"/>
        </w:rPr>
      </w:pPr>
      <w:r w:rsidRPr="00B364CB">
        <w:t>Ensuring the</w:t>
      </w:r>
      <w:r w:rsidR="00F159E0" w:rsidRPr="00B364CB">
        <w:t xml:space="preserve"> most promising</w:t>
      </w:r>
      <w:r w:rsidRPr="00B364CB">
        <w:t xml:space="preserve"> range of truck types are </w:t>
      </w:r>
      <w:r w:rsidR="00855B1B" w:rsidRPr="00B364CB">
        <w:t>tested</w:t>
      </w:r>
      <w:r w:rsidR="00F159E0" w:rsidRPr="00B364CB">
        <w:t>;</w:t>
      </w:r>
      <w:r w:rsidR="00855B1B" w:rsidRPr="00B364CB">
        <w:t xml:space="preserve"> </w:t>
      </w:r>
      <w:r w:rsidRPr="00B364CB">
        <w:t>(i.e. different weight classes, niches such as refuse trucks)</w:t>
      </w:r>
      <w:r w:rsidR="00B87174" w:rsidRPr="00B364CB">
        <w:t>;</w:t>
      </w:r>
      <w:r w:rsidRPr="00B364CB">
        <w:t xml:space="preserve">Ensure fully addressing the safety issues associated to the significant amount of on-board stored </w:t>
      </w:r>
      <w:r w:rsidR="0082236F" w:rsidRPr="00B364CB">
        <w:t>pressurised</w:t>
      </w:r>
      <w:r w:rsidRPr="00B364CB">
        <w:t xml:space="preserve"> hydrogen.</w:t>
      </w:r>
    </w:p>
    <w:p w14:paraId="34DC4368" w14:textId="77777777" w:rsidR="000100F4" w:rsidRPr="00B364CB" w:rsidRDefault="000100F4" w:rsidP="007150DB">
      <w:pPr>
        <w:pStyle w:val="MAWPHeadingStyleLevel4"/>
      </w:pPr>
      <w:r w:rsidRPr="00B364CB">
        <w:t>Flagship Actions</w:t>
      </w:r>
    </w:p>
    <w:p w14:paraId="299366A0" w14:textId="064D2320" w:rsidR="00B87174" w:rsidRPr="00B364CB" w:rsidRDefault="000100F4" w:rsidP="00761165">
      <w:pPr>
        <w:pStyle w:val="MAWP-Bodytext"/>
      </w:pPr>
      <w:r w:rsidRPr="00B364CB">
        <w:t xml:space="preserve">With a growing need to </w:t>
      </w:r>
      <w:r w:rsidR="0082236F" w:rsidRPr="00B364CB">
        <w:t>decarbonise</w:t>
      </w:r>
      <w:r w:rsidRPr="00B364CB">
        <w:t xml:space="preserve"> all areas of the transport sector, and a high focus on air </w:t>
      </w:r>
      <w:r w:rsidRPr="00B364CB">
        <w:lastRenderedPageBreak/>
        <w:t xml:space="preserve">quality issues in cities arising from traffic emissions, the demand for zero emission vehicles in all segments is anticipated to continue to grow over the next decade. The development and demonstration activities outlined above will lay the foundations for a larger scale FC HDV roll-out </w:t>
      </w:r>
      <w:r w:rsidR="008B064F" w:rsidRPr="00B364CB">
        <w:t xml:space="preserve">programme </w:t>
      </w:r>
      <w:r w:rsidRPr="00B364CB">
        <w:t xml:space="preserve">in the mid 2020’s. </w:t>
      </w:r>
    </w:p>
    <w:p w14:paraId="0112CC65" w14:textId="09770E99" w:rsidR="000100F4" w:rsidRPr="00B364CB" w:rsidRDefault="000100F4" w:rsidP="00761165">
      <w:pPr>
        <w:pStyle w:val="MAWP-Bodytext"/>
      </w:pPr>
      <w:r w:rsidRPr="00B364CB">
        <w:t xml:space="preserve">Key priorities in the market activation phase include developing and implementing innovative commercial models to manage risk appropriately and supply chain development to ensure that the vehicles are fully supported throughout their operational lives. Supporting such priorities entails </w:t>
      </w:r>
      <w:r w:rsidR="0082236F" w:rsidRPr="00B364CB">
        <w:t>meeting</w:t>
      </w:r>
      <w:r w:rsidRPr="00B364CB">
        <w:t xml:space="preserve"> customer expectations in terms of FC system reliability and driving range.</w:t>
      </w:r>
    </w:p>
    <w:p w14:paraId="4937E97A" w14:textId="75D28564" w:rsidR="000100F4" w:rsidRPr="00B364CB" w:rsidRDefault="000100F4" w:rsidP="009D707B">
      <w:pPr>
        <w:pStyle w:val="MAWPHeadingStyleLevel4"/>
      </w:pPr>
      <w:r w:rsidRPr="00B364CB">
        <w:t xml:space="preserve">Synergies </w:t>
      </w:r>
    </w:p>
    <w:p w14:paraId="320106E7" w14:textId="28B30D13" w:rsidR="003B1110" w:rsidRPr="00B364CB" w:rsidRDefault="003B1110" w:rsidP="003B1110">
      <w:pPr>
        <w:pStyle w:val="MAWP-Bodytext"/>
      </w:pPr>
      <w:bookmarkStart w:id="98" w:name="_Toc51656740"/>
      <w:r w:rsidRPr="00B364CB">
        <w:t xml:space="preserve">Potential synergies have been identified with </w:t>
      </w:r>
      <w:r w:rsidR="0082236F" w:rsidRPr="00B364CB">
        <w:t xml:space="preserve">the </w:t>
      </w:r>
      <w:r w:rsidR="00426111" w:rsidRPr="00B364CB">
        <w:t xml:space="preserve">Towards </w:t>
      </w:r>
      <w:r w:rsidR="00644597">
        <w:t>Z</w:t>
      </w:r>
      <w:r w:rsidR="00426111" w:rsidRPr="00B364CB">
        <w:t xml:space="preserve">ero </w:t>
      </w:r>
      <w:r w:rsidR="00644597">
        <w:t>E</w:t>
      </w:r>
      <w:r w:rsidR="00426111" w:rsidRPr="00B364CB">
        <w:t xml:space="preserve">mission </w:t>
      </w:r>
      <w:r w:rsidR="00644597">
        <w:t>R</w:t>
      </w:r>
      <w:r w:rsidR="00426111" w:rsidRPr="00B364CB">
        <w:t xml:space="preserve">oad </w:t>
      </w:r>
      <w:r w:rsidR="00644597">
        <w:t>T</w:t>
      </w:r>
      <w:r w:rsidR="00426111" w:rsidRPr="00B364CB">
        <w:t xml:space="preserve">ransport </w:t>
      </w:r>
      <w:r w:rsidR="00CF6388">
        <w:t>p</w:t>
      </w:r>
      <w:r w:rsidR="00426111" w:rsidRPr="00B364CB">
        <w:t xml:space="preserve">artnership (2ZERO) </w:t>
      </w:r>
      <w:r w:rsidRPr="00B364CB">
        <w:t xml:space="preserve">on various areas. See Section </w:t>
      </w:r>
      <w:r w:rsidRPr="00B364CB">
        <w:fldChar w:fldCharType="begin"/>
      </w:r>
      <w:r w:rsidRPr="00B364CB">
        <w:instrText xml:space="preserve"> REF _Ref55249545 \r \h  \* MERGEFORMAT </w:instrText>
      </w:r>
      <w:r w:rsidRPr="00B364CB">
        <w:fldChar w:fldCharType="separate"/>
      </w:r>
      <w:r w:rsidR="00331EBC">
        <w:t>4.1</w:t>
      </w:r>
      <w:r w:rsidRPr="00B364CB">
        <w:fldChar w:fldCharType="end"/>
      </w:r>
      <w:r w:rsidRPr="00B364CB">
        <w:t xml:space="preserve"> </w:t>
      </w:r>
      <w:r w:rsidR="00B77E48">
        <w:t xml:space="preserve">and Annex 7 </w:t>
      </w:r>
      <w:r w:rsidRPr="00B364CB">
        <w:t xml:space="preserve">for more details on the synergies. </w:t>
      </w:r>
      <w:r w:rsidR="008505CF" w:rsidRPr="00B364CB">
        <w:t xml:space="preserve">Furthermore the deployment of </w:t>
      </w:r>
      <w:r w:rsidR="00426111" w:rsidRPr="00B364CB">
        <w:t>FC HDV</w:t>
      </w:r>
      <w:r w:rsidR="008505CF" w:rsidRPr="00B364CB">
        <w:t xml:space="preserve"> will need to be developed in parallel to the deployment of an increasing number of </w:t>
      </w:r>
      <w:r w:rsidR="00426111" w:rsidRPr="00B364CB">
        <w:t>HRS</w:t>
      </w:r>
      <w:r w:rsidR="008505CF" w:rsidRPr="00B364CB">
        <w:t xml:space="preserve"> that will need to support such fleet.</w:t>
      </w:r>
    </w:p>
    <w:p w14:paraId="0C0F40B9" w14:textId="1FC08C97" w:rsidR="000100F4" w:rsidRPr="00B364CB" w:rsidRDefault="000100F4" w:rsidP="006802D3">
      <w:pPr>
        <w:pStyle w:val="MAWPsubtitle2"/>
      </w:pPr>
      <w:bookmarkStart w:id="99" w:name="_Toc64640560"/>
      <w:bookmarkStart w:id="100" w:name="_Toc93907328"/>
      <w:r w:rsidRPr="00B364CB">
        <w:t>Waterborne applications</w:t>
      </w:r>
      <w:bookmarkEnd w:id="98"/>
      <w:bookmarkEnd w:id="99"/>
      <w:bookmarkEnd w:id="100"/>
    </w:p>
    <w:p w14:paraId="763D0326" w14:textId="77777777" w:rsidR="006224E4" w:rsidRPr="00B364CB" w:rsidRDefault="006224E4" w:rsidP="006224E4">
      <w:pPr>
        <w:pStyle w:val="MAWPHeadingStyleLevel4"/>
      </w:pPr>
      <w:r w:rsidRPr="00B364CB">
        <w:t>Rationale for Support</w:t>
      </w:r>
    </w:p>
    <w:p w14:paraId="4032ADCF" w14:textId="5E945AF6" w:rsidR="000100F4" w:rsidRPr="00B364CB" w:rsidRDefault="000100F4" w:rsidP="000A238B">
      <w:pPr>
        <w:pStyle w:val="MAWP-Bodytext"/>
      </w:pPr>
      <w:r w:rsidRPr="00B364CB">
        <w:t xml:space="preserve">To put </w:t>
      </w:r>
      <w:r w:rsidR="00481ECF">
        <w:t xml:space="preserve">the fight against </w:t>
      </w:r>
      <w:r w:rsidRPr="00B364CB">
        <w:t xml:space="preserve">global climate change </w:t>
      </w:r>
      <w:r w:rsidR="009E0D67">
        <w:t>at</w:t>
      </w:r>
      <w:r w:rsidRPr="00B364CB">
        <w:t xml:space="preserve"> </w:t>
      </w:r>
      <w:r w:rsidR="00364405" w:rsidRPr="00B364CB">
        <w:t>the forefront</w:t>
      </w:r>
      <w:r w:rsidRPr="00B364CB">
        <w:t xml:space="preserve">, the International Maritime </w:t>
      </w:r>
      <w:r w:rsidR="0082236F" w:rsidRPr="00B364CB">
        <w:t>Organisation</w:t>
      </w:r>
      <w:r w:rsidRPr="00B364CB">
        <w:t xml:space="preserve"> (IMO) adopted </w:t>
      </w:r>
      <w:r w:rsidR="00A3559A" w:rsidRPr="00B364CB">
        <w:t xml:space="preserve">an initial </w:t>
      </w:r>
      <w:r w:rsidRPr="00B364CB">
        <w:t>GHG reduction strategy in 2018.</w:t>
      </w:r>
      <w:r w:rsidR="00A3559A" w:rsidRPr="00B364CB">
        <w:rPr>
          <w:rStyle w:val="FootnoteReference"/>
        </w:rPr>
        <w:footnoteReference w:id="102"/>
      </w:r>
      <w:r w:rsidRPr="00B364CB">
        <w:t xml:space="preserve"> </w:t>
      </w:r>
      <w:r w:rsidR="00A3559A" w:rsidRPr="00B364CB">
        <w:t xml:space="preserve">The strategy envisages that a revised strategy will be adopted in 2023. </w:t>
      </w:r>
      <w:r w:rsidRPr="00B364CB">
        <w:t>With projected growth of the shipping industry, the IMO estimated that the overall GHG contribution from shipping could double in a business-as-usual scenario by 2050. The IMO set a target to reduce CO</w:t>
      </w:r>
      <w:r w:rsidRPr="00B364CB">
        <w:rPr>
          <w:vertAlign w:val="subscript"/>
        </w:rPr>
        <w:t>2</w:t>
      </w:r>
      <w:r w:rsidRPr="00B364CB">
        <w:t xml:space="preserve"> emissions by </w:t>
      </w:r>
      <w:r w:rsidR="007B5141" w:rsidRPr="00B364CB">
        <w:t xml:space="preserve">at least </w:t>
      </w:r>
      <w:r w:rsidRPr="00B364CB">
        <w:t xml:space="preserve">50% in 2050. As ships are generally in service for </w:t>
      </w:r>
      <w:r w:rsidR="007B5141" w:rsidRPr="00B364CB">
        <w:t>15</w:t>
      </w:r>
      <w:r w:rsidRPr="00B364CB">
        <w:t xml:space="preserve"> years</w:t>
      </w:r>
      <w:r w:rsidR="007B5141" w:rsidRPr="00B364CB">
        <w:t xml:space="preserve"> or more</w:t>
      </w:r>
      <w:r w:rsidRPr="00B364CB">
        <w:t xml:space="preserve"> (sea-going ship and 40</w:t>
      </w:r>
      <w:r w:rsidR="007B5141" w:rsidRPr="00B364CB">
        <w:t xml:space="preserve"> years </w:t>
      </w:r>
      <w:r w:rsidRPr="00B364CB">
        <w:t xml:space="preserve">for </w:t>
      </w:r>
      <w:r w:rsidR="007B5141" w:rsidRPr="00B364CB">
        <w:t xml:space="preserve">some </w:t>
      </w:r>
      <w:r w:rsidRPr="00B364CB">
        <w:t xml:space="preserve">inland vessels), the maritime industry faces an enormous task to achieve this goal. </w:t>
      </w:r>
    </w:p>
    <w:p w14:paraId="5ECC89A2" w14:textId="7CB09C22" w:rsidR="000100F4" w:rsidRPr="00B364CB" w:rsidRDefault="000100F4" w:rsidP="000A238B">
      <w:pPr>
        <w:pStyle w:val="MAWP-Bodytext"/>
      </w:pPr>
      <w:r w:rsidRPr="00B364CB">
        <w:t xml:space="preserve">At European scale, achieving the EU objective of climate neutrality by 2050 will </w:t>
      </w:r>
      <w:r w:rsidR="008A4C7A">
        <w:t xml:space="preserve">also </w:t>
      </w:r>
      <w:r w:rsidRPr="00B364CB">
        <w:t xml:space="preserve">require unparalleled innovations in </w:t>
      </w:r>
      <w:r w:rsidR="007B5141" w:rsidRPr="00B364CB">
        <w:t>shipping, including the supply and use of sustainable climate neutral marine fuels as well as the associated port, storage and bunkering infrastructures</w:t>
      </w:r>
      <w:r w:rsidRPr="00B364CB">
        <w:t>.</w:t>
      </w:r>
      <w:r w:rsidRPr="00B364CB">
        <w:rPr>
          <w:i/>
        </w:rPr>
        <w:t xml:space="preserve"> </w:t>
      </w:r>
      <w:r w:rsidRPr="00B364CB">
        <w:t>Already today, Europe’s long-standing leadership in the maritime sector is coming under pressure. The EU’s share of worldwide shipbuilding production is in decline. By 2017, over 90% of shipbuilding activity occurred in China, the Republic of Korea and Japan</w:t>
      </w:r>
      <w:r w:rsidRPr="00B364CB">
        <w:rPr>
          <w:rStyle w:val="FootnoteReference"/>
          <w:szCs w:val="22"/>
        </w:rPr>
        <w:footnoteReference w:id="103"/>
      </w:r>
      <w:r w:rsidRPr="00B364CB">
        <w:t xml:space="preserve">. Much of this activity relates to lower-end maritime technologies, leaving European shipbuilders ‘free’ to focus on more sophisticated, higher added value, vessels and maritime equipment, where Europe remains a global leader for the time being. </w:t>
      </w:r>
    </w:p>
    <w:p w14:paraId="12A0E36C" w14:textId="136C6FA1" w:rsidR="007B5141" w:rsidRPr="00B364CB" w:rsidRDefault="000100F4" w:rsidP="000A238B">
      <w:pPr>
        <w:pStyle w:val="MAWP-Bodytext"/>
      </w:pPr>
      <w:r w:rsidRPr="00B364CB" w:rsidDel="00EB4A1C">
        <w:t>Hydrogen</w:t>
      </w:r>
      <w:r w:rsidR="00E46084" w:rsidRPr="00B364CB">
        <w:t xml:space="preserve"> and</w:t>
      </w:r>
      <w:r w:rsidR="00ED5108" w:rsidRPr="00B364CB">
        <w:t xml:space="preserve"> </w:t>
      </w:r>
      <w:r w:rsidR="007B5141" w:rsidRPr="00B364CB">
        <w:t>its derivatives</w:t>
      </w:r>
      <w:r w:rsidR="00E46084" w:rsidRPr="00B364CB">
        <w:t xml:space="preserve"> fuels</w:t>
      </w:r>
      <w:r w:rsidR="007B5141" w:rsidRPr="00B364CB">
        <w:t>, such as ammonia,</w:t>
      </w:r>
      <w:r w:rsidRPr="00B364CB" w:rsidDel="00EB4A1C">
        <w:t xml:space="preserve"> </w:t>
      </w:r>
      <w:r w:rsidR="00E46084" w:rsidRPr="00B364CB">
        <w:t>together with</w:t>
      </w:r>
      <w:r w:rsidRPr="00B364CB" w:rsidDel="00EB4A1C">
        <w:t xml:space="preserve"> fuel cells are an important piece of the puzzle</w:t>
      </w:r>
      <w:r w:rsidR="007B5141" w:rsidRPr="00B364CB">
        <w:t>.</w:t>
      </w:r>
      <w:r w:rsidRPr="00B364CB" w:rsidDel="00EB4A1C">
        <w:t xml:space="preserve"> </w:t>
      </w:r>
      <w:r w:rsidR="007B5141" w:rsidRPr="00B364CB">
        <w:t>Assuming an adequate supply</w:t>
      </w:r>
      <w:r w:rsidR="00E46084" w:rsidRPr="00B364CB">
        <w:t>, hydrogen and its derivative fuels</w:t>
      </w:r>
      <w:r w:rsidRPr="00B364CB" w:rsidDel="00EB4A1C">
        <w:t xml:space="preserve"> </w:t>
      </w:r>
      <w:r w:rsidR="007B5141" w:rsidRPr="00B364CB">
        <w:t xml:space="preserve">can </w:t>
      </w:r>
      <w:r w:rsidRPr="00B364CB" w:rsidDel="00EB4A1C">
        <w:t xml:space="preserve">provide </w:t>
      </w:r>
      <w:r w:rsidR="007B5141" w:rsidRPr="00B364CB">
        <w:t xml:space="preserve">potential zero </w:t>
      </w:r>
      <w:r w:rsidRPr="00B364CB" w:rsidDel="00EB4A1C">
        <w:t xml:space="preserve">GHG emissions and </w:t>
      </w:r>
      <w:r w:rsidR="007B5141" w:rsidRPr="00B364CB">
        <w:t>the possibility of</w:t>
      </w:r>
      <w:r w:rsidRPr="00B364CB" w:rsidDel="00EB4A1C">
        <w:rPr>
          <w:bCs/>
        </w:rPr>
        <w:t xml:space="preserve"> a rapid decrease of the average GHG emissions for shipping</w:t>
      </w:r>
      <w:r w:rsidRPr="00B364CB" w:rsidDel="00EB4A1C">
        <w:t xml:space="preserve">. </w:t>
      </w:r>
    </w:p>
    <w:p w14:paraId="416F410B" w14:textId="2F992D1E" w:rsidR="007B5141" w:rsidRPr="00B364CB" w:rsidRDefault="007B5141" w:rsidP="007B5141">
      <w:pPr>
        <w:pStyle w:val="MAWP-Bodytext"/>
      </w:pPr>
      <w:r w:rsidRPr="00B364CB">
        <w:t xml:space="preserve">Commercial cargo shipping, in particular intercontinental services account for the vast majority of the </w:t>
      </w:r>
      <w:r w:rsidR="0082236F" w:rsidRPr="00B364CB">
        <w:t>sector’s</w:t>
      </w:r>
      <w:r w:rsidRPr="00B364CB">
        <w:t xml:space="preserve"> GHG</w:t>
      </w:r>
      <w:r w:rsidR="0082236F" w:rsidRPr="00B364CB">
        <w:t xml:space="preserve"> emissions</w:t>
      </w:r>
      <w:r w:rsidRPr="00B364CB">
        <w:t>, consequently it will be important that solutions are scalable to these applications</w:t>
      </w:r>
      <w:r w:rsidR="00DF787A" w:rsidRPr="00B364CB">
        <w:t>.</w:t>
      </w:r>
      <w:r w:rsidRPr="00B364CB">
        <w:t xml:space="preserve"> </w:t>
      </w:r>
      <w:r w:rsidR="00DF787A" w:rsidRPr="00B364CB">
        <w:t>F</w:t>
      </w:r>
      <w:r w:rsidRPr="00B364CB">
        <w:t>or example short sea shipping typically carrie</w:t>
      </w:r>
      <w:r w:rsidR="00DF787A" w:rsidRPr="00B364CB">
        <w:t>s</w:t>
      </w:r>
      <w:r w:rsidRPr="00B364CB">
        <w:t xml:space="preserve"> several hundred tons of fuel oil and the fuel requirements for intercontinental services are around ten time</w:t>
      </w:r>
      <w:r w:rsidR="00364405" w:rsidRPr="00B364CB">
        <w:t>s</w:t>
      </w:r>
      <w:r w:rsidRPr="00B364CB">
        <w:t xml:space="preserve"> larger. </w:t>
      </w:r>
    </w:p>
    <w:p w14:paraId="67C9060F" w14:textId="594380D3" w:rsidR="000100F4" w:rsidRPr="00B364CB" w:rsidDel="00EB4A1C" w:rsidRDefault="0082236F" w:rsidP="000A238B">
      <w:pPr>
        <w:pStyle w:val="MAWP-Bodytext"/>
      </w:pPr>
      <w:r w:rsidRPr="00B364CB" w:rsidDel="00EB4A1C">
        <w:t>One of the most important factors to decarboni</w:t>
      </w:r>
      <w:r w:rsidRPr="00B364CB">
        <w:t>s</w:t>
      </w:r>
      <w:r w:rsidRPr="00B364CB" w:rsidDel="00EB4A1C">
        <w:t xml:space="preserve">e shipping is </w:t>
      </w:r>
      <w:r w:rsidRPr="00B364CB" w:rsidDel="00EB4A1C">
        <w:rPr>
          <w:bCs/>
        </w:rPr>
        <w:t xml:space="preserve">the availability of </w:t>
      </w:r>
      <w:r w:rsidRPr="00B364CB">
        <w:rPr>
          <w:bCs/>
        </w:rPr>
        <w:t>climate neutral</w:t>
      </w:r>
      <w:r w:rsidRPr="00B364CB" w:rsidDel="00EB4A1C">
        <w:rPr>
          <w:bCs/>
        </w:rPr>
        <w:t xml:space="preserve"> </w:t>
      </w:r>
      <w:r w:rsidRPr="00B364CB" w:rsidDel="00EB4A1C">
        <w:rPr>
          <w:bCs/>
        </w:rPr>
        <w:lastRenderedPageBreak/>
        <w:t>fuels in ports</w:t>
      </w:r>
      <w:r w:rsidRPr="00B364CB">
        <w:rPr>
          <w:bCs/>
        </w:rPr>
        <w:t>.</w:t>
      </w:r>
      <w:r w:rsidRPr="00B364CB">
        <w:t xml:space="preserve"> </w:t>
      </w:r>
      <w:r w:rsidR="00A3559A" w:rsidRPr="00B364CB">
        <w:t xml:space="preserve">The </w:t>
      </w:r>
      <w:r w:rsidR="00831A2C">
        <w:t xml:space="preserve">Clean Hydrogen </w:t>
      </w:r>
      <w:r w:rsidR="00A3559A" w:rsidRPr="00B364CB">
        <w:t xml:space="preserve">JU </w:t>
      </w:r>
      <w:r w:rsidR="000100F4" w:rsidRPr="00B364CB" w:rsidDel="00EB4A1C">
        <w:t xml:space="preserve">will </w:t>
      </w:r>
      <w:r w:rsidR="00A3559A" w:rsidRPr="00B364CB">
        <w:t xml:space="preserve">support actions on </w:t>
      </w:r>
      <w:r w:rsidR="007B5141" w:rsidRPr="00B364CB">
        <w:t>the provision of</w:t>
      </w:r>
      <w:r w:rsidR="00DF787A" w:rsidRPr="00B364CB">
        <w:t xml:space="preserve"> zero-carbon</w:t>
      </w:r>
      <w:r w:rsidR="007B5141" w:rsidRPr="00B364CB">
        <w:t xml:space="preserve"> fuels</w:t>
      </w:r>
      <w:r w:rsidR="00DF787A" w:rsidRPr="00B364CB">
        <w:t xml:space="preserve"> (hydrogen and its derivatives)</w:t>
      </w:r>
      <w:r w:rsidR="007B5141" w:rsidRPr="00B364CB">
        <w:t xml:space="preserve">, shore based infrastructures </w:t>
      </w:r>
      <w:r w:rsidRPr="00B364CB">
        <w:t xml:space="preserve">in addition to adequately sized </w:t>
      </w:r>
      <w:r w:rsidR="007B5141" w:rsidRPr="00B364CB">
        <w:t xml:space="preserve">technology </w:t>
      </w:r>
      <w:r w:rsidRPr="00B364CB">
        <w:t>modules</w:t>
      </w:r>
      <w:r w:rsidR="007B5141" w:rsidRPr="00B364CB">
        <w:t xml:space="preserve"> such as high power multi MW fuel cells and storage technologies applications </w:t>
      </w:r>
      <w:r w:rsidRPr="00B364CB">
        <w:t xml:space="preserve">for </w:t>
      </w:r>
      <w:r w:rsidR="007B5141" w:rsidRPr="00B364CB">
        <w:t>ships</w:t>
      </w:r>
      <w:r w:rsidR="00A3559A" w:rsidRPr="00B364CB">
        <w:t xml:space="preserve">. </w:t>
      </w:r>
    </w:p>
    <w:p w14:paraId="2686DC99" w14:textId="43D002D5" w:rsidR="000100F4" w:rsidRPr="00B364CB" w:rsidRDefault="000100F4" w:rsidP="005D7D64">
      <w:pPr>
        <w:pStyle w:val="MAWPHeadingStyleLevel4"/>
        <w:rPr>
          <w:lang w:eastAsia="en-GB"/>
        </w:rPr>
      </w:pPr>
      <w:r w:rsidRPr="00B364CB">
        <w:rPr>
          <w:lang w:eastAsia="en-GB"/>
        </w:rPr>
        <w:t xml:space="preserve">State of the Art </w:t>
      </w:r>
    </w:p>
    <w:p w14:paraId="1EC9A99C" w14:textId="77777777" w:rsidR="000100F4" w:rsidRPr="00B364CB" w:rsidRDefault="000100F4" w:rsidP="00A205E9">
      <w:pPr>
        <w:pStyle w:val="MAWP-Bodytext"/>
        <w:numPr>
          <w:ilvl w:val="0"/>
          <w:numId w:val="3"/>
        </w:numPr>
      </w:pPr>
      <w:r w:rsidRPr="00B364CB">
        <w:t xml:space="preserve">Fuel Cells for ships </w:t>
      </w:r>
    </w:p>
    <w:p w14:paraId="397C78D9" w14:textId="0D3690B4" w:rsidR="000100F4" w:rsidRPr="00B364CB" w:rsidRDefault="00140652" w:rsidP="00482369">
      <w:pPr>
        <w:pStyle w:val="MAWP-Bodytext"/>
      </w:pPr>
      <w:r w:rsidRPr="00B364CB">
        <w:t>Fuel cells</w:t>
      </w:r>
      <w:r w:rsidR="000100F4" w:rsidRPr="00B364CB">
        <w:t xml:space="preserve"> and </w:t>
      </w:r>
      <w:r w:rsidRPr="00B364CB">
        <w:t xml:space="preserve">hydrogen </w:t>
      </w:r>
      <w:r w:rsidR="000100F4" w:rsidRPr="00B364CB">
        <w:t>have been demonstrated in e.g. submarines, small inland and coastal vessels</w:t>
      </w:r>
      <w:r w:rsidR="007B5141" w:rsidRPr="00B364CB">
        <w:t xml:space="preserve"> and auxiliary power</w:t>
      </w:r>
      <w:r w:rsidR="0082236F" w:rsidRPr="00B364CB">
        <w:t xml:space="preserve"> for supply vessels</w:t>
      </w:r>
      <w:r w:rsidR="007B5141" w:rsidRPr="00B364CB">
        <w:t>,</w:t>
      </w:r>
      <w:r w:rsidR="000100F4" w:rsidRPr="00B364CB">
        <w:t xml:space="preserve"> proving the viability of the technology</w:t>
      </w:r>
      <w:r w:rsidR="007B5141" w:rsidRPr="00B364CB">
        <w:t xml:space="preserve"> at small scale</w:t>
      </w:r>
      <w:r w:rsidR="000100F4" w:rsidRPr="00B364CB">
        <w:t>. In addition,</w:t>
      </w:r>
      <w:r w:rsidR="0082236F" w:rsidRPr="00B364CB">
        <w:t xml:space="preserve"> several</w:t>
      </w:r>
      <w:r w:rsidR="000100F4" w:rsidRPr="00B364CB">
        <w:t xml:space="preserve"> demonstration projects on small ferries are under </w:t>
      </w:r>
      <w:r w:rsidR="0082236F" w:rsidRPr="00B364CB">
        <w:t>execution. A few larger cargo ship projects have recently been funded, but</w:t>
      </w:r>
      <w:r w:rsidR="000100F4" w:rsidRPr="00B364CB">
        <w:t xml:space="preserve"> </w:t>
      </w:r>
      <w:r w:rsidR="00CA57E9" w:rsidRPr="00B364CB">
        <w:t xml:space="preserve">commercial scale </w:t>
      </w:r>
      <w:r w:rsidR="000100F4" w:rsidRPr="00B364CB">
        <w:t xml:space="preserve">vessels are generally at the design study stage and a range of fuels and fuel cell types are currently being tested. </w:t>
      </w:r>
      <w:r w:rsidR="00CA57E9" w:rsidRPr="00B364CB">
        <w:t xml:space="preserve">Multi fuel combustion engines which are capable of operating with a variety of gaseous and liquid fuels are already on or are close to the market. </w:t>
      </w:r>
      <w:r w:rsidR="000100F4" w:rsidRPr="00B364CB">
        <w:t xml:space="preserve">The European hydrogen and fuel cell supply chain is scaling up </w:t>
      </w:r>
      <w:r w:rsidR="00CA57E9" w:rsidRPr="00B364CB">
        <w:t xml:space="preserve">its interest in waterborne transport, </w:t>
      </w:r>
      <w:r w:rsidR="000100F4" w:rsidRPr="00B364CB">
        <w:t>with formal co</w:t>
      </w:r>
      <w:r w:rsidR="007B5141" w:rsidRPr="00B364CB">
        <w:t>-</w:t>
      </w:r>
      <w:r w:rsidR="000100F4" w:rsidRPr="00B364CB">
        <w:t xml:space="preserve">operations and joint ventures between FC manufacturers and </w:t>
      </w:r>
      <w:r w:rsidR="00CA57E9" w:rsidRPr="00B364CB">
        <w:t xml:space="preserve">some </w:t>
      </w:r>
      <w:r w:rsidR="000100F4" w:rsidRPr="00B364CB">
        <w:t>maritime power train providers</w:t>
      </w:r>
      <w:r w:rsidR="0082236F" w:rsidRPr="00B364CB">
        <w:t xml:space="preserve"> and system integrators</w:t>
      </w:r>
      <w:r w:rsidR="000100F4" w:rsidRPr="00B364CB">
        <w:t>.</w:t>
      </w:r>
    </w:p>
    <w:p w14:paraId="7734F8FE" w14:textId="0159F48E" w:rsidR="000100F4" w:rsidRPr="00B364CB" w:rsidRDefault="000100F4" w:rsidP="00482369">
      <w:pPr>
        <w:pStyle w:val="MAWP-Bodytext"/>
      </w:pPr>
      <w:r w:rsidRPr="00B364CB">
        <w:t xml:space="preserve">Demonstration projects are underway to highlight the viability of </w:t>
      </w:r>
      <w:r w:rsidR="00140652" w:rsidRPr="00B364CB">
        <w:t>hydrogen</w:t>
      </w:r>
      <w:r w:rsidRPr="00B364CB">
        <w:t xml:space="preserve"> to power ships using FCs and modified combustion engines. For certain use types (inland</w:t>
      </w:r>
      <w:r w:rsidR="00CA57E9" w:rsidRPr="00B364CB">
        <w:t xml:space="preserve"> and small </w:t>
      </w:r>
      <w:r w:rsidRPr="00B364CB">
        <w:t>near coastal)</w:t>
      </w:r>
      <w:r w:rsidR="00CA57E9" w:rsidRPr="00B364CB">
        <w:t xml:space="preserve"> and possibly cruise ships</w:t>
      </w:r>
      <w:r w:rsidRPr="00B364CB">
        <w:t xml:space="preserve">, there is </w:t>
      </w:r>
      <w:r w:rsidR="00CA57E9" w:rsidRPr="00B364CB">
        <w:t>recognition</w:t>
      </w:r>
      <w:r w:rsidRPr="00B364CB">
        <w:t xml:space="preserve"> that FCs, using </w:t>
      </w:r>
      <w:r w:rsidR="005074E6" w:rsidRPr="00B364CB">
        <w:t>hydrogen</w:t>
      </w:r>
      <w:r w:rsidRPr="00B364CB">
        <w:t xml:space="preserve"> are </w:t>
      </w:r>
      <w:r w:rsidR="00CA57E9" w:rsidRPr="00B364CB">
        <w:t>a</w:t>
      </w:r>
      <w:r w:rsidRPr="00B364CB">
        <w:t xml:space="preserve"> promising </w:t>
      </w:r>
      <w:r w:rsidR="00CA57E9" w:rsidRPr="00B364CB">
        <w:t xml:space="preserve">zero-emission </w:t>
      </w:r>
      <w:r w:rsidRPr="00B364CB">
        <w:t xml:space="preserve">option. </w:t>
      </w:r>
      <w:r w:rsidR="002E292D" w:rsidRPr="00B364CB">
        <w:t>S</w:t>
      </w:r>
      <w:r w:rsidRPr="00B364CB">
        <w:t xml:space="preserve">everal demonstration projects </w:t>
      </w:r>
      <w:r w:rsidR="002E292D" w:rsidRPr="00B364CB">
        <w:t>have already been</w:t>
      </w:r>
      <w:r w:rsidRPr="00B364CB">
        <w:t xml:space="preserve"> launched in Europe: </w:t>
      </w:r>
    </w:p>
    <w:p w14:paraId="46411226" w14:textId="730790AC" w:rsidR="000100F4" w:rsidRPr="00B364CB" w:rsidRDefault="000100F4" w:rsidP="002256F6">
      <w:pPr>
        <w:pStyle w:val="MAWPBodyTextNumbered"/>
        <w:numPr>
          <w:ilvl w:val="0"/>
          <w:numId w:val="44"/>
        </w:numPr>
      </w:pPr>
      <w:r w:rsidRPr="00B364CB">
        <w:t>“Hydra” LH</w:t>
      </w:r>
      <w:r w:rsidRPr="00E4788A">
        <w:rPr>
          <w:vertAlign w:val="subscript"/>
        </w:rPr>
        <w:t>2</w:t>
      </w:r>
      <w:r w:rsidRPr="00B364CB">
        <w:t xml:space="preserve"> ferry</w:t>
      </w:r>
      <w:r w:rsidR="002E292D" w:rsidRPr="00B364CB">
        <w:rPr>
          <w:rStyle w:val="FootnoteReference"/>
        </w:rPr>
        <w:footnoteReference w:id="104"/>
      </w:r>
      <w:r w:rsidRPr="00B364CB">
        <w:t xml:space="preserve"> at Hjelmeland,</w:t>
      </w:r>
      <w:r w:rsidR="00546A7D" w:rsidRPr="00B364CB">
        <w:t xml:space="preserve"> Norway</w:t>
      </w:r>
      <w:r w:rsidR="002E292D" w:rsidRPr="00B364CB">
        <w:t>. A</w:t>
      </w:r>
      <w:r w:rsidRPr="00B364CB">
        <w:t xml:space="preserve"> RoPax LH</w:t>
      </w:r>
      <w:r w:rsidRPr="00E4788A">
        <w:rPr>
          <w:vertAlign w:val="subscript"/>
        </w:rPr>
        <w:t>2</w:t>
      </w:r>
      <w:r w:rsidRPr="00B364CB">
        <w:t xml:space="preserve"> PEMFC ferry now being built (operational September 2021) and operated by NORLED</w:t>
      </w:r>
      <w:r w:rsidR="00B87174" w:rsidRPr="00B364CB">
        <w:t>;</w:t>
      </w:r>
      <w:r w:rsidRPr="00B364CB">
        <w:t xml:space="preserve"> </w:t>
      </w:r>
    </w:p>
    <w:p w14:paraId="4962089B" w14:textId="04461352" w:rsidR="000100F4" w:rsidRPr="00B364CB" w:rsidRDefault="002E292D" w:rsidP="002256F6">
      <w:pPr>
        <w:pStyle w:val="MAWPBodyTextNumbered"/>
        <w:numPr>
          <w:ilvl w:val="0"/>
          <w:numId w:val="44"/>
        </w:numPr>
      </w:pPr>
      <w:r w:rsidRPr="00B364CB">
        <w:t>LH</w:t>
      </w:r>
      <w:r w:rsidRPr="00E4788A">
        <w:rPr>
          <w:vertAlign w:val="subscript"/>
        </w:rPr>
        <w:t>2</w:t>
      </w:r>
      <w:r w:rsidRPr="00B364CB">
        <w:t xml:space="preserve"> Pilot-E.</w:t>
      </w:r>
      <w:r w:rsidRPr="00B364CB">
        <w:rPr>
          <w:rStyle w:val="FootnoteReference"/>
        </w:rPr>
        <w:footnoteReference w:id="105"/>
      </w:r>
      <w:r w:rsidR="000100F4" w:rsidRPr="00B364CB">
        <w:t xml:space="preserve"> Very large-scale grant, delivered in tranches, with the aim to build LH</w:t>
      </w:r>
      <w:r w:rsidR="000100F4" w:rsidRPr="00E4788A">
        <w:rPr>
          <w:vertAlign w:val="subscript"/>
        </w:rPr>
        <w:t>2</w:t>
      </w:r>
      <w:r w:rsidR="000100F4" w:rsidRPr="00B364CB">
        <w:t xml:space="preserve"> infrastructure for maritime transport in Norway. This includes production of LH</w:t>
      </w:r>
      <w:r w:rsidR="000100F4" w:rsidRPr="00E4788A">
        <w:rPr>
          <w:vertAlign w:val="subscript"/>
        </w:rPr>
        <w:t>2</w:t>
      </w:r>
      <w:r w:rsidR="00B87174" w:rsidRPr="00B364CB">
        <w:t>;</w:t>
      </w:r>
      <w:r w:rsidR="000100F4" w:rsidRPr="00B364CB">
        <w:t xml:space="preserve"> </w:t>
      </w:r>
    </w:p>
    <w:p w14:paraId="50F1031E" w14:textId="6DFA48ED" w:rsidR="000100F4" w:rsidRPr="00B364CB" w:rsidRDefault="002E292D" w:rsidP="002256F6">
      <w:pPr>
        <w:pStyle w:val="MAWPBodyTextNumbered"/>
        <w:numPr>
          <w:ilvl w:val="0"/>
          <w:numId w:val="44"/>
        </w:numPr>
      </w:pPr>
      <w:r w:rsidRPr="00B364CB">
        <w:t>HySeasIII (H2020).</w:t>
      </w:r>
      <w:r w:rsidRPr="00B364CB">
        <w:rPr>
          <w:rStyle w:val="FootnoteReference"/>
        </w:rPr>
        <w:footnoteReference w:id="106"/>
      </w:r>
      <w:r w:rsidR="000100F4" w:rsidRPr="00B364CB">
        <w:t xml:space="preserve"> HySeas III’s aim is to deliver a sea-going vehicle and passenger ferry fuelled with hydrogen produced from renewable energy</w:t>
      </w:r>
      <w:r w:rsidR="00B87174" w:rsidRPr="00B364CB">
        <w:t>;</w:t>
      </w:r>
      <w:r w:rsidR="000100F4" w:rsidRPr="00B364CB">
        <w:t xml:space="preserve"> </w:t>
      </w:r>
    </w:p>
    <w:p w14:paraId="68C19A57" w14:textId="19E1185E" w:rsidR="00F71C32" w:rsidRPr="00B364CB" w:rsidRDefault="00F71C32" w:rsidP="002256F6">
      <w:pPr>
        <w:pStyle w:val="MAWPBodyTextNumbered"/>
        <w:numPr>
          <w:ilvl w:val="0"/>
          <w:numId w:val="44"/>
        </w:numPr>
      </w:pPr>
      <w:r w:rsidRPr="00B364CB">
        <w:t xml:space="preserve">HySHIP (FCH JU), development and validation of a </w:t>
      </w:r>
      <w:r w:rsidR="00DF787A" w:rsidRPr="00B364CB">
        <w:t>3</w:t>
      </w:r>
      <w:r w:rsidR="009F1A08" w:rsidRPr="00B364CB">
        <w:t xml:space="preserve"> </w:t>
      </w:r>
      <w:r w:rsidRPr="00B364CB">
        <w:t>MW fuel cell liquid hydrogen ship, used in a hydrogen bunkering and supply chain</w:t>
      </w:r>
      <w:r w:rsidR="003F033F">
        <w:t>;</w:t>
      </w:r>
    </w:p>
    <w:p w14:paraId="49116373" w14:textId="474799F1" w:rsidR="000100F4" w:rsidRPr="00B364CB" w:rsidRDefault="00F71C32" w:rsidP="002256F6">
      <w:pPr>
        <w:pStyle w:val="MAWPBodyTextNumbered"/>
        <w:numPr>
          <w:ilvl w:val="0"/>
          <w:numId w:val="44"/>
        </w:numPr>
      </w:pPr>
      <w:r w:rsidRPr="00B364CB">
        <w:t>S</w:t>
      </w:r>
      <w:r w:rsidR="000100F4" w:rsidRPr="00B364CB">
        <w:t>hipFC (</w:t>
      </w:r>
      <w:r w:rsidR="003F4D01" w:rsidRPr="00B364CB">
        <w:t>FCH JU</w:t>
      </w:r>
      <w:r w:rsidR="000100F4" w:rsidRPr="00B364CB">
        <w:t>)</w:t>
      </w:r>
      <w:r w:rsidR="002E292D" w:rsidRPr="00B364CB">
        <w:t>,</w:t>
      </w:r>
      <w:r w:rsidR="002E292D" w:rsidRPr="00B364CB">
        <w:rPr>
          <w:rStyle w:val="FootnoteReference"/>
        </w:rPr>
        <w:footnoteReference w:id="107"/>
      </w:r>
      <w:r w:rsidR="000100F4" w:rsidRPr="00B364CB">
        <w:t xml:space="preserve"> “Scaling up and demonstration of a multi-MW Fuel Cell system for shipping”. It </w:t>
      </w:r>
      <w:r w:rsidR="00CA57E9" w:rsidRPr="00B364CB">
        <w:t xml:space="preserve">plans to </w:t>
      </w:r>
      <w:r w:rsidR="000100F4" w:rsidRPr="00B364CB">
        <w:t>retrofit and operate a ship with a 2</w:t>
      </w:r>
      <w:r w:rsidR="00CA57E9" w:rsidRPr="00B364CB">
        <w:t xml:space="preserve"> </w:t>
      </w:r>
      <w:r w:rsidR="000100F4" w:rsidRPr="00B364CB">
        <w:t>MW SOFC ammonia power system</w:t>
      </w:r>
      <w:r w:rsidR="00B87174" w:rsidRPr="00B364CB">
        <w:t>;</w:t>
      </w:r>
    </w:p>
    <w:p w14:paraId="5E7E948D" w14:textId="77A7750D" w:rsidR="00F71C32" w:rsidRPr="00B364CB" w:rsidRDefault="002E292D" w:rsidP="002256F6">
      <w:pPr>
        <w:pStyle w:val="MAWPBodyTextNumbered"/>
        <w:numPr>
          <w:ilvl w:val="0"/>
          <w:numId w:val="44"/>
        </w:numPr>
      </w:pPr>
      <w:r w:rsidRPr="00B364CB">
        <w:t>Flagships (</w:t>
      </w:r>
      <w:r w:rsidR="003F4D01" w:rsidRPr="00B364CB">
        <w:t>FCH JU</w:t>
      </w:r>
      <w:r w:rsidRPr="00B364CB">
        <w:t>).</w:t>
      </w:r>
      <w:r w:rsidRPr="00B364CB">
        <w:rPr>
          <w:rStyle w:val="FootnoteReference"/>
        </w:rPr>
        <w:footnoteReference w:id="108"/>
      </w:r>
      <w:r w:rsidR="000100F4" w:rsidRPr="00B364CB">
        <w:t xml:space="preserve"> In Flagships there are two demonstrators, where one passenger ferry is operated by Norled</w:t>
      </w:r>
      <w:r w:rsidR="00F71C32" w:rsidRPr="00B364CB">
        <w:t xml:space="preserve"> </w:t>
      </w:r>
      <w:r w:rsidR="0082236F" w:rsidRPr="00B364CB">
        <w:t xml:space="preserve">(Norway) </w:t>
      </w:r>
      <w:r w:rsidR="00F71C32" w:rsidRPr="00B364CB">
        <w:t>and the other a fluvial barge operated by CFT</w:t>
      </w:r>
      <w:r w:rsidR="0082236F" w:rsidRPr="00B364CB">
        <w:t xml:space="preserve"> (France)</w:t>
      </w:r>
      <w:r w:rsidR="003F033F">
        <w:t>;</w:t>
      </w:r>
    </w:p>
    <w:p w14:paraId="3915C0DC" w14:textId="24167A2C" w:rsidR="00F71C32" w:rsidRPr="00B364CB" w:rsidRDefault="00F71C32" w:rsidP="002256F6">
      <w:pPr>
        <w:pStyle w:val="MAWPBodyTextNumbered"/>
        <w:numPr>
          <w:ilvl w:val="0"/>
          <w:numId w:val="44"/>
        </w:numPr>
      </w:pPr>
      <w:r w:rsidRPr="00B364CB">
        <w:t>e-SHyIPS (FCH JU), on pre-normative research on hydrogen-based fuels solutions for passenger ships</w:t>
      </w:r>
      <w:r w:rsidR="003F033F">
        <w:t>.</w:t>
      </w:r>
    </w:p>
    <w:p w14:paraId="7DEAFB32" w14:textId="0C3CAF46" w:rsidR="000100F4" w:rsidRPr="00B364CB" w:rsidRDefault="00CA57E9" w:rsidP="00482369">
      <w:pPr>
        <w:pStyle w:val="MAWP-Bodytext"/>
      </w:pPr>
      <w:r w:rsidRPr="00B364CB">
        <w:lastRenderedPageBreak/>
        <w:t xml:space="preserve">Whilst to date, the scale of demonstrations remains significantly below </w:t>
      </w:r>
      <w:r w:rsidR="005074E6" w:rsidRPr="00B364CB">
        <w:t>to w</w:t>
      </w:r>
      <w:r w:rsidRPr="00B364CB">
        <w:t xml:space="preserve">hat </w:t>
      </w:r>
      <w:r w:rsidR="0082236F" w:rsidRPr="00B364CB">
        <w:t xml:space="preserve">is </w:t>
      </w:r>
      <w:r w:rsidRPr="00B364CB">
        <w:t>required</w:t>
      </w:r>
      <w:r w:rsidR="005074E6" w:rsidRPr="00B364CB">
        <w:t xml:space="preserve"> for a fuel cell</w:t>
      </w:r>
      <w:r w:rsidRPr="00B364CB">
        <w:t xml:space="preserve"> to be</w:t>
      </w:r>
      <w:r w:rsidR="005074E6" w:rsidRPr="00B364CB">
        <w:t>come</w:t>
      </w:r>
      <w:r w:rsidR="002E292D" w:rsidRPr="00B364CB">
        <w:t xml:space="preserve"> </w:t>
      </w:r>
      <w:r w:rsidRPr="00B364CB">
        <w:t xml:space="preserve">the </w:t>
      </w:r>
      <w:r w:rsidR="0082236F" w:rsidRPr="00B364CB">
        <w:t xml:space="preserve">primary </w:t>
      </w:r>
      <w:r w:rsidRPr="00B364CB">
        <w:t>power source within a commercial ship, s</w:t>
      </w:r>
      <w:r w:rsidR="000100F4" w:rsidRPr="00B364CB">
        <w:t xml:space="preserve">everal design projects are ongoing to test the applicability of </w:t>
      </w:r>
      <w:r w:rsidRPr="00B364CB">
        <w:t xml:space="preserve">integrating </w:t>
      </w:r>
      <w:r w:rsidR="000100F4" w:rsidRPr="00B364CB">
        <w:t xml:space="preserve">FCs </w:t>
      </w:r>
      <w:r w:rsidRPr="00B364CB">
        <w:t xml:space="preserve">within </w:t>
      </w:r>
      <w:r w:rsidR="000100F4" w:rsidRPr="00B364CB">
        <w:t xml:space="preserve">to larger vessels. However, due to the </w:t>
      </w:r>
      <w:r w:rsidR="0082236F" w:rsidRPr="00B364CB">
        <w:t xml:space="preserve">diversity of maritime transport, e.g., </w:t>
      </w:r>
      <w:r w:rsidR="000100F4" w:rsidRPr="00B364CB">
        <w:t xml:space="preserve">magnitude of energy storage and power required </w:t>
      </w:r>
      <w:r w:rsidR="0082236F" w:rsidRPr="00B364CB">
        <w:t>for various user</w:t>
      </w:r>
      <w:r w:rsidR="000100F4" w:rsidRPr="00B364CB">
        <w:t xml:space="preserve"> cases, </w:t>
      </w:r>
      <w:r w:rsidRPr="00B364CB">
        <w:t xml:space="preserve">the implications for ship design, integration, fuel storage and regulation, </w:t>
      </w:r>
      <w:r w:rsidR="000100F4" w:rsidRPr="00B364CB">
        <w:rPr>
          <w:bCs/>
        </w:rPr>
        <w:t xml:space="preserve">no consensus on the optimal strategy for fuel and propulsion </w:t>
      </w:r>
      <w:r w:rsidR="0082236F" w:rsidRPr="00B364CB">
        <w:rPr>
          <w:bCs/>
        </w:rPr>
        <w:t xml:space="preserve">technology </w:t>
      </w:r>
      <w:r w:rsidR="000100F4" w:rsidRPr="00B364CB">
        <w:rPr>
          <w:bCs/>
        </w:rPr>
        <w:t>has been reached</w:t>
      </w:r>
      <w:r w:rsidR="000100F4" w:rsidRPr="00B364CB">
        <w:t xml:space="preserve">. </w:t>
      </w:r>
    </w:p>
    <w:p w14:paraId="3AB3B10A" w14:textId="77777777" w:rsidR="000100F4" w:rsidRPr="00B364CB" w:rsidRDefault="000100F4" w:rsidP="00482369">
      <w:pPr>
        <w:pStyle w:val="MAWPBodytextbullets"/>
      </w:pPr>
      <w:r w:rsidRPr="00B364CB">
        <w:t xml:space="preserve">Hydrogen in ports </w:t>
      </w:r>
    </w:p>
    <w:p w14:paraId="1A9B9A7C" w14:textId="19506D6B" w:rsidR="000100F4" w:rsidRPr="00B364CB" w:rsidRDefault="0082236F" w:rsidP="00482369">
      <w:pPr>
        <w:pStyle w:val="MAWP-Bodytext"/>
      </w:pPr>
      <w:r w:rsidRPr="00B364CB">
        <w:t>Fuel availability and corresponding port</w:t>
      </w:r>
      <w:r w:rsidR="000100F4" w:rsidRPr="00B364CB">
        <w:t xml:space="preserve"> facilities are essential in the operations of vessels. Dedicated bunker vessels </w:t>
      </w:r>
      <w:r w:rsidRPr="00B364CB">
        <w:t xml:space="preserve">may </w:t>
      </w:r>
      <w:r w:rsidR="000100F4" w:rsidRPr="00B364CB">
        <w:t>supply new fuel to ships in ports, at anchor or in ship-to-ship modes. With the transition to alternative fuels, new bunker vessels have to be developed, and new bunkering infrastructure is needed alongside the European rivers</w:t>
      </w:r>
      <w:r w:rsidRPr="00B364CB">
        <w:t xml:space="preserve"> and shore side.</w:t>
      </w:r>
      <w:r w:rsidR="000100F4" w:rsidRPr="00B364CB">
        <w:t xml:space="preserve"> The bunkering technology has to be adapted to hydrogen both in gaseous </w:t>
      </w:r>
      <w:r w:rsidR="000F25C2" w:rsidRPr="00B364CB">
        <w:t>and liquid</w:t>
      </w:r>
      <w:r w:rsidR="000100F4" w:rsidRPr="00B364CB">
        <w:t xml:space="preserve"> forms</w:t>
      </w:r>
      <w:r w:rsidR="0076149E" w:rsidRPr="00B364CB">
        <w:t xml:space="preserve"> </w:t>
      </w:r>
      <w:r w:rsidRPr="00B364CB">
        <w:t xml:space="preserve">as well as hydrogen derivatives </w:t>
      </w:r>
      <w:r w:rsidR="000100F4" w:rsidRPr="00B364CB">
        <w:t xml:space="preserve">and requires specialised technologies and safety procedures. In addition, </w:t>
      </w:r>
      <w:r w:rsidR="0060724C" w:rsidRPr="00B364CB">
        <w:t xml:space="preserve">with </w:t>
      </w:r>
      <w:r w:rsidR="000100F4" w:rsidRPr="00B364CB">
        <w:t xml:space="preserve">the electrification of vessels, the need arises for high-power charging facilities </w:t>
      </w:r>
      <w:r w:rsidRPr="00B364CB">
        <w:t xml:space="preserve">in areas with grid limitations, </w:t>
      </w:r>
      <w:r w:rsidR="000100F4" w:rsidRPr="00B364CB">
        <w:t xml:space="preserve">including stationary FC </w:t>
      </w:r>
      <w:r w:rsidRPr="00B364CB">
        <w:t xml:space="preserve">may be well suited </w:t>
      </w:r>
      <w:r w:rsidR="000100F4" w:rsidRPr="00B364CB">
        <w:t>for cold ironing, using hydrogen FC to supply electricity for operating the vessel while at quay.</w:t>
      </w:r>
    </w:p>
    <w:p w14:paraId="1168C43D" w14:textId="3A5E8FF7" w:rsidR="00F71C32" w:rsidRPr="00B364CB" w:rsidRDefault="00F71C32" w:rsidP="00F71C32">
      <w:pPr>
        <w:pStyle w:val="MAWP-Bodytext"/>
      </w:pPr>
      <w:r w:rsidRPr="00B364CB">
        <w:t xml:space="preserve">Studies and pilot projects have already been launched in Europe and some companies have announced prototypes: </w:t>
      </w:r>
    </w:p>
    <w:p w14:paraId="7B3D11C7" w14:textId="77777777" w:rsidR="00F71C32" w:rsidRPr="00B364CB" w:rsidRDefault="00F71C32" w:rsidP="002256F6">
      <w:pPr>
        <w:pStyle w:val="MAWPBodyTextNumbered"/>
        <w:numPr>
          <w:ilvl w:val="0"/>
          <w:numId w:val="45"/>
        </w:numPr>
      </w:pPr>
      <w:r w:rsidRPr="00B364CB">
        <w:t xml:space="preserve">H2Ports (FCH JU), will deploy a mobile HRS, a reach stacker and a yard tractor in the container terminals of the port of Valencia (ES); </w:t>
      </w:r>
    </w:p>
    <w:p w14:paraId="70DFF348" w14:textId="2FC715BB" w:rsidR="00F71C32" w:rsidRPr="00B364CB" w:rsidRDefault="00F71C32" w:rsidP="002256F6">
      <w:pPr>
        <w:pStyle w:val="MAWPBodyTextNumbered"/>
        <w:numPr>
          <w:ilvl w:val="0"/>
          <w:numId w:val="26"/>
        </w:numPr>
      </w:pPr>
      <w:r w:rsidRPr="00B364CB">
        <w:t xml:space="preserve">EVERYWH2ERE (FCH JU), </w:t>
      </w:r>
      <w:r w:rsidRPr="00B364CB">
        <w:rPr>
          <w:rFonts w:cs="Calibri"/>
        </w:rPr>
        <w:t xml:space="preserve">at the Port of Santa Cruz de Tenerife (ES), a </w:t>
      </w:r>
      <w:r w:rsidR="00140652" w:rsidRPr="00B364CB">
        <w:rPr>
          <w:rFonts w:cs="Calibri"/>
        </w:rPr>
        <w:t>hydrogen</w:t>
      </w:r>
      <w:r w:rsidRPr="00B364CB">
        <w:rPr>
          <w:rFonts w:cs="Calibri"/>
        </w:rPr>
        <w:t xml:space="preserve"> fuel cell system of 100</w:t>
      </w:r>
      <w:r w:rsidR="009F1A08" w:rsidRPr="00B364CB">
        <w:rPr>
          <w:rFonts w:cs="Calibri"/>
        </w:rPr>
        <w:t xml:space="preserve"> </w:t>
      </w:r>
      <w:r w:rsidRPr="00B364CB">
        <w:rPr>
          <w:rFonts w:cs="Calibri"/>
        </w:rPr>
        <w:t xml:space="preserve">kW will be trialled as offshore power system (OPS) for </w:t>
      </w:r>
      <w:r w:rsidR="0082236F" w:rsidRPr="00B364CB">
        <w:rPr>
          <w:rFonts w:cs="Calibri"/>
        </w:rPr>
        <w:t>electricity</w:t>
      </w:r>
      <w:r w:rsidRPr="00B364CB">
        <w:rPr>
          <w:rFonts w:cs="Calibri"/>
        </w:rPr>
        <w:t xml:space="preserve"> production of passengers ships while at quay. </w:t>
      </w:r>
    </w:p>
    <w:p w14:paraId="5A84F1E3" w14:textId="77777777" w:rsidR="00F71C32" w:rsidRPr="00B364CB" w:rsidRDefault="00F71C32" w:rsidP="002256F6">
      <w:pPr>
        <w:pStyle w:val="MAWPBodyTextNumbered"/>
        <w:numPr>
          <w:ilvl w:val="0"/>
          <w:numId w:val="26"/>
        </w:numPr>
      </w:pPr>
      <w:r w:rsidRPr="00B364CB">
        <w:t>Companies Gaussin, Kalmar, Hyster-Yale, and Terberg have announced working on port machinery of various types for the logistics of containers in port terminals;</w:t>
      </w:r>
    </w:p>
    <w:p w14:paraId="39407E7C" w14:textId="77777777" w:rsidR="00F71C32" w:rsidRPr="00B364CB" w:rsidRDefault="00F71C32" w:rsidP="002256F6">
      <w:pPr>
        <w:pStyle w:val="MAWPBodyTextNumbered"/>
        <w:numPr>
          <w:ilvl w:val="0"/>
          <w:numId w:val="26"/>
        </w:numPr>
      </w:pPr>
      <w:r w:rsidRPr="00B364CB">
        <w:t xml:space="preserve">Study on hydrogen ports and industrial coastal areas (FCH JU), 2021, the study will cover amongst other hydrogen market potential, supply chain and economic forecasts. </w:t>
      </w:r>
    </w:p>
    <w:p w14:paraId="79567A31" w14:textId="52D2CAA1" w:rsidR="00444631" w:rsidRPr="00B364CB" w:rsidRDefault="00444631" w:rsidP="00444631">
      <w:pPr>
        <w:pStyle w:val="MAWPHeadingStyleLevel4"/>
      </w:pPr>
      <w:r w:rsidRPr="00B364CB">
        <w:t>Objectives</w:t>
      </w:r>
    </w:p>
    <w:p w14:paraId="6E319F24" w14:textId="1FE06AA6" w:rsidR="000A73E7" w:rsidRPr="00B364CB" w:rsidDel="00EB4A1C" w:rsidRDefault="000A73E7" w:rsidP="00482369">
      <w:pPr>
        <w:pStyle w:val="MAWP-Bodytext"/>
      </w:pPr>
      <w:r w:rsidRPr="00B364CB" w:rsidDel="00EB4A1C">
        <w:t xml:space="preserve">Development work will focus on improving access to the market for </w:t>
      </w:r>
      <w:r w:rsidR="00140652" w:rsidRPr="00B364CB">
        <w:t>hydrogen</w:t>
      </w:r>
      <w:r w:rsidR="000B3E50" w:rsidRPr="00B364CB">
        <w:t>, its derivatives</w:t>
      </w:r>
      <w:r w:rsidRPr="00B364CB" w:rsidDel="00EB4A1C">
        <w:t xml:space="preserve"> and FCs</w:t>
      </w:r>
      <w:r w:rsidR="000B3E50" w:rsidRPr="00B364CB">
        <w:t>, initially</w:t>
      </w:r>
      <w:r w:rsidRPr="00B364CB" w:rsidDel="00EB4A1C">
        <w:t xml:space="preserve"> on smaller vessels</w:t>
      </w:r>
      <w:r w:rsidR="000B3E50" w:rsidRPr="00B364CB">
        <w:t xml:space="preserve">. </w:t>
      </w:r>
      <w:r w:rsidR="00FB6C42" w:rsidRPr="00B364CB">
        <w:t>I</w:t>
      </w:r>
      <w:r w:rsidR="000B3E50" w:rsidRPr="00B364CB">
        <w:t>t will develop the necessary safety standards,</w:t>
      </w:r>
      <w:r w:rsidRPr="00B364CB" w:rsidDel="00EB4A1C">
        <w:t xml:space="preserve"> components and </w:t>
      </w:r>
      <w:r w:rsidR="00B87174" w:rsidRPr="00B364CB" w:rsidDel="00EB4A1C">
        <w:t>fuelling</w:t>
      </w:r>
      <w:r w:rsidRPr="00B364CB" w:rsidDel="00EB4A1C">
        <w:t xml:space="preserve"> systems required for </w:t>
      </w:r>
      <w:r w:rsidR="00FB6C42" w:rsidRPr="00B364CB">
        <w:t xml:space="preserve">smaller and subsequently for </w:t>
      </w:r>
      <w:r w:rsidRPr="00B364CB" w:rsidDel="00EB4A1C">
        <w:t>larger ship types. This will strengthen and consolidate the European maritime hydrogen value chain</w:t>
      </w:r>
      <w:r w:rsidR="000B3E50" w:rsidRPr="00B364CB">
        <w:t xml:space="preserve"> and set the foundation for large scale deployment</w:t>
      </w:r>
      <w:r w:rsidRPr="00B364CB" w:rsidDel="00EB4A1C">
        <w:t xml:space="preserve">. </w:t>
      </w:r>
    </w:p>
    <w:p w14:paraId="71658332" w14:textId="020F4110" w:rsidR="000A73E7" w:rsidRPr="00B364CB" w:rsidDel="00EB4A1C" w:rsidRDefault="000A73E7" w:rsidP="00B70591">
      <w:pPr>
        <w:pStyle w:val="MAWP-Bodytext"/>
      </w:pPr>
      <w:r w:rsidRPr="00B364CB" w:rsidDel="00EB4A1C">
        <w:t>The shipping sector involves a wide range of use cases, with both the autonomy and power requirements of small vessels and large cruise ships differing by three orders of magnitude. This highlights the importance of defining different strategies for zero emission propulsion for each vessel type:</w:t>
      </w:r>
    </w:p>
    <w:p w14:paraId="5E671BBC" w14:textId="3A7673F8" w:rsidR="000A73E7" w:rsidRPr="00B364CB" w:rsidDel="00EB4A1C" w:rsidRDefault="000A73E7" w:rsidP="002256F6">
      <w:pPr>
        <w:pStyle w:val="MAWPBodyTextNumbered"/>
        <w:numPr>
          <w:ilvl w:val="0"/>
          <w:numId w:val="29"/>
        </w:numPr>
      </w:pPr>
      <w:r w:rsidRPr="00B364CB" w:rsidDel="00EB4A1C">
        <w:t xml:space="preserve">For inland waterways and short-sea shipping, hydrogen </w:t>
      </w:r>
      <w:r w:rsidR="000B3E50" w:rsidRPr="00B364CB">
        <w:t xml:space="preserve">and its derivatives </w:t>
      </w:r>
      <w:r w:rsidR="000B3E50" w:rsidRPr="00B364CB" w:rsidDel="00EB4A1C">
        <w:t xml:space="preserve">can become an alternative low emission </w:t>
      </w:r>
      <w:r w:rsidR="000B3E50" w:rsidRPr="00B364CB">
        <w:t xml:space="preserve">GHG neutral </w:t>
      </w:r>
      <w:r w:rsidR="000B3E50" w:rsidRPr="00B364CB" w:rsidDel="00EB4A1C">
        <w:t>fuel</w:t>
      </w:r>
      <w:r w:rsidR="000B3E50" w:rsidRPr="00B364CB">
        <w:t>;</w:t>
      </w:r>
      <w:r w:rsidR="000B3E50" w:rsidRPr="00B364CB" w:rsidDel="00EB4A1C">
        <w:t xml:space="preserve"> </w:t>
      </w:r>
      <w:r w:rsidR="000B3E50" w:rsidRPr="00B364CB">
        <w:t xml:space="preserve">For short sea ships, fuel requirements would be equivalent to several hundred tons of fuel oil and the developed safety standards, IMO rules and ship integration would </w:t>
      </w:r>
      <w:r w:rsidR="00405976">
        <w:t xml:space="preserve">also </w:t>
      </w:r>
      <w:r w:rsidR="000B3E50" w:rsidRPr="00B364CB">
        <w:t>be largely applicable to much larger ships. In the 5 to 10 MW range, fuel cell power needs would provide a stepping stone towards deep sea shipping services;</w:t>
      </w:r>
    </w:p>
    <w:p w14:paraId="349FE95E" w14:textId="1E3FC234" w:rsidR="000A73E7" w:rsidRPr="00B364CB" w:rsidDel="00EB4A1C" w:rsidRDefault="000B3E50" w:rsidP="00482369">
      <w:pPr>
        <w:pStyle w:val="MAWPBodyTextNumbered"/>
      </w:pPr>
      <w:r w:rsidRPr="00B364CB">
        <w:lastRenderedPageBreak/>
        <w:t xml:space="preserve">Intercontinental </w:t>
      </w:r>
      <w:r w:rsidRPr="00B364CB" w:rsidDel="00EB4A1C">
        <w:t>deep-sea shipping</w:t>
      </w:r>
      <w:r w:rsidRPr="00B364CB">
        <w:t xml:space="preserve"> accounts for more than </w:t>
      </w:r>
      <w:r w:rsidR="009F1A08" w:rsidRPr="00B364CB">
        <w:t>two thirds</w:t>
      </w:r>
      <w:r w:rsidRPr="00B364CB">
        <w:t xml:space="preserve"> of waterborne GHG emissions. Compared to short sea shipping, powers are 2 to 3 times larger, fuel capacity 10 times greater with autonomy of around one month. Considering this and the implications for global fuel supply, solutions will build upon those developed for short sea shipping as well as ensuring the feasibility of providing adequate fuel, storage and bunkering infrastructure</w:t>
      </w:r>
      <w:r w:rsidR="00B87174" w:rsidRPr="00B364CB">
        <w:t>;</w:t>
      </w:r>
    </w:p>
    <w:p w14:paraId="75C88E77" w14:textId="1C745259" w:rsidR="000A73E7" w:rsidRPr="00B364CB" w:rsidRDefault="000A73E7" w:rsidP="00482369">
      <w:pPr>
        <w:pStyle w:val="MAWPBodyTextNumbered"/>
      </w:pPr>
      <w:r w:rsidRPr="00B364CB" w:rsidDel="00EB4A1C">
        <w:t>For ports, the building of infrastructure to refuel hydrogen and</w:t>
      </w:r>
      <w:r w:rsidR="000B3E50" w:rsidRPr="00B364CB">
        <w:t xml:space="preserve"> its derivatives, together with</w:t>
      </w:r>
      <w:r w:rsidRPr="00B364CB" w:rsidDel="00EB4A1C">
        <w:t xml:space="preserve"> </w:t>
      </w:r>
      <w:r w:rsidR="00F327BE" w:rsidRPr="00B364CB">
        <w:t xml:space="preserve">development of </w:t>
      </w:r>
      <w:r w:rsidRPr="00B364CB" w:rsidDel="00EB4A1C">
        <w:t>the necessary safety and standards for hydrogen bunkering</w:t>
      </w:r>
      <w:r w:rsidR="000B3E50" w:rsidRPr="00B364CB">
        <w:t xml:space="preserve"> at a scale relevant for commercial shipping</w:t>
      </w:r>
      <w:r w:rsidRPr="00B364CB" w:rsidDel="00EB4A1C">
        <w:t>, and the supply of electricity at shore with stationary FC.</w:t>
      </w:r>
    </w:p>
    <w:p w14:paraId="4936685F" w14:textId="0B61D18A" w:rsidR="000100F4" w:rsidRPr="00B364CB" w:rsidRDefault="000100F4" w:rsidP="00482369">
      <w:pPr>
        <w:pStyle w:val="MAWP-Bodytext"/>
      </w:pPr>
      <w:r w:rsidRPr="00B364CB">
        <w:t>FC and hydrogen technologies can provide a commercially viable option for zero-emission marine transport in certain use cases. For small ships, hydrogen</w:t>
      </w:r>
      <w:r w:rsidR="000B3E50" w:rsidRPr="00B364CB">
        <w:t>, its derivatives</w:t>
      </w:r>
      <w:r w:rsidRPr="00B364CB">
        <w:t xml:space="preserve"> and fuel cells have the potential to become the mainstream option for zero emission ships. For larger vessels selecting FCs can be a preferred zero emission propulsion solution, using a range of fuel types. In order for that to happen, future development work will focus on improving access to the market for hydrogen</w:t>
      </w:r>
      <w:r w:rsidR="000B3E50" w:rsidRPr="00B364CB">
        <w:t>,</w:t>
      </w:r>
      <w:r w:rsidRPr="00B364CB">
        <w:t xml:space="preserve"> </w:t>
      </w:r>
      <w:r w:rsidR="000B3E50" w:rsidRPr="00B364CB">
        <w:t xml:space="preserve">including its derivatives, scaling up FC designs towards commercially relevant applications, initially for smaller commercial </w:t>
      </w:r>
      <w:r w:rsidRPr="00B364CB">
        <w:t xml:space="preserve">vessels and advancing the components and </w:t>
      </w:r>
      <w:r w:rsidR="000F25C2" w:rsidRPr="00B364CB">
        <w:t>fue</w:t>
      </w:r>
      <w:r w:rsidR="0060724C" w:rsidRPr="00B364CB">
        <w:t>l</w:t>
      </w:r>
      <w:r w:rsidR="000F25C2" w:rsidRPr="00B364CB">
        <w:t>ling</w:t>
      </w:r>
      <w:r w:rsidRPr="00B364CB">
        <w:t xml:space="preserve"> systems required </w:t>
      </w:r>
      <w:r w:rsidR="000B3E50" w:rsidRPr="00B364CB">
        <w:t>so that they are relevant for all short sea vessels and other</w:t>
      </w:r>
      <w:r w:rsidRPr="00B364CB">
        <w:t xml:space="preserve"> ship types. </w:t>
      </w:r>
    </w:p>
    <w:p w14:paraId="474EE385" w14:textId="561085A0" w:rsidR="000100F4" w:rsidRPr="00B364CB" w:rsidRDefault="00F10773" w:rsidP="00482369">
      <w:pPr>
        <w:pStyle w:val="MAWP-Bodytext"/>
      </w:pPr>
      <w:r w:rsidRPr="00B364CB">
        <w:t>E</w:t>
      </w:r>
      <w:r w:rsidR="000100F4" w:rsidRPr="00B364CB">
        <w:t>stablish</w:t>
      </w:r>
      <w:r w:rsidRPr="00B364CB">
        <w:t>ment</w:t>
      </w:r>
      <w:r w:rsidR="000100F4" w:rsidRPr="00B364CB">
        <w:t xml:space="preserve"> </w:t>
      </w:r>
      <w:r w:rsidRPr="00B364CB">
        <w:t>of a</w:t>
      </w:r>
      <w:r w:rsidR="000100F4" w:rsidRPr="00B364CB">
        <w:t xml:space="preserve"> distribution and bunkering network in ports and along inland waterways across Europe is </w:t>
      </w:r>
      <w:r w:rsidRPr="00B364CB">
        <w:t xml:space="preserve">key </w:t>
      </w:r>
      <w:r w:rsidR="000100F4" w:rsidRPr="00B364CB">
        <w:t xml:space="preserve">for a large-scale roll-out of </w:t>
      </w:r>
      <w:r w:rsidR="000F25C2" w:rsidRPr="00B364CB">
        <w:t>hydrogen to</w:t>
      </w:r>
      <w:r w:rsidR="000100F4" w:rsidRPr="00B364CB">
        <w:t xml:space="preserve"> provide a feasible service to both maritime shipping and inland navigation. </w:t>
      </w:r>
    </w:p>
    <w:p w14:paraId="387B4B72" w14:textId="7E2D4048" w:rsidR="000100F4" w:rsidRPr="00B364CB" w:rsidRDefault="000100F4" w:rsidP="00482369">
      <w:pPr>
        <w:pStyle w:val="MAWP-Bodytext"/>
      </w:pPr>
      <w:r w:rsidRPr="00B364CB">
        <w:t xml:space="preserve">Safe, flexible bunkering solutions for hydrogen for different waterborne transport segments, will </w:t>
      </w:r>
      <w:r w:rsidR="00F10773" w:rsidRPr="00B364CB">
        <w:t xml:space="preserve">therefore have to </w:t>
      </w:r>
      <w:r w:rsidRPr="00B364CB">
        <w:t>be reali</w:t>
      </w:r>
      <w:r w:rsidR="001F234C">
        <w:t>s</w:t>
      </w:r>
      <w:r w:rsidRPr="00B364CB">
        <w:t xml:space="preserve">ed to facilitate its increased use. </w:t>
      </w:r>
    </w:p>
    <w:p w14:paraId="6D0A1DFE" w14:textId="5BE78716" w:rsidR="000100F4" w:rsidRPr="00B364CB" w:rsidRDefault="000100F4" w:rsidP="00482369">
      <w:pPr>
        <w:pStyle w:val="MAWP-Bodytext"/>
      </w:pPr>
      <w:r w:rsidRPr="00B364CB">
        <w:t>The definition and development of proper and consistent rules, regulations and procedures will support the introduction of hydrogen as a maritime fuel in ports in the safest way possible for the infrastructure, the environment and the surrounding population. Furthermore, technical standards will be developed for transferring to ship, or recharging ships and the directly related facilities (i.e.</w:t>
      </w:r>
      <w:r w:rsidR="00F10773" w:rsidRPr="00B364CB">
        <w:t>,</w:t>
      </w:r>
      <w:r w:rsidRPr="00B364CB">
        <w:t xml:space="preserve"> nozzles and hoses) to ensure that ships can be serviced throughout Europe.</w:t>
      </w:r>
    </w:p>
    <w:p w14:paraId="5C363866" w14:textId="7AABE394" w:rsidR="00FE23AF" w:rsidRPr="00B364CB" w:rsidRDefault="00FE23AF" w:rsidP="00B41CB1">
      <w:pPr>
        <w:pStyle w:val="MAWPBodyTextNumbered"/>
        <w:numPr>
          <w:ilvl w:val="0"/>
          <w:numId w:val="0"/>
        </w:numPr>
      </w:pPr>
      <w:r w:rsidRPr="00B364CB">
        <w:t>In summary</w:t>
      </w:r>
      <w:r w:rsidR="00B70591" w:rsidRPr="00B364CB">
        <w:t>,</w:t>
      </w:r>
      <w:r w:rsidRPr="00B364CB">
        <w:t xml:space="preserve"> </w:t>
      </w:r>
      <w:r w:rsidR="00494F24" w:rsidRPr="00B364CB">
        <w:t>R&amp;D actions in this area have the following objectives</w:t>
      </w:r>
      <w:r w:rsidRPr="00B364CB">
        <w:t xml:space="preserve">: </w:t>
      </w:r>
    </w:p>
    <w:p w14:paraId="2D84115F" w14:textId="71402355" w:rsidR="00E80D4C" w:rsidRPr="00B364CB" w:rsidRDefault="00221556" w:rsidP="002256F6">
      <w:pPr>
        <w:pStyle w:val="MAWPBodyTextNumbered"/>
        <w:numPr>
          <w:ilvl w:val="0"/>
          <w:numId w:val="60"/>
        </w:numPr>
      </w:pPr>
      <w:r w:rsidRPr="00B364CB">
        <w:t>Scaling up FC designs towards commercially relevant applications</w:t>
      </w:r>
      <w:r w:rsidR="00494F24" w:rsidRPr="00B364CB">
        <w:t>;</w:t>
      </w:r>
    </w:p>
    <w:p w14:paraId="449867B8" w14:textId="2EED5A14" w:rsidR="00FF676A" w:rsidRPr="00B364CB" w:rsidRDefault="00FF676A" w:rsidP="002256F6">
      <w:pPr>
        <w:pStyle w:val="MAWPBodyTextNumbered"/>
        <w:numPr>
          <w:ilvl w:val="0"/>
          <w:numId w:val="48"/>
        </w:numPr>
      </w:pPr>
      <w:r w:rsidRPr="00B364CB">
        <w:t xml:space="preserve">Reducing the CAPEX of PEMFC </w:t>
      </w:r>
      <w:r w:rsidR="00974B8F">
        <w:t xml:space="preserve">or SOFC </w:t>
      </w:r>
      <w:r w:rsidRPr="00B364CB">
        <w:t>systems for maritime applications;</w:t>
      </w:r>
    </w:p>
    <w:p w14:paraId="175698AE" w14:textId="2F46A738" w:rsidR="00E80D4C" w:rsidRPr="00B364CB" w:rsidRDefault="00FE23AF" w:rsidP="002256F6">
      <w:pPr>
        <w:pStyle w:val="MAWPBodyTextNumbered"/>
        <w:numPr>
          <w:ilvl w:val="0"/>
          <w:numId w:val="48"/>
        </w:numPr>
      </w:pPr>
      <w:r w:rsidRPr="00B364CB">
        <w:t>Improving overall system performance for FC and stacks</w:t>
      </w:r>
      <w:r w:rsidR="00FF676A" w:rsidRPr="00B364CB">
        <w:t>, especially</w:t>
      </w:r>
      <w:r w:rsidRPr="00B364CB">
        <w:t xml:space="preserve"> in terms of power density</w:t>
      </w:r>
      <w:r w:rsidR="00236F64" w:rsidRPr="00B364CB">
        <w:t>, bunkering rate</w:t>
      </w:r>
      <w:r w:rsidRPr="00B364CB">
        <w:t xml:space="preserve"> and operational flexibility</w:t>
      </w:r>
      <w:r w:rsidR="00494F24" w:rsidRPr="00B364CB">
        <w:t>;</w:t>
      </w:r>
    </w:p>
    <w:p w14:paraId="2E7B86C8" w14:textId="1ED2C830" w:rsidR="00E81718" w:rsidRPr="00B364CB" w:rsidRDefault="00FE23AF" w:rsidP="002256F6">
      <w:pPr>
        <w:pStyle w:val="MAWPBodyTextNumbered"/>
        <w:numPr>
          <w:ilvl w:val="0"/>
          <w:numId w:val="48"/>
        </w:numPr>
      </w:pPr>
      <w:r w:rsidRPr="00B364CB">
        <w:t>Improvements in ship design and safety procedures</w:t>
      </w:r>
      <w:r w:rsidR="00494F24" w:rsidRPr="00B364CB">
        <w:t>,</w:t>
      </w:r>
      <w:r w:rsidRPr="00B364CB">
        <w:t xml:space="preserve"> </w:t>
      </w:r>
      <w:r w:rsidR="00494F24" w:rsidRPr="00B364CB">
        <w:t>b</w:t>
      </w:r>
      <w:r w:rsidRPr="00B364CB">
        <w:t xml:space="preserve">oth </w:t>
      </w:r>
      <w:r w:rsidR="00494F24" w:rsidRPr="00B364CB">
        <w:t xml:space="preserve">for </w:t>
      </w:r>
      <w:r w:rsidRPr="00B364CB">
        <w:t>ships and ports bunker terminals</w:t>
      </w:r>
      <w:r w:rsidR="00494F24" w:rsidRPr="00B364CB">
        <w:t>;</w:t>
      </w:r>
    </w:p>
    <w:p w14:paraId="32BAC30D" w14:textId="77777777" w:rsidR="00E80D4C" w:rsidRPr="00B364CB" w:rsidRDefault="00FE23AF" w:rsidP="002256F6">
      <w:pPr>
        <w:pStyle w:val="MAWPBodyTextNumbered"/>
        <w:numPr>
          <w:ilvl w:val="0"/>
          <w:numId w:val="48"/>
        </w:numPr>
      </w:pPr>
      <w:r w:rsidRPr="00B364CB">
        <w:t>Supporting the wide roll out of FC ships</w:t>
      </w:r>
      <w:r w:rsidR="00E81718" w:rsidRPr="00B364CB">
        <w:t xml:space="preserve">, by providing adequate fuel, storage and bunkering infrastructure and developing </w:t>
      </w:r>
      <w:r w:rsidR="00E80D4C" w:rsidRPr="00B364CB">
        <w:t>new solutions for ships based on hydrogen and its derivative fuels</w:t>
      </w:r>
      <w:r w:rsidR="00E81718" w:rsidRPr="00B364CB">
        <w:t xml:space="preserve">. </w:t>
      </w:r>
    </w:p>
    <w:p w14:paraId="28702BFC" w14:textId="7B35BD6E" w:rsidR="00BA4C01" w:rsidRDefault="00BA4C01" w:rsidP="00BA4C01">
      <w:pPr>
        <w:pStyle w:val="MAWP-Bodytext"/>
        <w:rPr>
          <w:szCs w:val="22"/>
        </w:rPr>
      </w:pPr>
      <w:r w:rsidRPr="00CE70C1">
        <w:t xml:space="preserve">In order to contribute towards achieving the above objectives, the following areas of research and development appear as good candidates for the support by the </w:t>
      </w:r>
      <w:r w:rsidR="00831A2C">
        <w:t xml:space="preserve">Clean Hydrogen </w:t>
      </w:r>
      <w:r w:rsidRPr="00CE70C1">
        <w:t>JU.</w:t>
      </w:r>
    </w:p>
    <w:p w14:paraId="34A321CA" w14:textId="0FAAD9BF" w:rsidR="00E575C7" w:rsidRPr="00B364CB" w:rsidRDefault="00E575C7" w:rsidP="00E575C7">
      <w:pPr>
        <w:pStyle w:val="MAWPHeadingStyleLevel4"/>
      </w:pPr>
      <w:r w:rsidRPr="00B364CB">
        <w:rPr>
          <w:rFonts w:cs="Arial"/>
          <w:szCs w:val="22"/>
        </w:rPr>
        <w:t xml:space="preserve">R&amp;D Priorities - </w:t>
      </w:r>
      <w:r w:rsidRPr="00B364CB">
        <w:t>Early Stage Research Actions</w:t>
      </w:r>
    </w:p>
    <w:p w14:paraId="7154031E" w14:textId="35B9FE88" w:rsidR="00E575C7" w:rsidRPr="00B364CB" w:rsidRDefault="00E575C7" w:rsidP="00E575C7">
      <w:pPr>
        <w:pStyle w:val="MAWP-Bodytext"/>
        <w:numPr>
          <w:ilvl w:val="0"/>
          <w:numId w:val="3"/>
        </w:numPr>
      </w:pPr>
      <w:r w:rsidRPr="00B364CB">
        <w:lastRenderedPageBreak/>
        <w:t>New</w:t>
      </w:r>
      <w:r w:rsidR="00B41CB1" w:rsidRPr="00B364CB">
        <w:t xml:space="preserve"> low cost</w:t>
      </w:r>
      <w:r w:rsidR="005B10DA" w:rsidRPr="00B364CB">
        <w:t>, scalable</w:t>
      </w:r>
      <w:r w:rsidRPr="00B364CB">
        <w:t xml:space="preserve"> technologies with increased power density of FC stacks and BoP. This will involve LT and HT PEM fuel cells, as well as SOFC systems capable of using a range of fuels and </w:t>
      </w:r>
      <w:r w:rsidR="005B10DA" w:rsidRPr="00B364CB">
        <w:t xml:space="preserve">achieving a </w:t>
      </w:r>
      <w:r w:rsidR="007B3DBF" w:rsidRPr="00B364CB">
        <w:t>high</w:t>
      </w:r>
      <w:r w:rsidRPr="00B364CB">
        <w:t xml:space="preserve"> overall </w:t>
      </w:r>
      <w:r w:rsidR="005B10DA" w:rsidRPr="00B364CB">
        <w:t>(well</w:t>
      </w:r>
      <w:r w:rsidR="00974B8F">
        <w:t>-</w:t>
      </w:r>
      <w:r w:rsidR="005B10DA" w:rsidRPr="00B364CB">
        <w:t>to</w:t>
      </w:r>
      <w:r w:rsidR="00974B8F">
        <w:t>-</w:t>
      </w:r>
      <w:r w:rsidR="005B10DA" w:rsidRPr="00B364CB">
        <w:t xml:space="preserve">wake) </w:t>
      </w:r>
      <w:r w:rsidRPr="00B364CB">
        <w:t>efficiency</w:t>
      </w:r>
      <w:r w:rsidR="005B10DA" w:rsidRPr="00B364CB">
        <w:t>;</w:t>
      </w:r>
    </w:p>
    <w:p w14:paraId="3F0893B4" w14:textId="01B95D24" w:rsidR="00E575C7" w:rsidRPr="00B364CB" w:rsidRDefault="00E575C7" w:rsidP="00E575C7">
      <w:pPr>
        <w:pStyle w:val="MAWP-Bodytext"/>
        <w:numPr>
          <w:ilvl w:val="0"/>
          <w:numId w:val="3"/>
        </w:numPr>
      </w:pPr>
      <w:r w:rsidRPr="00B364CB">
        <w:t>Improvement of on-board storage solution for hydrogen, integrated below the vessel deck and also swappable fuel tank container</w:t>
      </w:r>
      <w:r w:rsidR="007B3DBF" w:rsidRPr="00B364CB">
        <w:t>s</w:t>
      </w:r>
      <w:r w:rsidRPr="00B364CB">
        <w:t xml:space="preserve"> on deck;</w:t>
      </w:r>
    </w:p>
    <w:p w14:paraId="60FF3CA8" w14:textId="5D10046B" w:rsidR="00E575C7" w:rsidRPr="00B364CB" w:rsidRDefault="00E575C7" w:rsidP="00E575C7">
      <w:pPr>
        <w:pStyle w:val="MAWP-Bodytext"/>
        <w:numPr>
          <w:ilvl w:val="0"/>
          <w:numId w:val="3"/>
        </w:numPr>
      </w:pPr>
      <w:r w:rsidRPr="00B364CB">
        <w:t xml:space="preserve">Improvement of on-board reforming of hydrogen carriers, if needed. </w:t>
      </w:r>
    </w:p>
    <w:p w14:paraId="3AC6DD83" w14:textId="2DD61E7C" w:rsidR="00E575C7" w:rsidRPr="00B364CB" w:rsidRDefault="00E575C7" w:rsidP="00E575C7">
      <w:pPr>
        <w:pStyle w:val="MAWP-Bodytext"/>
        <w:numPr>
          <w:ilvl w:val="0"/>
          <w:numId w:val="3"/>
        </w:numPr>
        <w:rPr>
          <w:lang w:eastAsia="en-US"/>
        </w:rPr>
      </w:pPr>
      <w:r w:rsidRPr="00B364CB">
        <w:t xml:space="preserve">Enabling deployment in shipping of hydrogen </w:t>
      </w:r>
      <w:r w:rsidR="003432C6">
        <w:t xml:space="preserve">and ammonia </w:t>
      </w:r>
      <w:r w:rsidRPr="00B364CB">
        <w:t xml:space="preserve">by ensuring safety underpinned by the necessary onshore norms and regulations (protocols and standards). </w:t>
      </w:r>
    </w:p>
    <w:p w14:paraId="66EF0ED2" w14:textId="77777777" w:rsidR="00E575C7" w:rsidRPr="00B364CB" w:rsidRDefault="00E575C7" w:rsidP="00E575C7">
      <w:pPr>
        <w:pStyle w:val="MAWPHeadingStyleLevel4"/>
      </w:pPr>
      <w:r w:rsidRPr="00B364CB">
        <w:rPr>
          <w:szCs w:val="22"/>
        </w:rPr>
        <w:t xml:space="preserve">R&amp;D Priorities - </w:t>
      </w:r>
      <w:r w:rsidRPr="00B364CB">
        <w:t>Development Research Actions</w:t>
      </w:r>
    </w:p>
    <w:p w14:paraId="7C188605" w14:textId="16E64B5C" w:rsidR="00E575C7" w:rsidRPr="00B364CB" w:rsidRDefault="00E575C7" w:rsidP="005F2806">
      <w:pPr>
        <w:pStyle w:val="MAWPBodytextbullets"/>
      </w:pPr>
      <w:r w:rsidRPr="00B364CB">
        <w:t xml:space="preserve">Integration and design </w:t>
      </w:r>
      <w:r w:rsidR="00301F25" w:rsidRPr="00B364CB">
        <w:t>activities</w:t>
      </w:r>
      <w:r w:rsidRPr="00B364CB">
        <w:t xml:space="preserve"> for using different combinations of fuel cells for short sea ships (or modified </w:t>
      </w:r>
      <w:r w:rsidR="00B77E8D" w:rsidRPr="00B364CB">
        <w:t>internal combus</w:t>
      </w:r>
      <w:r w:rsidR="00644597">
        <w:t>t</w:t>
      </w:r>
      <w:r w:rsidR="00B77E8D" w:rsidRPr="00B364CB">
        <w:t xml:space="preserve">ion </w:t>
      </w:r>
      <w:r w:rsidRPr="00B364CB">
        <w:t xml:space="preserve">engines), a novel </w:t>
      </w:r>
      <w:r w:rsidR="007B3DBF" w:rsidRPr="00B364CB">
        <w:t xml:space="preserve">BoP </w:t>
      </w:r>
      <w:r w:rsidRPr="00B364CB">
        <w:t xml:space="preserve">configurations and different hydrogen carriers and possible reforming options to increase operational flexibility and FC durability; </w:t>
      </w:r>
    </w:p>
    <w:p w14:paraId="53DA780F" w14:textId="1051FC3B" w:rsidR="00E575C7" w:rsidRPr="00B364CB" w:rsidRDefault="00E575C7" w:rsidP="005F2806">
      <w:pPr>
        <w:pStyle w:val="MAWPBodytextbullets"/>
      </w:pPr>
      <w:r w:rsidRPr="00B364CB">
        <w:t>Enabling the safe, efficient on-board storage and integration within short sea ships of large quantities of hydrogen</w:t>
      </w:r>
      <w:r w:rsidR="007B3DBF" w:rsidRPr="00B364CB">
        <w:t xml:space="preserve"> and its derivatives</w:t>
      </w:r>
      <w:r w:rsidR="00FE23AF" w:rsidRPr="00B364CB">
        <w:t xml:space="preserve"> fuels</w:t>
      </w:r>
      <w:r w:rsidRPr="00B364CB">
        <w:t>;</w:t>
      </w:r>
    </w:p>
    <w:p w14:paraId="7F3CB63B" w14:textId="184BEC23" w:rsidR="00E575C7" w:rsidRPr="00B364CB" w:rsidRDefault="00E575C7" w:rsidP="005F2806">
      <w:pPr>
        <w:pStyle w:val="MAWPBodytextbullets"/>
      </w:pPr>
      <w:r w:rsidRPr="00B364CB">
        <w:t>Enabling the full integration of fuel cells in short sea ship design</w:t>
      </w:r>
      <w:r w:rsidR="007B3DBF" w:rsidRPr="00B364CB">
        <w:t>s</w:t>
      </w:r>
      <w:r w:rsidRPr="00B364CB">
        <w:t xml:space="preserve">; </w:t>
      </w:r>
    </w:p>
    <w:p w14:paraId="5727ED05" w14:textId="5375369E" w:rsidR="00E575C7" w:rsidRPr="00B364CB" w:rsidRDefault="00E575C7" w:rsidP="005F2806">
      <w:pPr>
        <w:pStyle w:val="MAWPBodytextbullets"/>
      </w:pPr>
      <w:r w:rsidRPr="00B364CB">
        <w:t>De</w:t>
      </w:r>
      <w:r w:rsidR="007B3DBF" w:rsidRPr="00B364CB">
        <w:t>velop</w:t>
      </w:r>
      <w:r w:rsidRPr="00B364CB">
        <w:t xml:space="preserve"> novel storage and bunkering solutions for very large volumes of energy in ports, either as pure hydrogen (</w:t>
      </w:r>
      <w:r w:rsidR="0095476A" w:rsidRPr="00B364CB">
        <w:t xml:space="preserve">Compressed </w:t>
      </w:r>
      <w:r w:rsidR="00382D80" w:rsidRPr="00B364CB">
        <w:t>h</w:t>
      </w:r>
      <w:r w:rsidR="0095476A" w:rsidRPr="00B364CB">
        <w:t>ydroge</w:t>
      </w:r>
      <w:r w:rsidR="00382D80" w:rsidRPr="00B364CB">
        <w:t>n gas</w:t>
      </w:r>
      <w:r w:rsidR="0095476A" w:rsidRPr="00B364CB">
        <w:t xml:space="preserve"> - </w:t>
      </w:r>
      <w:r w:rsidRPr="00B364CB">
        <w:t>C</w:t>
      </w:r>
      <w:r w:rsidR="00382D80" w:rsidRPr="00B364CB">
        <w:t>G</w:t>
      </w:r>
      <w:r w:rsidRPr="00B364CB">
        <w:t>H</w:t>
      </w:r>
      <w:r w:rsidRPr="00E4788A">
        <w:rPr>
          <w:vertAlign w:val="subscript"/>
        </w:rPr>
        <w:t>2</w:t>
      </w:r>
      <w:r w:rsidRPr="00B364CB">
        <w:t xml:space="preserve"> </w:t>
      </w:r>
      <w:r w:rsidR="0095476A" w:rsidRPr="00B364CB">
        <w:t xml:space="preserve">- or </w:t>
      </w:r>
      <w:r w:rsidRPr="00B364CB">
        <w:t>LH</w:t>
      </w:r>
      <w:r w:rsidRPr="00E4788A">
        <w:rPr>
          <w:vertAlign w:val="subscript"/>
        </w:rPr>
        <w:t>2</w:t>
      </w:r>
      <w:r w:rsidRPr="00B364CB">
        <w:t xml:space="preserve">) or as hydrogen carriers; </w:t>
      </w:r>
    </w:p>
    <w:p w14:paraId="31BCAEC3" w14:textId="31917769" w:rsidR="00E575C7" w:rsidRPr="00B364CB" w:rsidRDefault="007B3DBF" w:rsidP="005F2806">
      <w:pPr>
        <w:pStyle w:val="MAWPBodytextbullets"/>
        <w:rPr>
          <w:lang w:eastAsia="en-US"/>
        </w:rPr>
      </w:pPr>
      <w:r w:rsidRPr="00B364CB">
        <w:t>S</w:t>
      </w:r>
      <w:r w:rsidR="00E575C7" w:rsidRPr="00B364CB">
        <w:t>upply</w:t>
      </w:r>
      <w:r w:rsidRPr="00B364CB">
        <w:t>/bunkering</w:t>
      </w:r>
      <w:r w:rsidR="00E575C7" w:rsidRPr="00B364CB">
        <w:t xml:space="preserve"> of large quantities of </w:t>
      </w:r>
      <w:r w:rsidR="00140652" w:rsidRPr="00B364CB">
        <w:t>hydrogen</w:t>
      </w:r>
      <w:r w:rsidR="00E575C7" w:rsidRPr="00B364CB">
        <w:t xml:space="preserve"> both liquid and gaseous, and other hydrogen carriers in ports environment</w:t>
      </w:r>
      <w:r w:rsidR="005F2806" w:rsidRPr="00B364CB">
        <w:t>.</w:t>
      </w:r>
      <w:r w:rsidR="00E575C7" w:rsidRPr="00B364CB">
        <w:t xml:space="preserve"> </w:t>
      </w:r>
    </w:p>
    <w:p w14:paraId="5FED5877" w14:textId="77777777" w:rsidR="00E575C7" w:rsidRPr="00B364CB" w:rsidRDefault="00E575C7" w:rsidP="00E575C7">
      <w:pPr>
        <w:pStyle w:val="MAWPHeadingStyleLevel4"/>
      </w:pPr>
      <w:r w:rsidRPr="00B364CB">
        <w:t>R&amp;D Priorities - Demonstration Actions</w:t>
      </w:r>
    </w:p>
    <w:p w14:paraId="379802AB" w14:textId="77777777" w:rsidR="00E575C7" w:rsidRPr="00B364CB" w:rsidRDefault="00E575C7" w:rsidP="00E575C7">
      <w:pPr>
        <w:pStyle w:val="MAWP-Bodytext"/>
      </w:pPr>
      <w:r w:rsidRPr="00B364CB">
        <w:t>Further demonstrations in the post-2020 period should focus on:</w:t>
      </w:r>
    </w:p>
    <w:p w14:paraId="5DAB2366" w14:textId="08BD1B8C" w:rsidR="00E575C7" w:rsidRPr="00B364CB" w:rsidRDefault="000C0619" w:rsidP="005F2806">
      <w:pPr>
        <w:pStyle w:val="MAWPBodytextbullets"/>
      </w:pPr>
      <w:r w:rsidRPr="00B364CB">
        <w:t>S</w:t>
      </w:r>
      <w:r w:rsidR="00E575C7" w:rsidRPr="00B364CB">
        <w:t>trengthen</w:t>
      </w:r>
      <w:r w:rsidRPr="00B364CB">
        <w:t>ing</w:t>
      </w:r>
      <w:r w:rsidR="00E575C7" w:rsidRPr="00B364CB">
        <w:t xml:space="preserve"> and consolidat</w:t>
      </w:r>
      <w:r w:rsidRPr="00B364CB">
        <w:t>ing</w:t>
      </w:r>
      <w:r w:rsidR="00E575C7" w:rsidRPr="00B364CB">
        <w:t xml:space="preserve"> the European maritime value chain </w:t>
      </w:r>
      <w:r w:rsidRPr="00B364CB">
        <w:t>by developing and deplo</w:t>
      </w:r>
      <w:r w:rsidR="00E575C7" w:rsidRPr="00B364CB">
        <w:t xml:space="preserve">ying </w:t>
      </w:r>
      <w:r w:rsidR="00140652" w:rsidRPr="00B364CB">
        <w:t>fuel cells</w:t>
      </w:r>
      <w:r w:rsidR="00E575C7" w:rsidRPr="00B364CB">
        <w:t xml:space="preserve"> and </w:t>
      </w:r>
      <w:r w:rsidR="00140652" w:rsidRPr="00B364CB">
        <w:t>hydrogen</w:t>
      </w:r>
      <w:r w:rsidRPr="00B364CB">
        <w:t>-based</w:t>
      </w:r>
      <w:r w:rsidR="00E575C7" w:rsidRPr="00B364CB">
        <w:t xml:space="preserve"> </w:t>
      </w:r>
      <w:r w:rsidRPr="00B364CB">
        <w:t>fuel</w:t>
      </w:r>
      <w:r w:rsidR="00E575C7" w:rsidRPr="00B364CB">
        <w:t xml:space="preserve"> storage </w:t>
      </w:r>
      <w:r w:rsidRPr="00B364CB">
        <w:t>solutions</w:t>
      </w:r>
      <w:r w:rsidR="00E575C7" w:rsidRPr="00B364CB">
        <w:t xml:space="preserve"> into new and existing vessels and installing the associated high capacity refuelling infrastructure into ports; </w:t>
      </w:r>
    </w:p>
    <w:p w14:paraId="0979F2A0" w14:textId="77777777" w:rsidR="00E575C7" w:rsidRPr="00B364CB" w:rsidRDefault="00E575C7" w:rsidP="005F2806">
      <w:pPr>
        <w:pStyle w:val="MAWPBodytextbullets"/>
      </w:pPr>
      <w:r w:rsidRPr="00B364CB">
        <w:t xml:space="preserve">Validation of the technical readiness of novel fuel cells and to determine the preferred fuel option for large vessels; </w:t>
      </w:r>
    </w:p>
    <w:p w14:paraId="265D8D30" w14:textId="5D78721F" w:rsidR="00E575C7" w:rsidRPr="00B364CB" w:rsidRDefault="00E575C7" w:rsidP="005F2806">
      <w:pPr>
        <w:pStyle w:val="MAWPBodytextbullets"/>
        <w:numPr>
          <w:ilvl w:val="0"/>
          <w:numId w:val="0"/>
        </w:numPr>
      </w:pPr>
      <w:r w:rsidRPr="00B364CB">
        <w:t>Integration of fuel cell</w:t>
      </w:r>
      <w:r w:rsidR="00FA116F" w:rsidRPr="00B364CB">
        <w:t>s</w:t>
      </w:r>
      <w:r w:rsidRPr="00B364CB">
        <w:t xml:space="preserve"> for large sea-going ships and applicable hydrogen carriers will be developed in the </w:t>
      </w:r>
      <w:r w:rsidR="00135B62" w:rsidRPr="00B364CB">
        <w:t xml:space="preserve">Zero Emission Waterborne Transport </w:t>
      </w:r>
      <w:r w:rsidR="002B7AE5">
        <w:t>p</w:t>
      </w:r>
      <w:r w:rsidR="00301F25" w:rsidRPr="00B364CB">
        <w:t>artnership</w:t>
      </w:r>
      <w:r w:rsidR="00135B62" w:rsidRPr="00B364CB">
        <w:t xml:space="preserve"> (ZEWT)</w:t>
      </w:r>
      <w:r w:rsidR="00301F25" w:rsidRPr="00B364CB">
        <w:t xml:space="preserve"> and synergies should be explored accordingly</w:t>
      </w:r>
      <w:r w:rsidR="005F2806" w:rsidRPr="00B364CB">
        <w:t>.</w:t>
      </w:r>
    </w:p>
    <w:p w14:paraId="4BE7C7FC" w14:textId="77777777" w:rsidR="00E575C7" w:rsidRPr="00B364CB" w:rsidRDefault="00E575C7" w:rsidP="00E575C7">
      <w:pPr>
        <w:pStyle w:val="MAWPHeadingStyleLevel4"/>
      </w:pPr>
      <w:r w:rsidRPr="00B364CB">
        <w:t>Flagship Actions</w:t>
      </w:r>
    </w:p>
    <w:p w14:paraId="15EFF593" w14:textId="77777777" w:rsidR="00E575C7" w:rsidRPr="00B364CB" w:rsidRDefault="00E575C7" w:rsidP="00E575C7">
      <w:pPr>
        <w:pStyle w:val="MAWP-Bodytext"/>
      </w:pPr>
      <w:r w:rsidRPr="00B364CB">
        <w:t>Ports are coastal hubs where industries and transports coexist. The local demand for hydrogen is thus the sum of the needs for the port operations, the heavy industries and the heavy-duty transport in the vicinity. For the largest ports, it represents quantities of hydrogen currently not available at a single location.</w:t>
      </w:r>
    </w:p>
    <w:p w14:paraId="31ACD8E0" w14:textId="77777777" w:rsidR="00E575C7" w:rsidRPr="00B364CB" w:rsidRDefault="00E575C7" w:rsidP="00E575C7">
      <w:pPr>
        <w:pStyle w:val="MAWP-Bodytext"/>
      </w:pPr>
      <w:r w:rsidRPr="00B364CB">
        <w:t>The development and demonstration activities outlined above will lay the foundations for a larger scale FC shipping in the early 2020’s, creating the scale required for this sector.</w:t>
      </w:r>
    </w:p>
    <w:p w14:paraId="7D1AB0C3" w14:textId="77777777" w:rsidR="00F71C32" w:rsidRPr="00B364CB" w:rsidRDefault="00E575C7" w:rsidP="00F71C32">
      <w:pPr>
        <w:pStyle w:val="MAWP-Bodytext"/>
      </w:pPr>
      <w:r w:rsidRPr="00B364CB">
        <w:t xml:space="preserve">Key priorities in the market activation phase include developing and implementing innovative </w:t>
      </w:r>
      <w:r w:rsidRPr="00B364CB">
        <w:lastRenderedPageBreak/>
        <w:t xml:space="preserve">commercial models to manage risk appropriately and hydrogen supply chain development to ensure that the ships are fully supported throughout their operational lives. </w:t>
      </w:r>
      <w:r w:rsidR="00F71C32" w:rsidRPr="00B364CB">
        <w:rPr>
          <w:rFonts w:cstheme="minorHAnsi"/>
        </w:rPr>
        <w:t>Due to their trading and economic importance, ports are at the heart of future hydrogen valleys. Such valleys are ecosystems / clusters with dense concentration of users of hydrogen for energy, transport and industrial purposes. These valleys are the ideal set-ups to initiate a renewable hydrogen transition. Indeed, stakeholders of the valleys can more easily under a common goal, set clear milestones, reach economies of scale, share investment risks and ultimately accelerate the deployment of a hydrogen infrastructure, supply and use.</w:t>
      </w:r>
    </w:p>
    <w:p w14:paraId="3A6A0577" w14:textId="717C7A32" w:rsidR="000100F4" w:rsidRPr="00B364CB" w:rsidRDefault="000100F4" w:rsidP="005D7D64">
      <w:pPr>
        <w:pStyle w:val="MAWPHeadingStyleLevel4"/>
        <w:rPr>
          <w:lang w:eastAsia="en-GB"/>
        </w:rPr>
      </w:pPr>
      <w:r w:rsidRPr="00B364CB">
        <w:rPr>
          <w:lang w:eastAsia="en-GB"/>
        </w:rPr>
        <w:t xml:space="preserve">Synergies </w:t>
      </w:r>
    </w:p>
    <w:p w14:paraId="50E45269" w14:textId="0AD3CE42" w:rsidR="00823003" w:rsidRPr="00B364CB" w:rsidRDefault="00823003" w:rsidP="00823003">
      <w:pPr>
        <w:pStyle w:val="MAWP-Bodytext"/>
      </w:pPr>
      <w:r w:rsidRPr="00B364CB">
        <w:t xml:space="preserve">Potential synergies have been identified with </w:t>
      </w:r>
      <w:r w:rsidR="00FE23AF" w:rsidRPr="00B364CB">
        <w:t xml:space="preserve">ZEWT </w:t>
      </w:r>
      <w:r w:rsidR="00301F25" w:rsidRPr="00B364CB">
        <w:t>and P4P (as regards industrial hubs near ports area)</w:t>
      </w:r>
      <w:r w:rsidRPr="00B364CB">
        <w:t xml:space="preserve">. See Section </w:t>
      </w:r>
      <w:r w:rsidRPr="00B364CB">
        <w:fldChar w:fldCharType="begin"/>
      </w:r>
      <w:r w:rsidRPr="00B364CB">
        <w:instrText xml:space="preserve"> REF _Ref55249545 \r \h  \* MERGEFORMAT </w:instrText>
      </w:r>
      <w:r w:rsidRPr="00B364CB">
        <w:fldChar w:fldCharType="separate"/>
      </w:r>
      <w:r w:rsidR="00331EBC">
        <w:t>4.1</w:t>
      </w:r>
      <w:r w:rsidRPr="00B364CB">
        <w:fldChar w:fldCharType="end"/>
      </w:r>
      <w:r w:rsidRPr="00B364CB">
        <w:t xml:space="preserve"> </w:t>
      </w:r>
      <w:r w:rsidR="00B77E48">
        <w:t xml:space="preserve">and Annex 7 </w:t>
      </w:r>
      <w:r w:rsidRPr="00B364CB">
        <w:t xml:space="preserve">for more details on the synergies. </w:t>
      </w:r>
    </w:p>
    <w:p w14:paraId="5F85D693" w14:textId="328D12E4" w:rsidR="000100F4" w:rsidRPr="00B364CB" w:rsidRDefault="000100F4" w:rsidP="006802D3">
      <w:pPr>
        <w:pStyle w:val="MAWPsubtitle2"/>
      </w:pPr>
      <w:bookmarkStart w:id="101" w:name="_Toc51656741"/>
      <w:bookmarkStart w:id="102" w:name="_Toc64640561"/>
      <w:bookmarkStart w:id="103" w:name="_Toc93907329"/>
      <w:r w:rsidRPr="00B364CB">
        <w:t>Rail applications</w:t>
      </w:r>
      <w:bookmarkEnd w:id="101"/>
      <w:bookmarkEnd w:id="102"/>
      <w:bookmarkEnd w:id="103"/>
    </w:p>
    <w:p w14:paraId="56380B9E" w14:textId="77777777" w:rsidR="006224E4" w:rsidRPr="00B364CB" w:rsidRDefault="006224E4" w:rsidP="006224E4">
      <w:pPr>
        <w:pStyle w:val="MAWPHeadingStyleLevel4"/>
      </w:pPr>
      <w:r w:rsidRPr="00B364CB">
        <w:t>Rationale for Support</w:t>
      </w:r>
    </w:p>
    <w:p w14:paraId="02A7BEEF" w14:textId="4273724B" w:rsidR="00EB4A1C" w:rsidRPr="00120F40" w:rsidRDefault="000100F4" w:rsidP="003C7D11">
      <w:pPr>
        <w:pStyle w:val="MAWP-Bodytext"/>
      </w:pPr>
      <w:r w:rsidRPr="00B364CB">
        <w:t xml:space="preserve">The majority of trains operating today are either </w:t>
      </w:r>
      <w:r w:rsidRPr="00120F40">
        <w:t xml:space="preserve">diesel powered or electrified via overhead </w:t>
      </w:r>
      <w:r w:rsidR="003F033F">
        <w:t xml:space="preserve"> </w:t>
      </w:r>
      <w:r w:rsidRPr="00120F40">
        <w:t xml:space="preserve">lines.  Whilst electrification </w:t>
      </w:r>
      <w:r w:rsidR="007B5D66">
        <w:t xml:space="preserve">will </w:t>
      </w:r>
      <w:r w:rsidR="003F033F">
        <w:t>deliver</w:t>
      </w:r>
      <w:r w:rsidRPr="00120F40">
        <w:t xml:space="preserve"> emissions </w:t>
      </w:r>
      <w:r w:rsidR="0040229B">
        <w:t>equal to the average electricity mix</w:t>
      </w:r>
      <w:r w:rsidR="0040229B" w:rsidRPr="00120F40">
        <w:t xml:space="preserve"> </w:t>
      </w:r>
      <w:r w:rsidRPr="00120F40">
        <w:t>at the point of use</w:t>
      </w:r>
      <w:r w:rsidR="0096496E">
        <w:t xml:space="preserve"> (unless otherwise certified)</w:t>
      </w:r>
      <w:r w:rsidRPr="00120F40">
        <w:t xml:space="preserve">, overhead lines of traditional electric locomotives are expensive and logistically complex (so limited to higher capacity lines). </w:t>
      </w:r>
      <w:r w:rsidR="003F033F">
        <w:t>B</w:t>
      </w:r>
      <w:r w:rsidR="00201C70" w:rsidRPr="00120F40">
        <w:t xml:space="preserve">attery electric propulsion may find applications for passenger trains operating over shorter distances, </w:t>
      </w:r>
      <w:r w:rsidR="003F033F">
        <w:t xml:space="preserve">but </w:t>
      </w:r>
      <w:r w:rsidR="00201C70" w:rsidRPr="00120F40">
        <w:t>h</w:t>
      </w:r>
      <w:r w:rsidRPr="00120F40">
        <w:t xml:space="preserve">ydrogen offers </w:t>
      </w:r>
      <w:r w:rsidR="00201C70" w:rsidRPr="00120F40">
        <w:t xml:space="preserve">longer range and </w:t>
      </w:r>
      <w:r w:rsidRPr="00120F40">
        <w:t xml:space="preserve">several advantages over electric </w:t>
      </w:r>
      <w:r w:rsidR="00DC7144" w:rsidRPr="00120F40">
        <w:t>pantograph</w:t>
      </w:r>
      <w:r w:rsidRPr="00120F40">
        <w:t xml:space="preserve"> locomotives</w:t>
      </w:r>
      <w:r w:rsidR="00201C70" w:rsidRPr="00120F40">
        <w:t xml:space="preserve"> utili</w:t>
      </w:r>
      <w:r w:rsidR="000D789F">
        <w:t>s</w:t>
      </w:r>
      <w:r w:rsidR="00201C70" w:rsidRPr="00120F40">
        <w:t xml:space="preserve">ing </w:t>
      </w:r>
      <w:r w:rsidR="00135B62" w:rsidRPr="00120F40">
        <w:t xml:space="preserve">overhead lines </w:t>
      </w:r>
      <w:r w:rsidRPr="00120F40">
        <w:t>, e.g</w:t>
      </w:r>
      <w:r w:rsidR="00523D36" w:rsidRPr="00120F40">
        <w:t xml:space="preserve">., </w:t>
      </w:r>
      <w:r w:rsidRPr="00120F40">
        <w:t xml:space="preserve">freedom of the locomotives to roam, relatively little infrastructure required and the option to secure a zero-carbon fuel supply. </w:t>
      </w:r>
    </w:p>
    <w:p w14:paraId="2C85A889" w14:textId="2F6D2E0D" w:rsidR="000100F4" w:rsidRPr="00B364CB" w:rsidRDefault="000100F4" w:rsidP="003C7D11">
      <w:pPr>
        <w:pStyle w:val="MAWP-Bodytext"/>
      </w:pPr>
      <w:r w:rsidRPr="00120F40">
        <w:t xml:space="preserve">Hydrogen is </w:t>
      </w:r>
      <w:r w:rsidR="008B4D14" w:rsidRPr="00120F40">
        <w:t xml:space="preserve">a </w:t>
      </w:r>
      <w:r w:rsidRPr="00120F40">
        <w:t xml:space="preserve">key enabling technology </w:t>
      </w:r>
      <w:r w:rsidR="00706ED2" w:rsidRPr="00120F40">
        <w:t>for</w:t>
      </w:r>
      <w:r w:rsidRPr="00120F40">
        <w:t xml:space="preserve"> decarboni</w:t>
      </w:r>
      <w:r w:rsidR="00E974C8">
        <w:t>s</w:t>
      </w:r>
      <w:r w:rsidRPr="00120F40">
        <w:t>ing rail transport as it can provide the most cost-effective solution for certain lines that are still operated</w:t>
      </w:r>
      <w:r w:rsidRPr="00B364CB">
        <w:t xml:space="preserve"> with diesel trains, by revamping diesel units or replacing existing trains with new hydrogen-powered ones. As well as regional passenger trains, FC trains could provide viable zero emission options for freight trains and shunting locomotives. The technology requires further </w:t>
      </w:r>
      <w:r w:rsidR="00523D36" w:rsidRPr="00B364CB">
        <w:t>development, adaptation,</w:t>
      </w:r>
      <w:r w:rsidRPr="00B364CB">
        <w:t xml:space="preserve"> optimi</w:t>
      </w:r>
      <w:r w:rsidR="00B776E1" w:rsidRPr="00B364CB">
        <w:t>s</w:t>
      </w:r>
      <w:r w:rsidRPr="00B364CB">
        <w:t xml:space="preserve">ation </w:t>
      </w:r>
      <w:r w:rsidR="00523D36" w:rsidRPr="00B364CB">
        <w:t>and</w:t>
      </w:r>
      <w:r w:rsidRPr="00B364CB">
        <w:t xml:space="preserve"> integrat</w:t>
      </w:r>
      <w:r w:rsidR="00523D36" w:rsidRPr="00B364CB">
        <w:t>ion</w:t>
      </w:r>
      <w:r w:rsidRPr="00B364CB">
        <w:t xml:space="preserve"> of </w:t>
      </w:r>
      <w:r w:rsidR="00523D36" w:rsidRPr="00B364CB">
        <w:t>flexible</w:t>
      </w:r>
      <w:r w:rsidRPr="00B364CB">
        <w:t xml:space="preserve"> FC components </w:t>
      </w:r>
      <w:r w:rsidR="00523D36" w:rsidRPr="00B364CB">
        <w:t xml:space="preserve">and systems </w:t>
      </w:r>
      <w:r w:rsidRPr="00B364CB">
        <w:t>into trains, and market deployment support to increase volumes and reduce costs. There is also considerable effort required around regulation for the use of hydrogen on railways.</w:t>
      </w:r>
    </w:p>
    <w:p w14:paraId="1E9F4F29" w14:textId="34E3E2BC" w:rsidR="000100F4" w:rsidRPr="00B364CB" w:rsidRDefault="000100F4" w:rsidP="003C7D11">
      <w:pPr>
        <w:pStyle w:val="MAWP-Bodytext"/>
      </w:pPr>
      <w:r w:rsidRPr="00B364CB">
        <w:t xml:space="preserve">A study of Shif2Rail and FCH 2 </w:t>
      </w:r>
      <w:r w:rsidR="000F25C2" w:rsidRPr="00B364CB">
        <w:t>JUs</w:t>
      </w:r>
      <w:bookmarkStart w:id="104" w:name="_Ref74929564"/>
      <w:r w:rsidR="00B62A84" w:rsidRPr="00B364CB">
        <w:rPr>
          <w:rStyle w:val="FootnoteReference"/>
        </w:rPr>
        <w:footnoteReference w:id="109"/>
      </w:r>
      <w:bookmarkEnd w:id="104"/>
      <w:r w:rsidR="000F25C2" w:rsidRPr="00B364CB">
        <w:rPr>
          <w:vertAlign w:val="superscript"/>
        </w:rPr>
        <w:t xml:space="preserve"> </w:t>
      </w:r>
      <w:r w:rsidR="000F25C2" w:rsidRPr="00B364CB">
        <w:t>pointed</w:t>
      </w:r>
      <w:r w:rsidRPr="00B364CB">
        <w:t xml:space="preserve"> out a good potential for fuel cells in the railway environment for the replacement of diesel rolling stock. Some of the cases evaluated already show a positive TCO for fuel cells, while in others this technology is recogni</w:t>
      </w:r>
      <w:r w:rsidR="00B776E1" w:rsidRPr="00B364CB">
        <w:t>s</w:t>
      </w:r>
      <w:r w:rsidRPr="00B364CB">
        <w:t>ed as the most adequate zero-emission alternative.</w:t>
      </w:r>
    </w:p>
    <w:p w14:paraId="60ACA4FE" w14:textId="6D152480" w:rsidR="000100F4" w:rsidRPr="00B364CB" w:rsidRDefault="000100F4">
      <w:pPr>
        <w:pStyle w:val="MAWPHeadingStyleLevel4"/>
        <w:rPr>
          <w:lang w:eastAsia="en-GB"/>
        </w:rPr>
      </w:pPr>
      <w:r w:rsidRPr="00B364CB">
        <w:rPr>
          <w:lang w:eastAsia="en-GB"/>
        </w:rPr>
        <w:t xml:space="preserve">State of </w:t>
      </w:r>
      <w:r w:rsidRPr="00B364CB">
        <w:t>the</w:t>
      </w:r>
      <w:r w:rsidRPr="00B364CB">
        <w:rPr>
          <w:lang w:eastAsia="en-GB"/>
        </w:rPr>
        <w:t xml:space="preserve"> Art </w:t>
      </w:r>
    </w:p>
    <w:p w14:paraId="5A42A0F4" w14:textId="257E26E2" w:rsidR="000100F4" w:rsidRPr="00B364CB" w:rsidRDefault="000100F4" w:rsidP="003C7D11">
      <w:pPr>
        <w:pStyle w:val="MAWP-Bodytext"/>
      </w:pPr>
      <w:r w:rsidRPr="00B364CB">
        <w:t>Europe has adopted a leading position on the integration and assembly of FC trains thanks to the innovative work from Alstom and Siemens. Whilst there is passenger train demonstration activity in Asia and Canada, it appears that Europe has the lead in this area especially with regards to the integration of the fuel cell drivetrain, the provision of large-scale infrastructure and regulation to allow the use of hydrogen on the railways.</w:t>
      </w:r>
    </w:p>
    <w:p w14:paraId="49259412" w14:textId="1C518999" w:rsidR="000100F4" w:rsidRPr="00B364CB" w:rsidRDefault="000100F4" w:rsidP="003C7D11">
      <w:pPr>
        <w:pStyle w:val="MAWP-Bodytext"/>
      </w:pPr>
      <w:r w:rsidRPr="00B364CB">
        <w:t xml:space="preserve">Three European companies are developing new hydrogen fuelled fuel cell trains. Use cases based on this technology indicate that TCO be within 5-20% more of conventional options </w:t>
      </w:r>
      <w:r w:rsidR="002B0911" w:rsidRPr="00B364CB">
        <w:lastRenderedPageBreak/>
        <w:t>(depending on cost of hydrogen):</w:t>
      </w:r>
    </w:p>
    <w:p w14:paraId="41AE51CD" w14:textId="4FBD58E0" w:rsidR="000100F4" w:rsidRPr="00B364CB" w:rsidRDefault="000100F4" w:rsidP="002256F6">
      <w:pPr>
        <w:pStyle w:val="MAWPBodyTextNumbered"/>
        <w:numPr>
          <w:ilvl w:val="0"/>
          <w:numId w:val="30"/>
        </w:numPr>
      </w:pPr>
      <w:r w:rsidRPr="00B364CB">
        <w:t>The Alstom iLint FC train</w:t>
      </w:r>
      <w:r w:rsidR="00E80901" w:rsidRPr="00B364CB">
        <w:rPr>
          <w:rStyle w:val="FootnoteReference"/>
        </w:rPr>
        <w:footnoteReference w:id="110"/>
      </w:r>
      <w:r w:rsidRPr="00B364CB">
        <w:t xml:space="preserve"> has a 400 kW FC, and a max range of 1</w:t>
      </w:r>
      <w:r w:rsidR="0060724C" w:rsidRPr="00B364CB">
        <w:t>,</w:t>
      </w:r>
      <w:r w:rsidRPr="00B364CB">
        <w:t xml:space="preserve">000 km (350 bar hydrogen, 260 kg stored on board) and can accommodate up to 300 passengers.  Capital costs are </w:t>
      </w:r>
      <w:r w:rsidR="00135B62" w:rsidRPr="00B364CB">
        <w:t xml:space="preserve">around </w:t>
      </w:r>
      <w:r w:rsidRPr="00B364CB">
        <w:t>€5.5</w:t>
      </w:r>
      <w:r w:rsidR="00991325" w:rsidRPr="00B364CB">
        <w:t xml:space="preserve"> million</w:t>
      </w:r>
      <w:r w:rsidRPr="00B364CB">
        <w:t xml:space="preserve"> (excluding </w:t>
      </w:r>
      <w:r w:rsidR="00140652" w:rsidRPr="00B364CB">
        <w:t>hydrogen</w:t>
      </w:r>
      <w:r w:rsidRPr="00B364CB">
        <w:t xml:space="preserve"> infrastructure). It has been approved for commercial operations in Germany, and 2 prototype trains have been in operation since 2018 with passenger service. </w:t>
      </w:r>
      <w:r w:rsidR="002D4CE7">
        <w:t xml:space="preserve">In Germany, </w:t>
      </w:r>
      <w:r w:rsidRPr="00B364CB">
        <w:t>41 trains have been ordered for delivery in 2021/2022, and letters of intent for a total of 60 trains have been signed</w:t>
      </w:r>
      <w:r w:rsidR="00B87174" w:rsidRPr="00B364CB">
        <w:t>;</w:t>
      </w:r>
      <w:r w:rsidR="002D4CE7">
        <w:t xml:space="preserve"> 1</w:t>
      </w:r>
      <w:r w:rsidR="002D4CE7" w:rsidRPr="00B364CB">
        <w:t xml:space="preserve">4 trains have been ordered </w:t>
      </w:r>
      <w:r w:rsidR="002D4CE7">
        <w:t xml:space="preserve">in France </w:t>
      </w:r>
      <w:r w:rsidR="002D4CE7" w:rsidRPr="00B364CB">
        <w:t xml:space="preserve">for delivery </w:t>
      </w:r>
      <w:r w:rsidR="002D4CE7">
        <w:t xml:space="preserve">from </w:t>
      </w:r>
      <w:r w:rsidR="002D4CE7" w:rsidRPr="00B364CB">
        <w:t>202</w:t>
      </w:r>
      <w:r w:rsidR="002D4CE7">
        <w:t>3.</w:t>
      </w:r>
    </w:p>
    <w:p w14:paraId="57850874" w14:textId="2A4FA6F2" w:rsidR="000100F4" w:rsidRPr="00B364CB" w:rsidRDefault="000100F4" w:rsidP="002256F6">
      <w:pPr>
        <w:pStyle w:val="MAWPBodyTextNumbered"/>
        <w:numPr>
          <w:ilvl w:val="0"/>
          <w:numId w:val="30"/>
        </w:numPr>
      </w:pPr>
      <w:bookmarkStart w:id="105" w:name="_Hlk65669729"/>
      <w:r w:rsidRPr="00B364CB">
        <w:t>Siemens are also working on a fuel cell version of their Mireo train</w:t>
      </w:r>
      <w:r w:rsidR="00E80901" w:rsidRPr="00B364CB">
        <w:rPr>
          <w:rStyle w:val="FootnoteReference"/>
        </w:rPr>
        <w:footnoteReference w:id="111"/>
      </w:r>
      <w:r w:rsidRPr="00B364CB">
        <w:t>, and there are plans to convert freight locomotives to use hydrogen (e.g.</w:t>
      </w:r>
      <w:r w:rsidR="00C34C6B" w:rsidRPr="00B364CB">
        <w:t>,</w:t>
      </w:r>
      <w:r w:rsidRPr="00B364CB">
        <w:t xml:space="preserve"> Latvian Railways). </w:t>
      </w:r>
      <w:bookmarkEnd w:id="105"/>
      <w:r w:rsidRPr="00B364CB">
        <w:t>In the UK a number of train operators are exploring conversion of existing rolling stock to use hydrogen (e.g</w:t>
      </w:r>
      <w:r w:rsidR="00A8334F" w:rsidRPr="00B364CB">
        <w:t>.,</w:t>
      </w:r>
      <w:r w:rsidRPr="00B364CB">
        <w:t xml:space="preserve"> Eversholt with Alstom)</w:t>
      </w:r>
      <w:r w:rsidR="00B87174" w:rsidRPr="00B364CB">
        <w:t>;</w:t>
      </w:r>
    </w:p>
    <w:p w14:paraId="25A221F5" w14:textId="39271846" w:rsidR="000100F4" w:rsidRPr="00B364CB" w:rsidRDefault="000100F4" w:rsidP="002256F6">
      <w:pPr>
        <w:pStyle w:val="MAWPBodyTextNumbered"/>
        <w:numPr>
          <w:ilvl w:val="0"/>
          <w:numId w:val="30"/>
        </w:numPr>
      </w:pPr>
      <w:r w:rsidRPr="00B364CB">
        <w:t>The hydrogen-powered FLIRT H2 train</w:t>
      </w:r>
      <w:r w:rsidR="00E80901" w:rsidRPr="00B364CB">
        <w:rPr>
          <w:rStyle w:val="FootnoteReference"/>
        </w:rPr>
        <w:footnoteReference w:id="112"/>
      </w:r>
      <w:r w:rsidRPr="00B364CB">
        <w:t xml:space="preserve"> from Stadler is planned to be introduced in 2024. The train is expected to have seating space for 108 </w:t>
      </w:r>
      <w:r w:rsidRPr="00A423EA">
        <w:t>passengers and in addition standing room, with a maximum speed of up to 130 km/h. A first</w:t>
      </w:r>
      <w:r w:rsidRPr="00B364CB">
        <w:t xml:space="preserve"> contract has been signed to supply a hydrogen-powered train to run in the United States.</w:t>
      </w:r>
    </w:p>
    <w:p w14:paraId="0C943741" w14:textId="7E6FC466" w:rsidR="00546A7D" w:rsidRPr="00B364CB" w:rsidRDefault="00546A7D" w:rsidP="002256F6">
      <w:pPr>
        <w:pStyle w:val="MAWPBodyTextNumbered"/>
        <w:numPr>
          <w:ilvl w:val="0"/>
          <w:numId w:val="30"/>
        </w:numPr>
      </w:pPr>
      <w:r w:rsidRPr="00B364CB">
        <w:rPr>
          <w:shd w:val="clear" w:color="auto" w:fill="FFFFFF"/>
        </w:rPr>
        <w:t>The project FCH2RAIL (</w:t>
      </w:r>
      <w:r w:rsidR="008B4D14" w:rsidRPr="00B364CB">
        <w:rPr>
          <w:shd w:val="clear" w:color="auto" w:fill="FFFFFF"/>
        </w:rPr>
        <w:t>FCH JU</w:t>
      </w:r>
      <w:r w:rsidRPr="00B364CB">
        <w:rPr>
          <w:shd w:val="clear" w:color="auto" w:fill="FFFFFF"/>
        </w:rPr>
        <w:t>),</w:t>
      </w:r>
      <w:r w:rsidR="00E80901" w:rsidRPr="00B364CB">
        <w:rPr>
          <w:rStyle w:val="FootnoteReference"/>
          <w:shd w:val="clear" w:color="auto" w:fill="FFFFFF"/>
        </w:rPr>
        <w:footnoteReference w:id="113"/>
      </w:r>
      <w:r w:rsidRPr="00B364CB">
        <w:rPr>
          <w:shd w:val="clear" w:color="auto" w:fill="FFFFFF"/>
        </w:rPr>
        <w:t xml:space="preserve"> “Extending the use cases for FC trains through innovative designs and streamlined administrative framework”, is going a step further by addressing: (a) </w:t>
      </w:r>
      <w:r w:rsidR="00DA5585" w:rsidRPr="00B364CB">
        <w:rPr>
          <w:shd w:val="clear" w:color="auto" w:fill="FFFFFF"/>
        </w:rPr>
        <w:t>b</w:t>
      </w:r>
      <w:r w:rsidRPr="00B364CB">
        <w:rPr>
          <w:shd w:val="clear" w:color="auto" w:fill="FFFFFF"/>
        </w:rPr>
        <w:t xml:space="preserve">i-mode solutions for efficient operation on partially electrified lines; (b) </w:t>
      </w:r>
      <w:r w:rsidR="00EF125F" w:rsidRPr="00B364CB">
        <w:rPr>
          <w:shd w:val="clear" w:color="auto" w:fill="FFFFFF"/>
        </w:rPr>
        <w:t>t</w:t>
      </w:r>
      <w:r w:rsidRPr="00B364CB">
        <w:rPr>
          <w:shd w:val="clear" w:color="auto" w:fill="FFFFFF"/>
        </w:rPr>
        <w:t xml:space="preserve">ransformation and retrofitting of existing trains to </w:t>
      </w:r>
      <w:r w:rsidR="00140652" w:rsidRPr="00B364CB">
        <w:rPr>
          <w:shd w:val="clear" w:color="auto" w:fill="FFFFFF"/>
        </w:rPr>
        <w:t>hydrogen</w:t>
      </w:r>
      <w:r w:rsidRPr="00B364CB">
        <w:rPr>
          <w:shd w:val="clear" w:color="auto" w:fill="FFFFFF"/>
        </w:rPr>
        <w:t xml:space="preserve"> clean propulsion and; (c) </w:t>
      </w:r>
      <w:r w:rsidRPr="00B364CB">
        <w:t xml:space="preserve">cross-border certification of </w:t>
      </w:r>
      <w:r w:rsidR="00140652" w:rsidRPr="00B364CB">
        <w:t>hydrogen</w:t>
      </w:r>
      <w:r w:rsidRPr="00B364CB">
        <w:t xml:space="preserve"> trains. An on-track demonstrator on a CAF/Renfe Train with Toyota Motor Europe fuel cells will be available by 2023.</w:t>
      </w:r>
    </w:p>
    <w:p w14:paraId="501B9D02" w14:textId="77777777" w:rsidR="000A73E7" w:rsidRPr="00B364CB" w:rsidRDefault="000A73E7" w:rsidP="009D707B">
      <w:pPr>
        <w:pStyle w:val="MAWPHeadingStyleLevel4"/>
      </w:pPr>
      <w:r w:rsidRPr="00B364CB">
        <w:t>Objectives</w:t>
      </w:r>
    </w:p>
    <w:p w14:paraId="57FD8959" w14:textId="42B37ABC" w:rsidR="000100F4" w:rsidRDefault="000100F4" w:rsidP="003C7D11">
      <w:pPr>
        <w:pStyle w:val="MAWP-Bodytext"/>
      </w:pPr>
      <w:r w:rsidRPr="00B364CB">
        <w:t>The areas singled out for support have been selected with the end goal in sight of enabling hydrogen to be recogni</w:t>
      </w:r>
      <w:r w:rsidR="00B776E1" w:rsidRPr="00B364CB">
        <w:t>s</w:t>
      </w:r>
      <w:r w:rsidRPr="00B364CB">
        <w:t>ed as the leading option for trains on non-electrified routes</w:t>
      </w:r>
      <w:r w:rsidR="00546A7D" w:rsidRPr="00B364CB">
        <w:t xml:space="preserve"> or partially electrified routes</w:t>
      </w:r>
      <w:r w:rsidRPr="00B364CB">
        <w:t>, with 1 in 5 trains sold for non-electrified railways are powered by hydrogen</w:t>
      </w:r>
      <w:r w:rsidR="00A55053" w:rsidRPr="00E4788A">
        <w:rPr>
          <w:vertAlign w:val="superscript"/>
        </w:rPr>
        <w:fldChar w:fldCharType="begin"/>
      </w:r>
      <w:r w:rsidR="00A55053" w:rsidRPr="00E4788A">
        <w:rPr>
          <w:vertAlign w:val="superscript"/>
        </w:rPr>
        <w:instrText xml:space="preserve"> NOTEREF _Ref74929564 \h </w:instrText>
      </w:r>
      <w:r w:rsidR="00A55053">
        <w:rPr>
          <w:vertAlign w:val="superscript"/>
        </w:rPr>
        <w:instrText xml:space="preserve"> \* MERGEFORMAT </w:instrText>
      </w:r>
      <w:r w:rsidR="00A55053" w:rsidRPr="00E4788A">
        <w:rPr>
          <w:vertAlign w:val="superscript"/>
        </w:rPr>
      </w:r>
      <w:r w:rsidR="00A55053" w:rsidRPr="00E4788A">
        <w:rPr>
          <w:vertAlign w:val="superscript"/>
        </w:rPr>
        <w:fldChar w:fldCharType="separate"/>
      </w:r>
      <w:r w:rsidR="00331EBC">
        <w:rPr>
          <w:vertAlign w:val="superscript"/>
        </w:rPr>
        <w:t>97</w:t>
      </w:r>
      <w:r w:rsidR="00A55053" w:rsidRPr="00E4788A">
        <w:rPr>
          <w:vertAlign w:val="superscript"/>
        </w:rPr>
        <w:fldChar w:fldCharType="end"/>
      </w:r>
      <w:r w:rsidRPr="00B364CB">
        <w:t xml:space="preserve">. </w:t>
      </w:r>
    </w:p>
    <w:p w14:paraId="2728620A" w14:textId="77777777" w:rsidR="006B665A" w:rsidRDefault="006B665A" w:rsidP="006B665A">
      <w:pPr>
        <w:pStyle w:val="MAWPBodyTextNumbered"/>
        <w:numPr>
          <w:ilvl w:val="0"/>
          <w:numId w:val="0"/>
        </w:numPr>
      </w:pPr>
      <w:r>
        <w:t xml:space="preserve">Overall, </w:t>
      </w:r>
      <w:r w:rsidRPr="00B364CB">
        <w:t xml:space="preserve">R&amp;D actions in this area have the following objectives: </w:t>
      </w:r>
    </w:p>
    <w:p w14:paraId="5345D14E" w14:textId="6DD5E362" w:rsidR="006B665A" w:rsidRPr="00C22E40" w:rsidRDefault="006B665A" w:rsidP="002256F6">
      <w:pPr>
        <w:pStyle w:val="MAWPBodyTextNumbered"/>
        <w:numPr>
          <w:ilvl w:val="0"/>
          <w:numId w:val="57"/>
        </w:numPr>
      </w:pPr>
      <w:r w:rsidRPr="00B364CB">
        <w:t xml:space="preserve">Reducing the </w:t>
      </w:r>
      <w:r>
        <w:t xml:space="preserve">cost of </w:t>
      </w:r>
      <w:r w:rsidRPr="00C22E40">
        <w:t>stacks;</w:t>
      </w:r>
    </w:p>
    <w:p w14:paraId="1BB1270D" w14:textId="77777777" w:rsidR="00097706" w:rsidRDefault="00097706" w:rsidP="002256F6">
      <w:pPr>
        <w:pStyle w:val="MAWPBodyTextNumbered"/>
        <w:numPr>
          <w:ilvl w:val="0"/>
          <w:numId w:val="57"/>
        </w:numPr>
      </w:pPr>
      <w:r>
        <w:t>Improving reliability and durability at stack and FC system;</w:t>
      </w:r>
    </w:p>
    <w:p w14:paraId="3EBE1419" w14:textId="2047E278" w:rsidR="006B665A" w:rsidRDefault="006B665A" w:rsidP="002256F6">
      <w:pPr>
        <w:pStyle w:val="MAWPBodyTextNumbered"/>
        <w:numPr>
          <w:ilvl w:val="0"/>
          <w:numId w:val="48"/>
        </w:numPr>
      </w:pPr>
      <w:r>
        <w:t xml:space="preserve">Improving </w:t>
      </w:r>
      <w:r w:rsidR="00097706">
        <w:t>power output while reducing weight and dimension of the module;</w:t>
      </w:r>
      <w:r w:rsidR="00097706" w:rsidDel="00097706">
        <w:t xml:space="preserve"> </w:t>
      </w:r>
    </w:p>
    <w:p w14:paraId="68173A71" w14:textId="4F555D7C" w:rsidR="006B665A" w:rsidRDefault="006B665A" w:rsidP="002256F6">
      <w:pPr>
        <w:pStyle w:val="MAWPBodyTextNumbered"/>
        <w:numPr>
          <w:ilvl w:val="0"/>
          <w:numId w:val="48"/>
        </w:numPr>
      </w:pPr>
      <w:r w:rsidRPr="00B41CB1">
        <w:t xml:space="preserve">Improvements in </w:t>
      </w:r>
      <w:r>
        <w:t>train</w:t>
      </w:r>
      <w:r w:rsidRPr="00B41CB1">
        <w:t xml:space="preserve"> design and safety procedures</w:t>
      </w:r>
      <w:r w:rsidR="00C71638">
        <w:t>;</w:t>
      </w:r>
    </w:p>
    <w:p w14:paraId="18F0326B" w14:textId="167DFE56" w:rsidR="00C71638" w:rsidRDefault="00C71638" w:rsidP="002256F6">
      <w:pPr>
        <w:pStyle w:val="MAWPBodyTextNumbered"/>
        <w:numPr>
          <w:ilvl w:val="0"/>
          <w:numId w:val="48"/>
        </w:numPr>
      </w:pPr>
      <w:r w:rsidRPr="00B41CB1">
        <w:t xml:space="preserve">Supporting the roll out of FC </w:t>
      </w:r>
      <w:r>
        <w:t xml:space="preserve">trains, by providing </w:t>
      </w:r>
      <w:r w:rsidR="00097706">
        <w:t>the viability of the FCH solution in the train transport segment</w:t>
      </w:r>
      <w:r>
        <w:t>.</w:t>
      </w:r>
    </w:p>
    <w:p w14:paraId="306B5797" w14:textId="7111ACCD" w:rsidR="006B665A" w:rsidRDefault="00BA4C01" w:rsidP="00BA4C01">
      <w:pPr>
        <w:pStyle w:val="MAWP-Bodytext"/>
      </w:pPr>
      <w:r w:rsidRPr="00CE70C1">
        <w:t xml:space="preserve">In order to contribute towards achieving the above objectives, the following areas of research and development appear as good candidates for the support by the </w:t>
      </w:r>
      <w:r w:rsidR="00831A2C">
        <w:t xml:space="preserve">Clean Hydrogen </w:t>
      </w:r>
      <w:r w:rsidRPr="00CE70C1">
        <w:t>JU.</w:t>
      </w:r>
    </w:p>
    <w:p w14:paraId="0DCA35F4" w14:textId="77777777" w:rsidR="00177E9A" w:rsidRPr="00B364CB" w:rsidRDefault="00177E9A" w:rsidP="002B0911">
      <w:pPr>
        <w:pStyle w:val="MAWPHeadingStyleLevel4"/>
      </w:pPr>
      <w:r w:rsidRPr="00B364CB">
        <w:t>R&amp;D Priorities - Early Stage Research Actions</w:t>
      </w:r>
    </w:p>
    <w:p w14:paraId="0AF40B8F" w14:textId="2E0779C5" w:rsidR="00177E9A" w:rsidRPr="00B364CB" w:rsidRDefault="00177E9A" w:rsidP="003C7D11">
      <w:pPr>
        <w:pStyle w:val="MAWP-Bodytext"/>
      </w:pPr>
      <w:r w:rsidRPr="00B364CB">
        <w:lastRenderedPageBreak/>
        <w:t>Due to the FC trains already achieving a high TRL (6)</w:t>
      </w:r>
      <w:r w:rsidR="00D035EA" w:rsidRPr="00B364CB">
        <w:t>,</w:t>
      </w:r>
      <w:r w:rsidRPr="00B364CB">
        <w:t xml:space="preserve"> no early phase development projects will be funded.</w:t>
      </w:r>
    </w:p>
    <w:p w14:paraId="39C47DD7" w14:textId="77777777" w:rsidR="00177E9A" w:rsidRPr="00B364CB" w:rsidRDefault="00177E9A" w:rsidP="00177E9A">
      <w:pPr>
        <w:pStyle w:val="MAWPHeadingStyleLevel4"/>
        <w:rPr>
          <w:lang w:eastAsia="en-GB"/>
        </w:rPr>
      </w:pPr>
      <w:r w:rsidRPr="00B364CB">
        <w:t xml:space="preserve">R&amp;D Priorities - </w:t>
      </w:r>
      <w:r w:rsidRPr="00B364CB">
        <w:rPr>
          <w:lang w:eastAsia="en-GB"/>
        </w:rPr>
        <w:t>Development Research Actions</w:t>
      </w:r>
    </w:p>
    <w:p w14:paraId="6816F4A7" w14:textId="6AD665B7" w:rsidR="000100F4" w:rsidRPr="00B364CB" w:rsidRDefault="000100F4" w:rsidP="003C7D11">
      <w:pPr>
        <w:pStyle w:val="MAWPBodytextbullets"/>
      </w:pPr>
      <w:r w:rsidRPr="00B364CB">
        <w:t>Designing new concepts for on board bulk hydrogen storage e.g</w:t>
      </w:r>
      <w:r w:rsidR="00A57111" w:rsidRPr="00B364CB">
        <w:t>.,</w:t>
      </w:r>
      <w:r w:rsidRPr="00B364CB">
        <w:t xml:space="preserve"> cryo-compressed hydrogen or liquid storage</w:t>
      </w:r>
      <w:r w:rsidR="00B87174" w:rsidRPr="00B364CB">
        <w:t>;</w:t>
      </w:r>
    </w:p>
    <w:p w14:paraId="53B489E7" w14:textId="3E0918F6" w:rsidR="000100F4" w:rsidRPr="00B364CB" w:rsidRDefault="000100F4" w:rsidP="003C7D11">
      <w:pPr>
        <w:pStyle w:val="MAWPBodytextbullets"/>
      </w:pPr>
      <w:r w:rsidRPr="00B364CB">
        <w:t>Developing novel hybrid systems to optimise component sizing – Fuel cell specific train architecture. To date train architecture has been based on retrofit of existing components – there is space to optimise (e.g</w:t>
      </w:r>
      <w:r w:rsidR="00A57111" w:rsidRPr="00B364CB">
        <w:t>.,</w:t>
      </w:r>
      <w:r w:rsidRPr="00B364CB">
        <w:t xml:space="preserve"> space for hydrogen storage, use of waste heat) in purpose-built designs</w:t>
      </w:r>
      <w:r w:rsidR="00B87174" w:rsidRPr="00B364CB">
        <w:t>;</w:t>
      </w:r>
    </w:p>
    <w:p w14:paraId="48302F21" w14:textId="4AEB1033" w:rsidR="00546A7D" w:rsidRPr="00B364CB" w:rsidRDefault="00546A7D" w:rsidP="003C7D11">
      <w:pPr>
        <w:pStyle w:val="MAWPBodytextbullets"/>
      </w:pPr>
      <w:r w:rsidRPr="00B364CB">
        <w:t>Developing new optimised bi-mode system architectures integrating FC systems with new generation power electronics and battery technology to achieve balanced solutions s</w:t>
      </w:r>
      <w:r w:rsidR="00644597">
        <w:t xml:space="preserve">uitable for efficient partially </w:t>
      </w:r>
      <w:r w:rsidRPr="00B364CB">
        <w:t>electrified operation.</w:t>
      </w:r>
    </w:p>
    <w:p w14:paraId="501B3796" w14:textId="3CE470DB" w:rsidR="000100F4" w:rsidRPr="00B364CB" w:rsidRDefault="000100F4" w:rsidP="003C7D11">
      <w:pPr>
        <w:pStyle w:val="MAWPBodytextbullets"/>
      </w:pPr>
      <w:r w:rsidRPr="00B364CB">
        <w:t xml:space="preserve">Ensuring performance of very high capacity </w:t>
      </w:r>
      <w:r w:rsidR="009D7A6E" w:rsidRPr="00B364CB">
        <w:t>HRS</w:t>
      </w:r>
      <w:r w:rsidRPr="00B364CB">
        <w:t xml:space="preserve"> (i.e. hydrogen infrastructure) </w:t>
      </w:r>
      <w:r w:rsidR="006F5B30" w:rsidRPr="00B364CB">
        <w:t xml:space="preserve">can </w:t>
      </w:r>
      <w:r w:rsidRPr="00B364CB">
        <w:t>meet railway technical, operational and safety specific constraints, in order to optimi</w:t>
      </w:r>
      <w:r w:rsidR="00B776E1" w:rsidRPr="00B364CB">
        <w:t>s</w:t>
      </w:r>
      <w:r w:rsidRPr="00B364CB">
        <w:t>e production &amp; distribution costs.</w:t>
      </w:r>
    </w:p>
    <w:p w14:paraId="79F633BC" w14:textId="77777777" w:rsidR="00177E9A" w:rsidRPr="00B364CB" w:rsidRDefault="00177E9A" w:rsidP="003C7D11">
      <w:pPr>
        <w:pStyle w:val="MAWPHeadingStyleLevel4"/>
        <w:rPr>
          <w:lang w:eastAsia="en-GB"/>
        </w:rPr>
      </w:pPr>
      <w:r w:rsidRPr="00B364CB">
        <w:rPr>
          <w:lang w:eastAsia="en-GB"/>
        </w:rPr>
        <w:t>R&amp;D Priorities - Demonstration Actions</w:t>
      </w:r>
    </w:p>
    <w:p w14:paraId="3CD5F0BD" w14:textId="15C8EA63" w:rsidR="000100F4" w:rsidRPr="00B364CB" w:rsidRDefault="000100F4" w:rsidP="003C7D11">
      <w:pPr>
        <w:pStyle w:val="MAWPBodytextbullets"/>
      </w:pPr>
      <w:r w:rsidRPr="00B364CB">
        <w:t xml:space="preserve">Ensure early </w:t>
      </w:r>
      <w:r w:rsidR="008B4D14" w:rsidRPr="00B364CB">
        <w:t xml:space="preserve">demonstration </w:t>
      </w:r>
      <w:r w:rsidRPr="00B364CB">
        <w:t>of trains of different types including local freight and shunting locomotives</w:t>
      </w:r>
      <w:r w:rsidR="00B87174" w:rsidRPr="00B364CB">
        <w:t>;</w:t>
      </w:r>
    </w:p>
    <w:p w14:paraId="76815D65" w14:textId="19A13366" w:rsidR="000100F4" w:rsidRPr="00B364CB" w:rsidRDefault="000100F4" w:rsidP="003C7D11">
      <w:pPr>
        <w:pStyle w:val="MAWPBodytextbullets"/>
      </w:pPr>
      <w:r w:rsidRPr="00B364CB">
        <w:t>Validate the commercial and environmental performance of the trains (and hence the claim of being the lowest cost zero emission option for non-electrified routes)</w:t>
      </w:r>
      <w:r w:rsidR="00B87174" w:rsidRPr="00B364CB">
        <w:t>;</w:t>
      </w:r>
    </w:p>
    <w:p w14:paraId="10D12B70" w14:textId="08AA6A86" w:rsidR="00D035EA" w:rsidRPr="00B364CB" w:rsidRDefault="000100F4" w:rsidP="003C7D11">
      <w:pPr>
        <w:pStyle w:val="MAWPBodytextbullets"/>
      </w:pPr>
      <w:r w:rsidRPr="00B364CB">
        <w:t xml:space="preserve">Test very high capacity </w:t>
      </w:r>
      <w:r w:rsidR="00B87174" w:rsidRPr="00B364CB">
        <w:t>refuelling</w:t>
      </w:r>
      <w:r w:rsidRPr="00B364CB">
        <w:t xml:space="preserve"> stations</w:t>
      </w:r>
      <w:r w:rsidR="006F5B30" w:rsidRPr="00B364CB">
        <w:t xml:space="preserve"> adapted to the specificities of rail applications</w:t>
      </w:r>
      <w:r w:rsidRPr="00B364CB">
        <w:t>.</w:t>
      </w:r>
    </w:p>
    <w:p w14:paraId="045328ED" w14:textId="22CA6969" w:rsidR="00177E9A" w:rsidRPr="00B364CB" w:rsidRDefault="00B87174" w:rsidP="003C7D11">
      <w:pPr>
        <w:pStyle w:val="MAWPBodytextbullets"/>
      </w:pPr>
      <w:r w:rsidRPr="00B364CB">
        <w:t>P</w:t>
      </w:r>
      <w:r w:rsidR="000100F4" w:rsidRPr="00B364CB">
        <w:t>rojects could also help to develop maintenance and support strategies for the vehicles and provide a basis to develop regulations to enable FC trains and hydrogen use across Europe</w:t>
      </w:r>
      <w:r w:rsidR="00177E9A" w:rsidRPr="00B364CB">
        <w:t>.</w:t>
      </w:r>
    </w:p>
    <w:p w14:paraId="2945A234" w14:textId="77777777" w:rsidR="00177E9A" w:rsidRPr="00B364CB" w:rsidRDefault="00177E9A" w:rsidP="00177E9A">
      <w:pPr>
        <w:pStyle w:val="MAWPHeadingStyleLevel4"/>
      </w:pPr>
      <w:r w:rsidRPr="00B364CB">
        <w:t>Flagship Actions</w:t>
      </w:r>
    </w:p>
    <w:p w14:paraId="1C118C47" w14:textId="58DF4B72" w:rsidR="000100F4" w:rsidRPr="00B364CB" w:rsidRDefault="00D035EA" w:rsidP="003C7D11">
      <w:pPr>
        <w:pStyle w:val="MAWP-Bodytext"/>
      </w:pPr>
      <w:r w:rsidRPr="00B364CB">
        <w:t xml:space="preserve">Early deployment of around </w:t>
      </w:r>
      <w:r w:rsidR="000100F4" w:rsidRPr="00B364CB">
        <w:t>100 trains across Europe to enable OEMs to begin standardised production and establish the technology as a mainstream option for Europe’s train specifiers. Initial financial aid will help increase the scale of the technology across Europe as well as support the integration of hydrogen refuelling infrastructure across the continent.</w:t>
      </w:r>
    </w:p>
    <w:p w14:paraId="683F3F68" w14:textId="6CE7F69C" w:rsidR="000100F4" w:rsidRPr="00B364CB" w:rsidRDefault="000100F4" w:rsidP="002B0911">
      <w:pPr>
        <w:pStyle w:val="MAWPHeadingStyleLevel4"/>
        <w:rPr>
          <w:lang w:eastAsia="en-GB"/>
        </w:rPr>
      </w:pPr>
      <w:r w:rsidRPr="00B364CB">
        <w:rPr>
          <w:lang w:eastAsia="en-GB"/>
        </w:rPr>
        <w:t xml:space="preserve">Synergies </w:t>
      </w:r>
    </w:p>
    <w:p w14:paraId="305F7E5D" w14:textId="490A4274" w:rsidR="00D035EA" w:rsidRPr="00B364CB" w:rsidRDefault="00D035EA" w:rsidP="00D035EA">
      <w:pPr>
        <w:pStyle w:val="MAWP-Bodytext"/>
      </w:pPr>
      <w:r w:rsidRPr="00B364CB">
        <w:t xml:space="preserve">Possible synergies should be examined with </w:t>
      </w:r>
      <w:r w:rsidR="000100F4" w:rsidRPr="00B364CB">
        <w:t xml:space="preserve">the Europe's Rail </w:t>
      </w:r>
      <w:r w:rsidR="002B7AE5">
        <w:t>p</w:t>
      </w:r>
      <w:r w:rsidR="000100F4" w:rsidRPr="00B364CB">
        <w:t>artnership</w:t>
      </w:r>
      <w:r w:rsidRPr="00B364CB">
        <w:t>,</w:t>
      </w:r>
      <w:r w:rsidR="000100F4" w:rsidRPr="00B364CB">
        <w:t xml:space="preserve"> as well as other funding sources – most notably CEF transport and CEF transport blending facilities for mass deployment of FC trains </w:t>
      </w:r>
      <w:r w:rsidR="008B4D14" w:rsidRPr="00B364CB">
        <w:t xml:space="preserve">above </w:t>
      </w:r>
      <w:r w:rsidR="000100F4" w:rsidRPr="00B364CB">
        <w:t xml:space="preserve">and the required hydrogen </w:t>
      </w:r>
      <w:r w:rsidR="00855B1B" w:rsidRPr="00B364CB">
        <w:t>refuelling</w:t>
      </w:r>
      <w:r w:rsidR="000100F4" w:rsidRPr="00B364CB">
        <w:t xml:space="preserve"> infrastructure.</w:t>
      </w:r>
      <w:r w:rsidRPr="00B364CB">
        <w:t xml:space="preserve"> See Section </w:t>
      </w:r>
      <w:r w:rsidRPr="00B364CB">
        <w:fldChar w:fldCharType="begin"/>
      </w:r>
      <w:r w:rsidRPr="00B364CB">
        <w:instrText xml:space="preserve"> REF _Ref55249545 \r \h  \* MERGEFORMAT </w:instrText>
      </w:r>
      <w:r w:rsidRPr="00B364CB">
        <w:fldChar w:fldCharType="separate"/>
      </w:r>
      <w:r w:rsidR="00331EBC">
        <w:t>4.1</w:t>
      </w:r>
      <w:r w:rsidRPr="00B364CB">
        <w:fldChar w:fldCharType="end"/>
      </w:r>
      <w:r w:rsidRPr="00B364CB">
        <w:t xml:space="preserve"> </w:t>
      </w:r>
      <w:r w:rsidR="00B77E48">
        <w:t xml:space="preserve">and Annex 7 </w:t>
      </w:r>
      <w:r w:rsidRPr="00B364CB">
        <w:t xml:space="preserve">for more details on the synergies. </w:t>
      </w:r>
    </w:p>
    <w:p w14:paraId="432916D8" w14:textId="23528CD2" w:rsidR="009D6741" w:rsidRPr="00B364CB" w:rsidRDefault="000100F4" w:rsidP="006802D3">
      <w:pPr>
        <w:pStyle w:val="MAWPsubtitle2"/>
      </w:pPr>
      <w:bookmarkStart w:id="106" w:name="_Toc51656742"/>
      <w:bookmarkStart w:id="107" w:name="_Toc64640562"/>
      <w:bookmarkStart w:id="108" w:name="_Toc93907330"/>
      <w:r w:rsidRPr="00B364CB">
        <w:t>Aeronautic applications</w:t>
      </w:r>
      <w:bookmarkEnd w:id="106"/>
      <w:bookmarkEnd w:id="107"/>
      <w:bookmarkEnd w:id="108"/>
    </w:p>
    <w:p w14:paraId="613B13B9" w14:textId="77777777" w:rsidR="006224E4" w:rsidRPr="00B364CB" w:rsidRDefault="006224E4" w:rsidP="006224E4">
      <w:pPr>
        <w:pStyle w:val="MAWPHeadingStyleLevel4"/>
      </w:pPr>
      <w:r w:rsidRPr="00B364CB">
        <w:t>Rationale for Support</w:t>
      </w:r>
    </w:p>
    <w:p w14:paraId="6A49DC9F" w14:textId="2834F2DB" w:rsidR="004D2F0B" w:rsidRPr="00B364CB" w:rsidRDefault="004D2F0B" w:rsidP="004D2F0B">
      <w:pPr>
        <w:pStyle w:val="MAWP-Bodytext"/>
      </w:pPr>
      <w:r w:rsidRPr="00B364CB">
        <w:t xml:space="preserve">By 2030, FCs are expected to be increasingly used for auxiliary power units &amp; ground power units but also propulsion in civil aircraft. A selection of FC aviation models will achieve full certification and </w:t>
      </w:r>
      <w:r w:rsidR="00525C32">
        <w:t>will be</w:t>
      </w:r>
      <w:r w:rsidR="00525C32" w:rsidRPr="00B364CB">
        <w:t xml:space="preserve"> </w:t>
      </w:r>
      <w:r w:rsidRPr="00B364CB">
        <w:t>in real-world operation, including small passenger planes (</w:t>
      </w:r>
      <w:r w:rsidR="002E5583" w:rsidRPr="00B364CB">
        <w:t xml:space="preserve">up to </w:t>
      </w:r>
      <w:r w:rsidRPr="00B364CB">
        <w:t>50 seats). The first demonstration (ground, in-flight) of a LH</w:t>
      </w:r>
      <w:r w:rsidRPr="00E4788A">
        <w:rPr>
          <w:vertAlign w:val="subscript"/>
        </w:rPr>
        <w:t>2</w:t>
      </w:r>
      <w:r w:rsidRPr="00B364CB">
        <w:t xml:space="preserve"> propulsion aircraft (</w:t>
      </w:r>
      <w:r w:rsidR="008564D8" w:rsidRPr="00B364CB">
        <w:t>f</w:t>
      </w:r>
      <w:r w:rsidRPr="00B364CB">
        <w:t xml:space="preserve">uel cell / turbine) </w:t>
      </w:r>
      <w:r w:rsidRPr="00B364CB">
        <w:lastRenderedPageBreak/>
        <w:t>is expected</w:t>
      </w:r>
      <w:r w:rsidR="00525C32">
        <w:t xml:space="preserve"> by 2024</w:t>
      </w:r>
      <w:r w:rsidR="00520A3C">
        <w:rPr>
          <w:rStyle w:val="FootnoteReference"/>
        </w:rPr>
        <w:footnoteReference w:id="114"/>
      </w:r>
      <w:r w:rsidRPr="00B364CB">
        <w:t>.</w:t>
      </w:r>
    </w:p>
    <w:p w14:paraId="53A0E4CC" w14:textId="27FF322B" w:rsidR="000100F4" w:rsidRPr="00B364CB" w:rsidRDefault="000100F4" w:rsidP="003C7D11">
      <w:pPr>
        <w:pStyle w:val="MAWP-Bodytext"/>
      </w:pPr>
      <w:r w:rsidRPr="00B364CB">
        <w:t xml:space="preserve">The target of </w:t>
      </w:r>
      <w:r w:rsidR="00B62A84" w:rsidRPr="00B364CB">
        <w:t xml:space="preserve">net </w:t>
      </w:r>
      <w:r w:rsidR="003C7D11" w:rsidRPr="00B364CB">
        <w:t>zero</w:t>
      </w:r>
      <w:r w:rsidR="00B62A84" w:rsidRPr="00B364CB">
        <w:t xml:space="preserve"> carbon</w:t>
      </w:r>
      <w:r w:rsidRPr="00B364CB">
        <w:t xml:space="preserve"> of aviation in 2050 will be reached only by a combination of all available levers, such as technology, </w:t>
      </w:r>
      <w:r w:rsidR="001C628E" w:rsidRPr="00E4788A">
        <w:t>air traffic management</w:t>
      </w:r>
      <w:r w:rsidRPr="00B364CB">
        <w:t xml:space="preserve">, but also sustainable alternative fuels. Hydrogen presents a strong potential used in fuel cells or in dedicated turbines. </w:t>
      </w:r>
      <w:r w:rsidR="001016EC" w:rsidRPr="00B364CB">
        <w:t>However</w:t>
      </w:r>
      <w:r w:rsidRPr="00B364CB">
        <w:t xml:space="preserve">, key technologies remain to be developed and demonstrated within the framework of </w:t>
      </w:r>
      <w:r w:rsidR="004A6A5A">
        <w:t xml:space="preserve">the </w:t>
      </w:r>
      <w:r w:rsidRPr="00B364CB">
        <w:t>Clean Hydrogen and Clean Aviation partnerships.</w:t>
      </w:r>
    </w:p>
    <w:p w14:paraId="5E7636CE" w14:textId="670495A8" w:rsidR="000100F4" w:rsidRPr="00B364CB" w:rsidRDefault="000100F4" w:rsidP="003C7D11">
      <w:pPr>
        <w:pStyle w:val="MAWP-Bodytext"/>
      </w:pPr>
      <w:r w:rsidRPr="00B364CB">
        <w:t>High power FC</w:t>
      </w:r>
      <w:r w:rsidR="00850091" w:rsidRPr="00B364CB">
        <w:t>s</w:t>
      </w:r>
      <w:r w:rsidRPr="00B364CB">
        <w:t xml:space="preserve"> (1.5 MW) are yet to be developed in order to address the propulsion of small</w:t>
      </w:r>
      <w:r w:rsidR="001016EC" w:rsidRPr="00B364CB">
        <w:t xml:space="preserve">, Regional and Short-Medium Range </w:t>
      </w:r>
      <w:r w:rsidR="008564D8" w:rsidRPr="00B364CB">
        <w:t xml:space="preserve">(RSMR) </w:t>
      </w:r>
      <w:r w:rsidRPr="00B364CB">
        <w:t xml:space="preserve">commercial aircrafts, as well as key technologies such as </w:t>
      </w:r>
      <w:r w:rsidR="00850091" w:rsidRPr="00B364CB">
        <w:t>tailored</w:t>
      </w:r>
      <w:r w:rsidRPr="00B364CB">
        <w:t xml:space="preserve"> liquid hydrogen tanks and fuel systems.</w:t>
      </w:r>
      <w:r w:rsidR="001016EC" w:rsidRPr="00B364CB">
        <w:t xml:space="preserve"> Low NOx emitting hydrogen combustion turbines are also needed for larger aircrafts.</w:t>
      </w:r>
    </w:p>
    <w:p w14:paraId="4072242E" w14:textId="1B6807F4" w:rsidR="002B0911" w:rsidRPr="00B364CB" w:rsidRDefault="002B0911" w:rsidP="003C7D11">
      <w:pPr>
        <w:pStyle w:val="MAWP-Bodytext"/>
      </w:pPr>
      <w:r w:rsidRPr="00B364CB">
        <w:t>Aeronautics is one of the EU’s key high-tech sectors on the global market. With world leading aircraft companies (i.e</w:t>
      </w:r>
      <w:r w:rsidR="00A57111" w:rsidRPr="00B364CB">
        <w:t>.,</w:t>
      </w:r>
      <w:r w:rsidRPr="00B364CB">
        <w:t xml:space="preserve"> AIRBUS, SAFRAN, Rolls-Royce and research institutes such as DLR) and expertise in fuel cell technologies, Europe could play a vital role in driving the transformation of aviation to reduce emissions. The potential economic gains of this area are large - in the </w:t>
      </w:r>
      <w:r w:rsidR="00CF1424" w:rsidRPr="00B364CB">
        <w:t>unmanned aerial vehicle (UAV)</w:t>
      </w:r>
      <w:r w:rsidRPr="00B364CB">
        <w:t xml:space="preserve"> market alone, the EU could have a market share of </w:t>
      </w:r>
      <w:r w:rsidR="008564D8" w:rsidRPr="00B364CB">
        <w:t xml:space="preserve">approximately </w:t>
      </w:r>
      <w:r w:rsidRPr="00B364CB">
        <w:t>€1.2 billion p</w:t>
      </w:r>
      <w:r w:rsidR="00546A7D" w:rsidRPr="00B364CB">
        <w:t xml:space="preserve">er </w:t>
      </w:r>
      <w:r w:rsidRPr="00B364CB">
        <w:t>a</w:t>
      </w:r>
      <w:r w:rsidR="00546A7D" w:rsidRPr="00B364CB">
        <w:t>nnum</w:t>
      </w:r>
      <w:r w:rsidRPr="00B364CB">
        <w:t xml:space="preserve"> by 2025. In the civil aviation, the global market is estimated to </w:t>
      </w:r>
      <w:r w:rsidR="008564D8" w:rsidRPr="00B364CB">
        <w:t>exceed</w:t>
      </w:r>
      <w:r w:rsidRPr="00B364CB">
        <w:t xml:space="preserve"> 38 000 airplanes by 2034.</w:t>
      </w:r>
    </w:p>
    <w:p w14:paraId="78216EB9" w14:textId="5A60594E" w:rsidR="000100F4" w:rsidRPr="00B364CB" w:rsidRDefault="000100F4" w:rsidP="002B0911">
      <w:pPr>
        <w:pStyle w:val="MAWPHeadingStyleLevel4"/>
        <w:rPr>
          <w:lang w:eastAsia="en-GB"/>
        </w:rPr>
      </w:pPr>
      <w:r w:rsidRPr="00B364CB">
        <w:rPr>
          <w:lang w:eastAsia="en-GB"/>
        </w:rPr>
        <w:t>S</w:t>
      </w:r>
      <w:r w:rsidR="00D71470" w:rsidRPr="00B364CB">
        <w:rPr>
          <w:lang w:eastAsia="en-GB"/>
        </w:rPr>
        <w:t>tate of the Art</w:t>
      </w:r>
    </w:p>
    <w:p w14:paraId="5BBAFA6E" w14:textId="1856CC55" w:rsidR="001016EC" w:rsidRPr="00B364CB" w:rsidRDefault="001016EC" w:rsidP="003C7D11">
      <w:pPr>
        <w:pStyle w:val="MAWPBodytextbullets"/>
      </w:pPr>
      <w:r w:rsidRPr="00B364CB">
        <w:t>Propulsive application</w:t>
      </w:r>
    </w:p>
    <w:p w14:paraId="35A1B302" w14:textId="59D00213" w:rsidR="000100F4" w:rsidRPr="00B364CB" w:rsidRDefault="000100F4" w:rsidP="003C7D11">
      <w:pPr>
        <w:pStyle w:val="MAWP-Bodytext"/>
      </w:pPr>
      <w:r w:rsidRPr="00B364CB">
        <w:t>The use of FC in aviation applications is already being tested in demonstration projects across different use cases. However, due to the unique challenges posed by aviation (i.e</w:t>
      </w:r>
      <w:r w:rsidR="00A57111" w:rsidRPr="00B364CB">
        <w:t>.,</w:t>
      </w:r>
      <w:r w:rsidRPr="00B364CB">
        <w:t xml:space="preserve"> extremely large energy demands) projects to date focus on light, small-scale UAVs </w:t>
      </w:r>
      <w:r w:rsidR="00EB3F38" w:rsidRPr="00B364CB">
        <w:t xml:space="preserve">(SUAV, HYPPER) </w:t>
      </w:r>
      <w:r w:rsidRPr="00B364CB">
        <w:t>and passenger airplanes (</w:t>
      </w:r>
      <w:r w:rsidR="008564D8" w:rsidRPr="00B364CB">
        <w:t xml:space="preserve">up to </w:t>
      </w:r>
      <w:r w:rsidRPr="00B364CB">
        <w:t>5 passengers). For example, the Hy4</w:t>
      </w:r>
      <w:r w:rsidR="004D2F0B" w:rsidRPr="00B364CB">
        <w:rPr>
          <w:rStyle w:val="FootnoteReference"/>
        </w:rPr>
        <w:footnoteReference w:id="115"/>
      </w:r>
      <w:r w:rsidRPr="00B364CB">
        <w:t xml:space="preserve"> </w:t>
      </w:r>
      <w:r w:rsidR="00EB3F38" w:rsidRPr="00B364CB">
        <w:t>platform of DLR involved</w:t>
      </w:r>
      <w:r w:rsidR="004A62E2">
        <w:t>,</w:t>
      </w:r>
      <w:r w:rsidR="00EB3F38" w:rsidRPr="00B364CB">
        <w:t xml:space="preserve"> among others in the FCH JU project HEAVEN</w:t>
      </w:r>
      <w:r w:rsidRPr="00B364CB">
        <w:t xml:space="preserve"> is the world’s first four-seat passenger aircraft powered by FC technology, while ZeroAvia</w:t>
      </w:r>
      <w:r w:rsidR="004D2F0B" w:rsidRPr="00B364CB">
        <w:rPr>
          <w:rStyle w:val="FootnoteReference"/>
        </w:rPr>
        <w:footnoteReference w:id="116"/>
      </w:r>
      <w:r w:rsidRPr="00B364CB">
        <w:t xml:space="preserve"> performed their first test flight of a six-sitter plane in September 2020. Demonstration projects are progressively targeting larger applications, yet very few demonstrations of hydrogen for propulsion (FC and turbine) have been performed.</w:t>
      </w:r>
    </w:p>
    <w:p w14:paraId="528ECE64" w14:textId="59C7AEC1" w:rsidR="001016EC" w:rsidRPr="00B364CB" w:rsidRDefault="001016EC" w:rsidP="003C7D11">
      <w:pPr>
        <w:pStyle w:val="MAWP-Bodytext"/>
      </w:pPr>
      <w:r w:rsidRPr="00B364CB">
        <w:t>In September 2020, AIRBUS announced</w:t>
      </w:r>
      <w:r w:rsidR="004D2F0B" w:rsidRPr="00B364CB">
        <w:rPr>
          <w:rStyle w:val="FootnoteReference"/>
        </w:rPr>
        <w:footnoteReference w:id="117"/>
      </w:r>
      <w:r w:rsidRPr="00B364CB">
        <w:t xml:space="preserve"> three game-changing concepts for future commercial passenger aircraft using hydrogen as the primary energy supply: </w:t>
      </w:r>
    </w:p>
    <w:p w14:paraId="4B90C33F" w14:textId="1BEC731D" w:rsidR="001016EC" w:rsidRPr="00B364CB" w:rsidRDefault="001016EC" w:rsidP="002256F6">
      <w:pPr>
        <w:pStyle w:val="MAWPBodyTextNumbered"/>
        <w:numPr>
          <w:ilvl w:val="0"/>
          <w:numId w:val="31"/>
        </w:numPr>
      </w:pPr>
      <w:r w:rsidRPr="00B364CB">
        <w:t>Turboprop - a Regional aircraft concept with 1000</w:t>
      </w:r>
      <w:r w:rsidR="0060724C" w:rsidRPr="00B364CB">
        <w:t xml:space="preserve"> </w:t>
      </w:r>
      <w:r w:rsidRPr="00B364CB">
        <w:t>n</w:t>
      </w:r>
      <w:r w:rsidR="003C7D11" w:rsidRPr="00B364CB">
        <w:t>autic miles</w:t>
      </w:r>
      <w:r w:rsidRPr="00B364CB">
        <w:t xml:space="preserve"> mission range and </w:t>
      </w:r>
      <w:r w:rsidR="008564D8" w:rsidRPr="00B364CB">
        <w:t xml:space="preserve">around </w:t>
      </w:r>
      <w:r w:rsidRPr="00B364CB">
        <w:t xml:space="preserve">100 passengers capacity; </w:t>
      </w:r>
    </w:p>
    <w:p w14:paraId="0B9F1777" w14:textId="5908E72A" w:rsidR="001016EC" w:rsidRPr="00B364CB" w:rsidRDefault="001016EC" w:rsidP="002256F6">
      <w:pPr>
        <w:pStyle w:val="MAWPBodyTextNumbered"/>
        <w:numPr>
          <w:ilvl w:val="0"/>
          <w:numId w:val="31"/>
        </w:numPr>
      </w:pPr>
      <w:r w:rsidRPr="00B364CB">
        <w:t xml:space="preserve">Turbofan - a </w:t>
      </w:r>
      <w:r w:rsidR="00B77E8D" w:rsidRPr="00B364CB">
        <w:t>R</w:t>
      </w:r>
      <w:r w:rsidRPr="00B364CB">
        <w:t>SMR aircraft concept with 2000</w:t>
      </w:r>
      <w:r w:rsidR="0060724C" w:rsidRPr="00B364CB">
        <w:t xml:space="preserve"> </w:t>
      </w:r>
      <w:r w:rsidRPr="00B364CB">
        <w:t>n</w:t>
      </w:r>
      <w:r w:rsidR="003C7D11" w:rsidRPr="00B364CB">
        <w:t>autic miles</w:t>
      </w:r>
      <w:r w:rsidRPr="00B364CB">
        <w:t xml:space="preserve"> mission range and </w:t>
      </w:r>
      <w:r w:rsidR="008564D8" w:rsidRPr="00B364CB">
        <w:t xml:space="preserve">around </w:t>
      </w:r>
      <w:r w:rsidRPr="00B364CB">
        <w:t xml:space="preserve">200 passengers capacity; </w:t>
      </w:r>
    </w:p>
    <w:p w14:paraId="7153DFF5" w14:textId="4C66DB31" w:rsidR="001016EC" w:rsidRPr="00B364CB" w:rsidRDefault="001016EC" w:rsidP="002256F6">
      <w:pPr>
        <w:pStyle w:val="MAWPBodyTextNumbered"/>
        <w:numPr>
          <w:ilvl w:val="0"/>
          <w:numId w:val="31"/>
        </w:numPr>
      </w:pPr>
      <w:r w:rsidRPr="00B364CB">
        <w:t xml:space="preserve">Blended-Wing Body - a more scalable concept allowing more space for </w:t>
      </w:r>
      <w:r w:rsidR="00140652" w:rsidRPr="00B364CB">
        <w:t>hydrogen</w:t>
      </w:r>
      <w:r w:rsidRPr="00B364CB">
        <w:t xml:space="preserve"> and passengers</w:t>
      </w:r>
      <w:r w:rsidR="00B87174" w:rsidRPr="00B364CB">
        <w:t>;</w:t>
      </w:r>
      <w:r w:rsidRPr="00B364CB">
        <w:t xml:space="preserve"> </w:t>
      </w:r>
    </w:p>
    <w:p w14:paraId="175D1AB0" w14:textId="5DE82A34" w:rsidR="000100F4" w:rsidRPr="00B364CB" w:rsidRDefault="001016EC" w:rsidP="00EB3F38">
      <w:pPr>
        <w:pStyle w:val="MAWPBodyTextNumbered"/>
        <w:numPr>
          <w:ilvl w:val="0"/>
          <w:numId w:val="0"/>
        </w:numPr>
      </w:pPr>
      <w:r w:rsidRPr="00B364CB">
        <w:t xml:space="preserve">AIRBUS’ ambition is to develop these three concepts and deliver the first hydrogen-powered </w:t>
      </w:r>
      <w:r w:rsidRPr="00B364CB">
        <w:lastRenderedPageBreak/>
        <w:t>commercial aircraft with entry-into-service by 2035</w:t>
      </w:r>
      <w:r w:rsidR="003A1DC9" w:rsidRPr="00B364CB">
        <w:t>.</w:t>
      </w:r>
    </w:p>
    <w:p w14:paraId="70118ECA" w14:textId="6EDD781A" w:rsidR="001016EC" w:rsidRPr="00B364CB" w:rsidRDefault="001016EC" w:rsidP="004D2F0B">
      <w:pPr>
        <w:pStyle w:val="MAWPBodyTextNumbered"/>
        <w:numPr>
          <w:ilvl w:val="0"/>
          <w:numId w:val="0"/>
        </w:numPr>
      </w:pPr>
      <w:r w:rsidRPr="00B364CB">
        <w:t>In September 2020, Universal Hydrogen Co. and Plug Power Inc. announced</w:t>
      </w:r>
      <w:r w:rsidR="004D2F0B" w:rsidRPr="00B364CB">
        <w:rPr>
          <w:rStyle w:val="FootnoteReference"/>
        </w:rPr>
        <w:footnoteReference w:id="118"/>
      </w:r>
      <w:r w:rsidRPr="00B364CB">
        <w:t xml:space="preserve"> work</w:t>
      </w:r>
      <w:r w:rsidR="0042462D">
        <w:t>ing</w:t>
      </w:r>
      <w:r w:rsidRPr="00B364CB">
        <w:t xml:space="preserve"> together to retrofit a regional airplane with hydrogen fuel cells to power its two propellers. Together the</w:t>
      </w:r>
      <w:r w:rsidR="00652CBE">
        <w:t>se</w:t>
      </w:r>
      <w:r w:rsidRPr="00B364CB">
        <w:t xml:space="preserve"> companies aim to have a plane ready and government-certified to fly by 2024.</w:t>
      </w:r>
    </w:p>
    <w:p w14:paraId="17DD57E5" w14:textId="3F2838C9" w:rsidR="001016EC" w:rsidRPr="00B364CB" w:rsidRDefault="001016EC" w:rsidP="003C7D11">
      <w:pPr>
        <w:pStyle w:val="MAWPBodytextbullets"/>
      </w:pPr>
      <w:r w:rsidRPr="00B364CB">
        <w:t>No</w:t>
      </w:r>
      <w:r w:rsidR="00B87174" w:rsidRPr="00B364CB">
        <w:t>n-</w:t>
      </w:r>
      <w:r w:rsidRPr="00B364CB">
        <w:t>propulsive application</w:t>
      </w:r>
    </w:p>
    <w:p w14:paraId="2D7B6A86" w14:textId="1D5BBFEA" w:rsidR="001016EC" w:rsidRPr="00B364CB" w:rsidRDefault="001016EC" w:rsidP="003C7D11">
      <w:pPr>
        <w:pStyle w:val="MAWP-Bodytext"/>
      </w:pPr>
      <w:r w:rsidRPr="00B364CB">
        <w:t>Hydrogen technology has been developed for non-propulsive aviation applications. For example, APUs have been tested through the HYCARUS</w:t>
      </w:r>
      <w:r w:rsidR="004D2F0B" w:rsidRPr="00B364CB">
        <w:rPr>
          <w:rStyle w:val="FootnoteReference"/>
        </w:rPr>
        <w:footnoteReference w:id="119"/>
      </w:r>
      <w:r w:rsidRPr="00B364CB">
        <w:t xml:space="preserve"> project (2013-2018). Supported by the FCH JU, this project aimed to develop a Generic Fuel Cell System for use as auxiliary power on larger commercial aircrafts and business jets. Over time, as this technology is advanced and matured, FC applications will be deployed on progressively larger and heavier aircrafts and become operable in real-world service.</w:t>
      </w:r>
    </w:p>
    <w:p w14:paraId="69FA7673" w14:textId="77777777" w:rsidR="008839B3" w:rsidRPr="00B364CB" w:rsidRDefault="008839B3" w:rsidP="008839B3">
      <w:pPr>
        <w:pStyle w:val="MAWPHeadingStyleLevel4"/>
      </w:pPr>
      <w:r w:rsidRPr="00B364CB">
        <w:t>Objectives</w:t>
      </w:r>
    </w:p>
    <w:p w14:paraId="2AC2B7F7" w14:textId="597F8F84" w:rsidR="000A73E7" w:rsidRPr="00B364CB" w:rsidRDefault="000A73E7" w:rsidP="003C7D11">
      <w:pPr>
        <w:pStyle w:val="MAWP-Bodytext"/>
      </w:pPr>
      <w:r w:rsidRPr="00B364CB">
        <w:t xml:space="preserve">Hydrogen is seen as a potential key enabler in the </w:t>
      </w:r>
      <w:r w:rsidR="00DF1CBA" w:rsidRPr="00B364CB">
        <w:t xml:space="preserve">aeronautical scope </w:t>
      </w:r>
      <w:r w:rsidRPr="00B364CB">
        <w:t>climate-neutrality roadmap.</w:t>
      </w:r>
      <w:r w:rsidR="00FE2AD8">
        <w:rPr>
          <w:rStyle w:val="FootnoteReference"/>
        </w:rPr>
        <w:footnoteReference w:id="120"/>
      </w:r>
      <w:r w:rsidRPr="00B364CB">
        <w:t xml:space="preserve"> Hydrogen use </w:t>
      </w:r>
      <w:r w:rsidR="00B46A72" w:rsidRPr="00B364CB">
        <w:t xml:space="preserve">is foreseen </w:t>
      </w:r>
      <w:r w:rsidRPr="00B364CB">
        <w:t>through:</w:t>
      </w:r>
    </w:p>
    <w:p w14:paraId="0B183954" w14:textId="7EDCF933" w:rsidR="000A73E7" w:rsidRPr="00B364CB" w:rsidRDefault="000A73E7" w:rsidP="003C7D11">
      <w:pPr>
        <w:pStyle w:val="MAWPBodytextbullets"/>
      </w:pPr>
      <w:r w:rsidRPr="00B364CB">
        <w:t xml:space="preserve">Fuel cell with </w:t>
      </w:r>
      <w:r w:rsidR="00850091" w:rsidRPr="00B364CB">
        <w:t xml:space="preserve">liquid </w:t>
      </w:r>
      <w:r w:rsidRPr="00B364CB">
        <w:t xml:space="preserve">/ gaseous storage for </w:t>
      </w:r>
      <w:r w:rsidR="008564D8" w:rsidRPr="00B364CB">
        <w:t xml:space="preserve">RSMR </w:t>
      </w:r>
      <w:r w:rsidRPr="00B364CB">
        <w:t>aircraft</w:t>
      </w:r>
      <w:r w:rsidR="00B87174" w:rsidRPr="00B364CB">
        <w:t>;</w:t>
      </w:r>
    </w:p>
    <w:p w14:paraId="3B5C00A4" w14:textId="07FBD09E" w:rsidR="000A73E7" w:rsidRPr="00B364CB" w:rsidRDefault="000A73E7" w:rsidP="003C7D11">
      <w:pPr>
        <w:pStyle w:val="MAWPBodytextbullets"/>
      </w:pPr>
      <w:r w:rsidRPr="00B364CB">
        <w:t xml:space="preserve">High power fuel cell (1.5 MW+) using liquid hydrogen for the propulsion of </w:t>
      </w:r>
      <w:r w:rsidR="008564D8" w:rsidRPr="00B364CB">
        <w:t xml:space="preserve">RSMR </w:t>
      </w:r>
      <w:r w:rsidRPr="00B364CB">
        <w:t>aircraft</w:t>
      </w:r>
      <w:r w:rsidR="00B87174" w:rsidRPr="00B364CB">
        <w:t>;</w:t>
      </w:r>
    </w:p>
    <w:p w14:paraId="53916519" w14:textId="5FB3D3E4" w:rsidR="000A73E7" w:rsidRPr="00B364CB" w:rsidRDefault="000A73E7" w:rsidP="003C7D11">
      <w:pPr>
        <w:pStyle w:val="MAWPBodytextbullets"/>
      </w:pPr>
      <w:r w:rsidRPr="00B364CB">
        <w:t>Low NOx emitting turbine using liquid hydrogen</w:t>
      </w:r>
      <w:r w:rsidR="00B87174" w:rsidRPr="00B364CB">
        <w:t>;</w:t>
      </w:r>
    </w:p>
    <w:p w14:paraId="0BE061E7" w14:textId="1F90E2D2" w:rsidR="000A73E7" w:rsidRPr="00B364CB" w:rsidRDefault="000A73E7" w:rsidP="003C7D11">
      <w:pPr>
        <w:pStyle w:val="MAWPBodytextbullets"/>
      </w:pPr>
      <w:r w:rsidRPr="00B364CB">
        <w:t>Non-propulsive energy through fuel cell or turbo-electric architecture</w:t>
      </w:r>
      <w:r w:rsidR="00B46A72" w:rsidRPr="00B364CB">
        <w:t>;</w:t>
      </w:r>
    </w:p>
    <w:p w14:paraId="29882166" w14:textId="0C889CA0" w:rsidR="002066B7" w:rsidRPr="00B364CB" w:rsidRDefault="002066B7" w:rsidP="003C7D11">
      <w:pPr>
        <w:pStyle w:val="MAWPBodytextbullets"/>
      </w:pPr>
      <w:r w:rsidRPr="00B364CB">
        <w:t>Decarbonisation of ground operations</w:t>
      </w:r>
      <w:r w:rsidR="00B46A72" w:rsidRPr="00B364CB">
        <w:t>.</w:t>
      </w:r>
    </w:p>
    <w:p w14:paraId="3A188B06" w14:textId="276C9B46" w:rsidR="000A73E7" w:rsidRPr="00B364CB" w:rsidRDefault="000A73E7" w:rsidP="003C7D11">
      <w:pPr>
        <w:pStyle w:val="MAWP-Bodytext"/>
      </w:pPr>
      <w:r w:rsidRPr="00B364CB">
        <w:t xml:space="preserve">However, significant developments </w:t>
      </w:r>
      <w:r w:rsidR="00DF1CBA" w:rsidRPr="00B364CB">
        <w:t xml:space="preserve">and academic </w:t>
      </w:r>
      <w:r w:rsidR="008D736B" w:rsidRPr="00B364CB">
        <w:t xml:space="preserve">and vocational </w:t>
      </w:r>
      <w:r w:rsidR="00DF1CBA" w:rsidRPr="00B364CB">
        <w:t xml:space="preserve">trainings </w:t>
      </w:r>
      <w:r w:rsidRPr="00B364CB">
        <w:t>are needed</w:t>
      </w:r>
      <w:r w:rsidR="00B46A72" w:rsidRPr="00B364CB">
        <w:t xml:space="preserve"> and thus will be supported</w:t>
      </w:r>
      <w:r w:rsidRPr="00B364CB">
        <w:t xml:space="preserve"> in the following fields:</w:t>
      </w:r>
    </w:p>
    <w:p w14:paraId="5A9A302E" w14:textId="53C53C5A" w:rsidR="000A73E7" w:rsidRPr="00B364CB" w:rsidRDefault="000A73E7" w:rsidP="002256F6">
      <w:pPr>
        <w:pStyle w:val="MAWPBodyTextNumbered"/>
        <w:numPr>
          <w:ilvl w:val="0"/>
          <w:numId w:val="32"/>
        </w:numPr>
      </w:pPr>
      <w:r w:rsidRPr="00B364CB">
        <w:t>On-board storage of liquid hydrogen</w:t>
      </w:r>
      <w:r w:rsidR="00B87174" w:rsidRPr="00B364CB">
        <w:t>;</w:t>
      </w:r>
    </w:p>
    <w:p w14:paraId="68374E18" w14:textId="26461DEC" w:rsidR="000A73E7" w:rsidRPr="00B364CB" w:rsidRDefault="000A73E7" w:rsidP="003C7D11">
      <w:pPr>
        <w:pStyle w:val="MAWPBodyTextNumbered"/>
      </w:pPr>
      <w:r w:rsidRPr="00B364CB">
        <w:t>Liquid hydrogen distribution components and system</w:t>
      </w:r>
      <w:r w:rsidR="00B87174" w:rsidRPr="00B364CB">
        <w:t>;</w:t>
      </w:r>
    </w:p>
    <w:p w14:paraId="2CBBD273" w14:textId="606A04E7" w:rsidR="000A73E7" w:rsidRPr="00B364CB" w:rsidRDefault="000A73E7" w:rsidP="003C7D11">
      <w:pPr>
        <w:pStyle w:val="MAWPBodyTextNumbered"/>
      </w:pPr>
      <w:r w:rsidRPr="00B364CB">
        <w:t>Fuel cell technology</w:t>
      </w:r>
      <w:r w:rsidR="00B87174" w:rsidRPr="00B364CB">
        <w:t>;</w:t>
      </w:r>
    </w:p>
    <w:p w14:paraId="3C85568D" w14:textId="518D0FA7" w:rsidR="000A73E7" w:rsidRPr="00B364CB" w:rsidRDefault="000A73E7" w:rsidP="003C7D11">
      <w:pPr>
        <w:pStyle w:val="MAWPBodyTextNumbered"/>
      </w:pPr>
      <w:r w:rsidRPr="00B364CB">
        <w:t>Low NOx emitting hydrogen turbines</w:t>
      </w:r>
      <w:r w:rsidR="00B87174" w:rsidRPr="00B364CB">
        <w:t>;</w:t>
      </w:r>
    </w:p>
    <w:p w14:paraId="625631B8" w14:textId="5CC8498B" w:rsidR="000A73E7" w:rsidRPr="00B364CB" w:rsidRDefault="000A73E7" w:rsidP="003C7D11">
      <w:pPr>
        <w:pStyle w:val="MAWPBodyTextNumbered"/>
      </w:pPr>
      <w:r w:rsidRPr="00B364CB">
        <w:t>Low TRL hydrogen combustion research (synergy with stationary turbine developments)</w:t>
      </w:r>
      <w:r w:rsidR="00B87174" w:rsidRPr="00B364CB">
        <w:t>;</w:t>
      </w:r>
    </w:p>
    <w:p w14:paraId="1FBE3929" w14:textId="3CAA82DB" w:rsidR="000A73E7" w:rsidRPr="00B364CB" w:rsidRDefault="000A73E7" w:rsidP="003C7D11">
      <w:pPr>
        <w:pStyle w:val="MAWPBodyTextNumbered"/>
      </w:pPr>
      <w:r w:rsidRPr="00B364CB">
        <w:t xml:space="preserve">Airport infrastructure </w:t>
      </w:r>
      <w:r w:rsidR="00107FC6" w:rsidRPr="00B364CB">
        <w:t xml:space="preserve">(of both liquid and compressed hydrogen) </w:t>
      </w:r>
      <w:r w:rsidRPr="00B364CB">
        <w:t>and refuelling tech / procedures</w:t>
      </w:r>
      <w:r w:rsidR="00B87174" w:rsidRPr="00B364CB">
        <w:t>;</w:t>
      </w:r>
    </w:p>
    <w:p w14:paraId="5FA3A126" w14:textId="0AA41C60" w:rsidR="000A73E7" w:rsidRDefault="000A73E7" w:rsidP="003C7D11">
      <w:pPr>
        <w:pStyle w:val="MAWPBodyTextNumbered"/>
      </w:pPr>
      <w:r w:rsidRPr="00B364CB">
        <w:t>Safety and regulation</w:t>
      </w:r>
      <w:r w:rsidR="00B46A72" w:rsidRPr="00B364CB">
        <w:t>.</w:t>
      </w:r>
    </w:p>
    <w:p w14:paraId="44252741" w14:textId="77777777" w:rsidR="00AA0455" w:rsidRDefault="00AA0455" w:rsidP="00AA0455">
      <w:pPr>
        <w:pStyle w:val="MAWPBodyTextNumbered"/>
        <w:numPr>
          <w:ilvl w:val="0"/>
          <w:numId w:val="0"/>
        </w:numPr>
      </w:pPr>
      <w:r>
        <w:t xml:space="preserve">Overall, </w:t>
      </w:r>
      <w:r w:rsidRPr="00B364CB">
        <w:t xml:space="preserve">R&amp;D actions in this area have the following objectives: </w:t>
      </w:r>
    </w:p>
    <w:p w14:paraId="6276EF11" w14:textId="01AC3801" w:rsidR="00AA0455" w:rsidRDefault="00AA0455" w:rsidP="002256F6">
      <w:pPr>
        <w:pStyle w:val="MAWPBodyTextNumbered"/>
        <w:numPr>
          <w:ilvl w:val="0"/>
          <w:numId w:val="58"/>
        </w:numPr>
      </w:pPr>
      <w:r>
        <w:t xml:space="preserve">Improving overall system and stack performance for </w:t>
      </w:r>
      <w:r w:rsidR="00CF55DE">
        <w:t xml:space="preserve">scalable </w:t>
      </w:r>
      <w:r>
        <w:t xml:space="preserve">FC in terms of power density, durability and availability; </w:t>
      </w:r>
    </w:p>
    <w:p w14:paraId="28225A2E" w14:textId="6DFF372A" w:rsidR="00AA0455" w:rsidRDefault="00AA0455" w:rsidP="002256F6">
      <w:pPr>
        <w:pStyle w:val="MAWPBodyTextNumbered"/>
        <w:numPr>
          <w:ilvl w:val="0"/>
          <w:numId w:val="58"/>
        </w:numPr>
      </w:pPr>
      <w:r>
        <w:lastRenderedPageBreak/>
        <w:t xml:space="preserve">Reducing NOx emissions of turbines; </w:t>
      </w:r>
    </w:p>
    <w:p w14:paraId="48EA4BFC" w14:textId="31E2177F" w:rsidR="00AA0455" w:rsidRDefault="00AA0455" w:rsidP="002256F6">
      <w:pPr>
        <w:pStyle w:val="MAWPBodyTextNumbered"/>
        <w:numPr>
          <w:ilvl w:val="0"/>
          <w:numId w:val="58"/>
        </w:numPr>
      </w:pPr>
      <w:r>
        <w:t xml:space="preserve">Addressing </w:t>
      </w:r>
      <w:r w:rsidR="00CF55DE" w:rsidRPr="00B364CB">
        <w:t>Airport infrastructure (of both liquid and compressed hydrogen) and refuelling tech / procedures</w:t>
      </w:r>
      <w:r>
        <w:t xml:space="preserve">; </w:t>
      </w:r>
    </w:p>
    <w:p w14:paraId="442E50D2" w14:textId="49AC1F01" w:rsidR="00AA0455" w:rsidRDefault="00AA0455" w:rsidP="002256F6">
      <w:pPr>
        <w:pStyle w:val="MAWPBodyTextNumbered"/>
        <w:numPr>
          <w:ilvl w:val="0"/>
          <w:numId w:val="58"/>
        </w:numPr>
      </w:pPr>
      <w:r>
        <w:t xml:space="preserve">Developing aviation dedicated technological bricks, focusing in particular on on-board storage </w:t>
      </w:r>
      <w:r w:rsidR="00CF55DE">
        <w:t xml:space="preserve">and </w:t>
      </w:r>
      <w:r w:rsidR="00CF55DE" w:rsidRPr="00B364CB">
        <w:t>distribution components and system</w:t>
      </w:r>
      <w:r w:rsidR="00CF55DE">
        <w:t xml:space="preserve"> </w:t>
      </w:r>
      <w:r>
        <w:t>of liquid hydrogen.</w:t>
      </w:r>
    </w:p>
    <w:p w14:paraId="4E03CC95" w14:textId="73626102" w:rsidR="00CF55DE" w:rsidRDefault="00CF55DE" w:rsidP="002256F6">
      <w:pPr>
        <w:pStyle w:val="MAWPBodyTextNumbered"/>
        <w:numPr>
          <w:ilvl w:val="0"/>
          <w:numId w:val="58"/>
        </w:numPr>
      </w:pPr>
      <w:r>
        <w:t>Addressing s</w:t>
      </w:r>
      <w:r w:rsidRPr="00B364CB">
        <w:t>afety and regulation</w:t>
      </w:r>
      <w:r>
        <w:t>, specific to hydrogen for aviation applications</w:t>
      </w:r>
    </w:p>
    <w:p w14:paraId="54E14220" w14:textId="12A4F8C9" w:rsidR="00AA0455" w:rsidRDefault="00704E07" w:rsidP="00704E07">
      <w:pPr>
        <w:pStyle w:val="MAWP-Bodytext"/>
      </w:pPr>
      <w:r w:rsidRPr="00CE70C1">
        <w:t xml:space="preserve">In order to contribute towards achieving the above objectives, the following areas of research and development appear as good candidates for the support by the </w:t>
      </w:r>
      <w:r w:rsidR="00831A2C">
        <w:t xml:space="preserve">Clean Hydrogen </w:t>
      </w:r>
      <w:r w:rsidRPr="00CE70C1">
        <w:t>JU.</w:t>
      </w:r>
    </w:p>
    <w:p w14:paraId="27B8622B" w14:textId="77777777" w:rsidR="00671C59" w:rsidRPr="00B364CB" w:rsidRDefault="00671C59" w:rsidP="00671C59">
      <w:pPr>
        <w:pStyle w:val="MAWPHeadingStyleLevel4"/>
      </w:pPr>
      <w:r w:rsidRPr="00B364CB">
        <w:rPr>
          <w:rFonts w:cs="Arial"/>
          <w:szCs w:val="22"/>
        </w:rPr>
        <w:t xml:space="preserve">R&amp;D Priorities - </w:t>
      </w:r>
      <w:r w:rsidRPr="00B364CB">
        <w:t>Early Stage Research Actions</w:t>
      </w:r>
    </w:p>
    <w:p w14:paraId="659E10D9" w14:textId="67EB0E16" w:rsidR="000100F4" w:rsidRPr="00B364CB" w:rsidRDefault="000100F4" w:rsidP="008564D8">
      <w:pPr>
        <w:pStyle w:val="MAWPBodytextbullets"/>
      </w:pPr>
      <w:r w:rsidRPr="00B364CB">
        <w:t xml:space="preserve">Special FC </w:t>
      </w:r>
      <w:r w:rsidR="008564D8" w:rsidRPr="00B364CB">
        <w:t>membrane electrode assembly (</w:t>
      </w:r>
      <w:r w:rsidRPr="00B364CB">
        <w:t>MEA</w:t>
      </w:r>
      <w:r w:rsidR="008564D8" w:rsidRPr="00B364CB">
        <w:t>)</w:t>
      </w:r>
      <w:r w:rsidRPr="00B364CB">
        <w:t xml:space="preserve"> </w:t>
      </w:r>
      <w:r w:rsidR="008564D8" w:rsidRPr="00B364CB">
        <w:t>c</w:t>
      </w:r>
      <w:r w:rsidRPr="00B364CB">
        <w:t xml:space="preserve">omponents for </w:t>
      </w:r>
      <w:r w:rsidR="008564D8" w:rsidRPr="00B364CB">
        <w:t>a</w:t>
      </w:r>
      <w:r w:rsidRPr="00B364CB">
        <w:t>ircraft applications</w:t>
      </w:r>
      <w:r w:rsidR="00B87174" w:rsidRPr="00B364CB">
        <w:t>;</w:t>
      </w:r>
    </w:p>
    <w:p w14:paraId="7BF9405A" w14:textId="6B99A773" w:rsidR="000100F4" w:rsidRPr="00B364CB" w:rsidRDefault="000100F4" w:rsidP="003C7D11">
      <w:pPr>
        <w:pStyle w:val="MAWPBodytextbullets"/>
      </w:pPr>
      <w:r w:rsidRPr="00B364CB">
        <w:t>Aviation dedicated technological bricks: evaporation unit LH</w:t>
      </w:r>
      <w:r w:rsidRPr="00E4788A">
        <w:rPr>
          <w:vertAlign w:val="subscript"/>
        </w:rPr>
        <w:t>2</w:t>
      </w:r>
      <w:r w:rsidRPr="00B364CB">
        <w:t xml:space="preserve"> </w:t>
      </w:r>
      <w:r w:rsidR="008564D8" w:rsidRPr="00B364CB">
        <w:t>t</w:t>
      </w:r>
      <w:r w:rsidRPr="00B364CB">
        <w:t xml:space="preserve">ank, </w:t>
      </w:r>
      <w:r w:rsidR="008564D8" w:rsidRPr="00B364CB">
        <w:t>g</w:t>
      </w:r>
      <w:r w:rsidRPr="00B364CB">
        <w:t xml:space="preserve">aseous </w:t>
      </w:r>
      <w:r w:rsidR="00140652" w:rsidRPr="00B364CB">
        <w:t xml:space="preserve">hydrogen </w:t>
      </w:r>
      <w:r w:rsidRPr="00B364CB">
        <w:t xml:space="preserve">compressors, </w:t>
      </w:r>
      <w:r w:rsidR="00777FC8">
        <w:t>LH</w:t>
      </w:r>
      <w:r w:rsidR="00777FC8" w:rsidRPr="00FE2AD8">
        <w:rPr>
          <w:vertAlign w:val="subscript"/>
        </w:rPr>
        <w:t>2</w:t>
      </w:r>
      <w:r w:rsidR="00777FC8">
        <w:t xml:space="preserve"> pumps, </w:t>
      </w:r>
      <w:r w:rsidRPr="00B364CB">
        <w:t>valves and sensors (gauging)</w:t>
      </w:r>
      <w:r w:rsidR="00B46A72" w:rsidRPr="00B364CB">
        <w:t>.</w:t>
      </w:r>
    </w:p>
    <w:p w14:paraId="2426AFA3" w14:textId="72CFC104" w:rsidR="000100F4" w:rsidRPr="00B364CB" w:rsidRDefault="002B0911" w:rsidP="002B0911">
      <w:pPr>
        <w:pStyle w:val="MAWPHeadingStyleLevel4"/>
        <w:rPr>
          <w:lang w:eastAsia="en-GB"/>
        </w:rPr>
      </w:pPr>
      <w:r w:rsidRPr="00B364CB">
        <w:t xml:space="preserve">R&amp;D Priorities - </w:t>
      </w:r>
      <w:r w:rsidR="000100F4" w:rsidRPr="00B364CB">
        <w:rPr>
          <w:lang w:eastAsia="en-GB"/>
        </w:rPr>
        <w:t>Development Research Actions</w:t>
      </w:r>
    </w:p>
    <w:p w14:paraId="7B2CCC44" w14:textId="4621E65D" w:rsidR="000100F4" w:rsidRPr="00B364CB" w:rsidRDefault="000100F4" w:rsidP="003C7D11">
      <w:pPr>
        <w:pStyle w:val="MAWPBodytextbullets"/>
      </w:pPr>
      <w:r w:rsidRPr="00B364CB">
        <w:t xml:space="preserve">Development of 250 kW FC stack and scalability of FC </w:t>
      </w:r>
      <w:r w:rsidR="008564D8" w:rsidRPr="00B364CB">
        <w:t xml:space="preserve">system </w:t>
      </w:r>
      <w:r w:rsidRPr="00B364CB">
        <w:t xml:space="preserve">and components </w:t>
      </w:r>
      <w:r w:rsidR="008564D8" w:rsidRPr="00B364CB">
        <w:t xml:space="preserve">for an at least </w:t>
      </w:r>
      <w:r w:rsidRPr="00B364CB">
        <w:t>1</w:t>
      </w:r>
      <w:r w:rsidR="008564D8" w:rsidRPr="00B364CB">
        <w:t>.</w:t>
      </w:r>
      <w:r w:rsidRPr="00B364CB">
        <w:t>5 MW</w:t>
      </w:r>
      <w:r w:rsidR="00473C0F" w:rsidRPr="00B364CB">
        <w:t xml:space="preserve"> module, </w:t>
      </w:r>
      <w:r w:rsidR="008564D8" w:rsidRPr="00B364CB">
        <w:t>to be further s</w:t>
      </w:r>
      <w:r w:rsidR="00473C0F" w:rsidRPr="00B364CB">
        <w:t>cale</w:t>
      </w:r>
      <w:r w:rsidR="008564D8" w:rsidRPr="00B364CB">
        <w:t>d</w:t>
      </w:r>
      <w:r w:rsidR="00473C0F" w:rsidRPr="00B364CB">
        <w:t xml:space="preserve"> up </w:t>
      </w:r>
      <w:r w:rsidR="008564D8" w:rsidRPr="00B364CB">
        <w:t xml:space="preserve">first </w:t>
      </w:r>
      <w:r w:rsidR="00473C0F" w:rsidRPr="00B364CB">
        <w:t xml:space="preserve">to 5-6 MW </w:t>
      </w:r>
      <w:r w:rsidR="00EB3F38" w:rsidRPr="00B364CB">
        <w:t xml:space="preserve">and </w:t>
      </w:r>
      <w:r w:rsidR="008564D8" w:rsidRPr="00B364CB">
        <w:t xml:space="preserve">then to a </w:t>
      </w:r>
      <w:r w:rsidR="00EB3F38" w:rsidRPr="00B364CB">
        <w:t xml:space="preserve">10 MW </w:t>
      </w:r>
      <w:r w:rsidR="00473C0F" w:rsidRPr="00B364CB">
        <w:t>system</w:t>
      </w:r>
      <w:r w:rsidR="00B87174" w:rsidRPr="00B364CB">
        <w:t>;</w:t>
      </w:r>
    </w:p>
    <w:p w14:paraId="00A5348F" w14:textId="1C69C619" w:rsidR="000100F4" w:rsidRPr="00B364CB" w:rsidRDefault="000100F4" w:rsidP="003C7D11">
      <w:pPr>
        <w:pStyle w:val="MAWPBodytextbullets"/>
      </w:pPr>
      <w:r w:rsidRPr="00B364CB">
        <w:t>High gravimetric</w:t>
      </w:r>
      <w:r w:rsidR="008D736B" w:rsidRPr="00B364CB">
        <w:t xml:space="preserve"> density</w:t>
      </w:r>
      <w:r w:rsidRPr="00B364CB">
        <w:t xml:space="preserve"> BoP </w:t>
      </w:r>
      <w:r w:rsidR="00A02056" w:rsidRPr="00B364CB">
        <w:t>R&amp;D</w:t>
      </w:r>
      <w:r w:rsidR="00B87174" w:rsidRPr="00B364CB">
        <w:t>;</w:t>
      </w:r>
    </w:p>
    <w:p w14:paraId="364AD00D" w14:textId="0BD2D263" w:rsidR="00EB3F38" w:rsidRPr="00B364CB" w:rsidRDefault="00EB3F38" w:rsidP="003C7D11">
      <w:pPr>
        <w:pStyle w:val="MAWPBodytextbullets"/>
      </w:pPr>
      <w:r w:rsidRPr="00B364CB">
        <w:t>LH</w:t>
      </w:r>
      <w:r w:rsidRPr="00E4788A">
        <w:rPr>
          <w:vertAlign w:val="subscript"/>
        </w:rPr>
        <w:t>2</w:t>
      </w:r>
      <w:r w:rsidRPr="00B364CB">
        <w:t xml:space="preserve"> tanks with a capacity of 5t and gravimetric index of 35%;</w:t>
      </w:r>
    </w:p>
    <w:p w14:paraId="5CDDFC22" w14:textId="7797E8AD" w:rsidR="000100F4" w:rsidRPr="00B364CB" w:rsidRDefault="000100F4" w:rsidP="003C7D11">
      <w:pPr>
        <w:pStyle w:val="MAWPBodytextbullets"/>
      </w:pPr>
      <w:r w:rsidRPr="00B364CB">
        <w:t>Fuel handling LH</w:t>
      </w:r>
      <w:r w:rsidRPr="00E4788A">
        <w:rPr>
          <w:vertAlign w:val="subscript"/>
        </w:rPr>
        <w:t>2</w:t>
      </w:r>
      <w:r w:rsidRPr="00B364CB">
        <w:t xml:space="preserve"> (including aircraft refuelling)</w:t>
      </w:r>
      <w:r w:rsidR="00B87174" w:rsidRPr="00B364CB">
        <w:t>;</w:t>
      </w:r>
    </w:p>
    <w:p w14:paraId="4B1E884F" w14:textId="13710462" w:rsidR="000100F4" w:rsidRPr="00B364CB" w:rsidRDefault="000100F4" w:rsidP="003C7D11">
      <w:pPr>
        <w:pStyle w:val="MAWPBodytextbullets"/>
      </w:pPr>
      <w:r w:rsidRPr="00B364CB">
        <w:t>New development of components and system controls</w:t>
      </w:r>
      <w:r w:rsidR="00B87174" w:rsidRPr="00B364CB">
        <w:t>;</w:t>
      </w:r>
    </w:p>
    <w:p w14:paraId="6D60097A" w14:textId="0BC817B0" w:rsidR="000100F4" w:rsidRPr="00B364CB" w:rsidRDefault="000100F4" w:rsidP="003C7D11">
      <w:pPr>
        <w:pStyle w:val="MAWPBodytextbullets"/>
      </w:pPr>
      <w:r w:rsidRPr="00B364CB">
        <w:t>Development of a low NOx / high efficiency hydrogen combustion chamber for aviation, in synergy with stationary applications</w:t>
      </w:r>
      <w:r w:rsidR="00DF1CBA" w:rsidRPr="00B364CB">
        <w:t>;</w:t>
      </w:r>
    </w:p>
    <w:p w14:paraId="79078BD7" w14:textId="3CB211B5" w:rsidR="00DF1CBA" w:rsidRPr="00B364CB" w:rsidRDefault="00107FC6" w:rsidP="003C7D11">
      <w:pPr>
        <w:pStyle w:val="MAWPBodytextbullets"/>
      </w:pPr>
      <w:r w:rsidRPr="00B364CB">
        <w:t>S</w:t>
      </w:r>
      <w:r w:rsidR="00DF1CBA" w:rsidRPr="00B364CB">
        <w:t>tudies to assess / quantify non</w:t>
      </w:r>
      <w:r w:rsidR="00850091" w:rsidRPr="00B364CB">
        <w:t>-</w:t>
      </w:r>
      <w:r w:rsidR="00DF1CBA" w:rsidRPr="00B364CB">
        <w:t>CO</w:t>
      </w:r>
      <w:r w:rsidR="00DF1CBA" w:rsidRPr="00B364CB">
        <w:rPr>
          <w:vertAlign w:val="subscript"/>
        </w:rPr>
        <w:t>2</w:t>
      </w:r>
      <w:r w:rsidR="00DF1CBA" w:rsidRPr="00B364CB">
        <w:t xml:space="preserve"> effects of </w:t>
      </w:r>
      <w:r w:rsidR="00140652" w:rsidRPr="00B364CB">
        <w:t>hydrogen</w:t>
      </w:r>
      <w:r w:rsidR="00DF1CBA" w:rsidRPr="00B364CB">
        <w:t xml:space="preserve"> powered aircraft.</w:t>
      </w:r>
    </w:p>
    <w:p w14:paraId="185871CD" w14:textId="1D99EAC6" w:rsidR="000100F4" w:rsidRPr="00B364CB" w:rsidRDefault="00F43A04" w:rsidP="002B0911">
      <w:pPr>
        <w:pStyle w:val="MAWPHeadingStyleLevel4"/>
        <w:rPr>
          <w:lang w:eastAsia="en-GB"/>
        </w:rPr>
      </w:pPr>
      <w:r w:rsidRPr="00B364CB">
        <w:rPr>
          <w:lang w:eastAsia="en-GB"/>
        </w:rPr>
        <w:t>R&amp;D Priorities - Demonstration Actions</w:t>
      </w:r>
    </w:p>
    <w:p w14:paraId="14128F48" w14:textId="2222471E" w:rsidR="000100F4" w:rsidRPr="00B364CB" w:rsidRDefault="000100F4" w:rsidP="003C7D11">
      <w:pPr>
        <w:pStyle w:val="MAWPBodytextbullets"/>
      </w:pPr>
      <w:r w:rsidRPr="00B364CB">
        <w:t>Safety related system architecture of FC, LH</w:t>
      </w:r>
      <w:r w:rsidRPr="00E4788A">
        <w:rPr>
          <w:vertAlign w:val="subscript"/>
        </w:rPr>
        <w:t>2</w:t>
      </w:r>
      <w:r w:rsidRPr="00B364CB">
        <w:t xml:space="preserve"> system</w:t>
      </w:r>
      <w:r w:rsidR="00B87174" w:rsidRPr="00B364CB">
        <w:t>;</w:t>
      </w:r>
      <w:r w:rsidRPr="00B364CB">
        <w:t xml:space="preserve"> </w:t>
      </w:r>
    </w:p>
    <w:p w14:paraId="270F6D69" w14:textId="004E46DE" w:rsidR="000100F4" w:rsidRPr="00B364CB" w:rsidRDefault="000100F4" w:rsidP="003C7D11">
      <w:pPr>
        <w:pStyle w:val="MAWPBodytextbullets"/>
      </w:pPr>
      <w:r w:rsidRPr="00B364CB">
        <w:t>Preparation of LH</w:t>
      </w:r>
      <w:r w:rsidRPr="00E4788A">
        <w:rPr>
          <w:vertAlign w:val="subscript"/>
        </w:rPr>
        <w:t>2</w:t>
      </w:r>
      <w:r w:rsidRPr="00B364CB">
        <w:t xml:space="preserve"> System and FC System for integration for Demo in Clean Aviation</w:t>
      </w:r>
      <w:r w:rsidR="00976F36" w:rsidRPr="00B364CB">
        <w:t>;</w:t>
      </w:r>
    </w:p>
    <w:p w14:paraId="15E52E16" w14:textId="508D2731" w:rsidR="000100F4" w:rsidRPr="00B364CB" w:rsidRDefault="000100F4" w:rsidP="003C7D11">
      <w:pPr>
        <w:pStyle w:val="MAWPBodytextbullets"/>
      </w:pPr>
      <w:r w:rsidRPr="00B364CB">
        <w:t>Infrastructure challenges</w:t>
      </w:r>
      <w:r w:rsidR="00976F36" w:rsidRPr="00B364CB">
        <w:t>:</w:t>
      </w:r>
    </w:p>
    <w:p w14:paraId="75EEBB19" w14:textId="04388893" w:rsidR="000A0B80" w:rsidRPr="00B364CB" w:rsidRDefault="000A0B80" w:rsidP="002256F6">
      <w:pPr>
        <w:pStyle w:val="MAWPBodytextbullets"/>
        <w:numPr>
          <w:ilvl w:val="1"/>
          <w:numId w:val="24"/>
        </w:numPr>
      </w:pPr>
      <w:r w:rsidRPr="00B364CB">
        <w:t xml:space="preserve">Trials </w:t>
      </w:r>
      <w:r w:rsidR="00023F8A" w:rsidRPr="00B364CB">
        <w:t xml:space="preserve">demonstrating </w:t>
      </w:r>
      <w:r w:rsidRPr="00B364CB">
        <w:t>the feasibility of aircraft refuelling</w:t>
      </w:r>
      <w:r w:rsidR="00976F36" w:rsidRPr="00B364CB">
        <w:t>;</w:t>
      </w:r>
    </w:p>
    <w:p w14:paraId="628CA3B8" w14:textId="71294227" w:rsidR="000A0B80" w:rsidRPr="00B364CB" w:rsidRDefault="000A0B80" w:rsidP="002256F6">
      <w:pPr>
        <w:pStyle w:val="MAWPBodytextbullets"/>
        <w:numPr>
          <w:ilvl w:val="1"/>
          <w:numId w:val="24"/>
        </w:numPr>
      </w:pPr>
      <w:r w:rsidRPr="00B364CB">
        <w:t>GH</w:t>
      </w:r>
      <w:r w:rsidRPr="00E4788A">
        <w:rPr>
          <w:vertAlign w:val="subscript"/>
        </w:rPr>
        <w:t>2</w:t>
      </w:r>
      <w:r w:rsidRPr="00B364CB">
        <w:t xml:space="preserve"> infrastructure increasingly available at airports</w:t>
      </w:r>
      <w:r w:rsidR="00976F36" w:rsidRPr="00B364CB">
        <w:t>;</w:t>
      </w:r>
    </w:p>
    <w:p w14:paraId="39497AC5" w14:textId="6E659966" w:rsidR="000A0B80" w:rsidRPr="00B364CB" w:rsidRDefault="000A0B80" w:rsidP="002256F6">
      <w:pPr>
        <w:pStyle w:val="MAWPBodytextbullets"/>
        <w:numPr>
          <w:ilvl w:val="1"/>
          <w:numId w:val="24"/>
        </w:numPr>
      </w:pPr>
      <w:r w:rsidRPr="00B364CB">
        <w:t>First demo of LH</w:t>
      </w:r>
      <w:r w:rsidRPr="00E4788A">
        <w:rPr>
          <w:vertAlign w:val="subscript"/>
        </w:rPr>
        <w:t>2</w:t>
      </w:r>
      <w:r w:rsidRPr="00B364CB">
        <w:t xml:space="preserve"> infrastructure</w:t>
      </w:r>
      <w:r w:rsidR="00976F36" w:rsidRPr="00B364CB">
        <w:t>.</w:t>
      </w:r>
    </w:p>
    <w:p w14:paraId="2C1F7D1E" w14:textId="77777777" w:rsidR="000B03A1" w:rsidRPr="00B364CB" w:rsidRDefault="000B03A1" w:rsidP="004C64A2">
      <w:pPr>
        <w:pStyle w:val="MAWPHeadingStyleLevel4"/>
      </w:pPr>
      <w:r w:rsidRPr="00B364CB">
        <w:t>Flagship Actions</w:t>
      </w:r>
    </w:p>
    <w:p w14:paraId="4F0FAC62" w14:textId="7A662BCF" w:rsidR="000B03A1" w:rsidRPr="00B364CB" w:rsidRDefault="00B46A72" w:rsidP="004C64A2">
      <w:pPr>
        <w:pStyle w:val="MAWP-Bodytext"/>
      </w:pPr>
      <w:r w:rsidRPr="00B364CB">
        <w:t>No flagship actions will be supported by the Programme.</w:t>
      </w:r>
    </w:p>
    <w:p w14:paraId="1425CCC6" w14:textId="2B91A99F" w:rsidR="000100F4" w:rsidRPr="00B364CB" w:rsidRDefault="000100F4" w:rsidP="002B0911">
      <w:pPr>
        <w:pStyle w:val="MAWPHeadingStyleLevel4"/>
      </w:pPr>
      <w:r w:rsidRPr="00B364CB">
        <w:t xml:space="preserve">Synergies </w:t>
      </w:r>
    </w:p>
    <w:p w14:paraId="5479A0D0" w14:textId="56A121D1" w:rsidR="00B46A72" w:rsidRPr="00B364CB" w:rsidRDefault="000100F4" w:rsidP="003C7D11">
      <w:pPr>
        <w:pStyle w:val="MAWP-Bodytext"/>
      </w:pPr>
      <w:r w:rsidRPr="00B364CB">
        <w:t xml:space="preserve">A strong collaboration is envisaged between </w:t>
      </w:r>
      <w:r w:rsidR="00831A2C">
        <w:t xml:space="preserve">Clean Hydrogen </w:t>
      </w:r>
      <w:r w:rsidR="00F52583" w:rsidRPr="00B364CB">
        <w:t>JU</w:t>
      </w:r>
      <w:r w:rsidR="00F52C11" w:rsidRPr="00B364CB">
        <w:t xml:space="preserve"> </w:t>
      </w:r>
      <w:r w:rsidRPr="00B364CB">
        <w:t>and Clean Aviation</w:t>
      </w:r>
      <w:r w:rsidR="00F52C11" w:rsidRPr="00B364CB">
        <w:t xml:space="preserve"> </w:t>
      </w:r>
      <w:r w:rsidR="002B7AE5">
        <w:t>p</w:t>
      </w:r>
      <w:r w:rsidR="00F52C11" w:rsidRPr="00B364CB">
        <w:t>artnership</w:t>
      </w:r>
      <w:r w:rsidRPr="00B364CB">
        <w:t xml:space="preserve">. </w:t>
      </w:r>
      <w:r w:rsidR="00B46A72" w:rsidRPr="00B364CB">
        <w:t xml:space="preserve">See Section </w:t>
      </w:r>
      <w:r w:rsidR="00B46A72" w:rsidRPr="00B364CB">
        <w:fldChar w:fldCharType="begin"/>
      </w:r>
      <w:r w:rsidR="00B46A72" w:rsidRPr="00B364CB">
        <w:instrText xml:space="preserve"> REF _Ref55249545 \r \h  \* MERGEFORMAT </w:instrText>
      </w:r>
      <w:r w:rsidR="00B46A72" w:rsidRPr="00B364CB">
        <w:fldChar w:fldCharType="separate"/>
      </w:r>
      <w:r w:rsidR="00331EBC">
        <w:t>4.1</w:t>
      </w:r>
      <w:r w:rsidR="00B46A72" w:rsidRPr="00B364CB">
        <w:fldChar w:fldCharType="end"/>
      </w:r>
      <w:r w:rsidR="00B46A72" w:rsidRPr="00B364CB">
        <w:t xml:space="preserve"> </w:t>
      </w:r>
      <w:r w:rsidR="00B77E48">
        <w:t xml:space="preserve">and Annex 7 </w:t>
      </w:r>
      <w:r w:rsidR="00B46A72" w:rsidRPr="00B364CB">
        <w:t>for more details on the synergies.</w:t>
      </w:r>
    </w:p>
    <w:p w14:paraId="46E93C21" w14:textId="64693A59" w:rsidR="00C14C0C" w:rsidRPr="00B364CB" w:rsidRDefault="00C14C0C" w:rsidP="006802D3">
      <w:pPr>
        <w:pStyle w:val="Subtitle"/>
      </w:pPr>
      <w:bookmarkStart w:id="109" w:name="_Ref64056724"/>
      <w:bookmarkStart w:id="110" w:name="_Toc64640563"/>
      <w:bookmarkStart w:id="111" w:name="_Toc93907331"/>
      <w:r w:rsidRPr="00B364CB">
        <w:lastRenderedPageBreak/>
        <w:t xml:space="preserve">Hydrogen </w:t>
      </w:r>
      <w:r w:rsidR="000F0BC6" w:rsidRPr="00B364CB">
        <w:t xml:space="preserve">end </w:t>
      </w:r>
      <w:r w:rsidRPr="00B364CB">
        <w:t xml:space="preserve">uses: </w:t>
      </w:r>
      <w:r w:rsidR="00966C99" w:rsidRPr="00B364CB">
        <w:t>Clean heat and power</w:t>
      </w:r>
      <w:bookmarkEnd w:id="109"/>
      <w:bookmarkEnd w:id="110"/>
      <w:bookmarkEnd w:id="111"/>
    </w:p>
    <w:p w14:paraId="2B325D4A" w14:textId="02E1B8A4" w:rsidR="00A22E99" w:rsidRPr="00B364CB" w:rsidRDefault="00A22E99" w:rsidP="00A22E99">
      <w:pPr>
        <w:pStyle w:val="MAWP-Bodytext"/>
      </w:pPr>
      <w:r w:rsidRPr="00B364CB">
        <w:t>Hydrogen offers a unique chance to decarbonise the power generation and heating sectors reliably and independently from weather or seasonal conditions. In its quality as</w:t>
      </w:r>
      <w:r w:rsidR="00CB00A6" w:rsidRPr="00B364CB">
        <w:t xml:space="preserve"> a</w:t>
      </w:r>
      <w:r w:rsidRPr="00B364CB">
        <w:t xml:space="preserve"> dispatchable energy carrier, it can easily cope with high peak demands, and is available any time during the year and day to support grid balancing actions based on hydrogen storage/use strategies in local </w:t>
      </w:r>
      <w:r w:rsidR="00127720" w:rsidRPr="00B364CB">
        <w:t xml:space="preserve">and </w:t>
      </w:r>
      <w:r w:rsidRPr="00B364CB">
        <w:t>regional networks. It is also complementary to</w:t>
      </w:r>
      <w:r w:rsidR="00500D17">
        <w:t xml:space="preserve">, and </w:t>
      </w:r>
      <w:r w:rsidR="00135CC1">
        <w:t>offering a</w:t>
      </w:r>
      <w:r w:rsidR="00500D17">
        <w:t xml:space="preserve"> diversification</w:t>
      </w:r>
      <w:r w:rsidR="00135CC1">
        <w:t xml:space="preserve"> option,</w:t>
      </w:r>
      <w:r w:rsidR="00500D17">
        <w:t xml:space="preserve"> from</w:t>
      </w:r>
      <w:r w:rsidRPr="00B364CB">
        <w:t xml:space="preserve"> the direct electrification of the heating sector. Energy conversion in combined heat and power generators do not only cover the thermal needs whenever required, but also reduces the load on the electrical side when demand is usually highest, avoiding grid congestion </w:t>
      </w:r>
      <w:r w:rsidR="008E5FB3" w:rsidRPr="00B364CB">
        <w:t xml:space="preserve">at </w:t>
      </w:r>
      <w:r w:rsidRPr="00B364CB">
        <w:t xml:space="preserve">the distribution level and allowing to optimise overall costs of the energy system. </w:t>
      </w:r>
    </w:p>
    <w:p w14:paraId="4631AE42" w14:textId="2D177220" w:rsidR="00A22E99" w:rsidRPr="00B364CB" w:rsidRDefault="00A22E99" w:rsidP="00A22E99">
      <w:pPr>
        <w:pStyle w:val="MAWP-Bodytext"/>
      </w:pPr>
      <w:r w:rsidRPr="00B364CB">
        <w:t xml:space="preserve">The overall goal of this pillar is to support European supply chain actors to develop a portfolio of solutions </w:t>
      </w:r>
      <w:r w:rsidR="001F3B60" w:rsidRPr="00B364CB">
        <w:t>provid</w:t>
      </w:r>
      <w:r w:rsidR="003E7062" w:rsidRPr="00B364CB">
        <w:t>ing</w:t>
      </w:r>
      <w:r w:rsidRPr="00B364CB">
        <w:t xml:space="preserve"> clean, renewable and flexible heat and power generation for all end users’ needs and across all system sizes; from domestic systems all the way to large</w:t>
      </w:r>
      <w:r w:rsidR="008E5FB3" w:rsidRPr="00B364CB">
        <w:t>-</w:t>
      </w:r>
      <w:r w:rsidRPr="00B364CB">
        <w:t xml:space="preserve">scale power generation plants. Preferential support will be for solutions running on 100% hydrogen. </w:t>
      </w:r>
      <w:r w:rsidR="0073517D" w:rsidRPr="00B364CB">
        <w:t xml:space="preserve">However, there </w:t>
      </w:r>
      <w:r w:rsidR="0084015F" w:rsidRPr="00B364CB">
        <w:t>is</w:t>
      </w:r>
      <w:r w:rsidR="0073517D" w:rsidRPr="00B364CB">
        <w:t xml:space="preserve"> still room to support solutions running on a </w:t>
      </w:r>
      <w:r w:rsidR="00140652" w:rsidRPr="00B364CB">
        <w:t>hydrogen</w:t>
      </w:r>
      <w:r w:rsidR="0073517D" w:rsidRPr="00B364CB">
        <w:t xml:space="preserve"> mixture in the gas grid (up to 20% within the context of the activities included in this support area) during the transition phase</w:t>
      </w:r>
      <w:r w:rsidR="0073517D" w:rsidRPr="00B364CB">
        <w:rPr>
          <w:rStyle w:val="FootnoteReference"/>
        </w:rPr>
        <w:footnoteReference w:id="121"/>
      </w:r>
      <w:r w:rsidR="0073517D" w:rsidRPr="00B364CB">
        <w:t xml:space="preserve">. </w:t>
      </w:r>
      <w:r w:rsidRPr="00B364CB">
        <w:t xml:space="preserve">For gas turbines, in order to </w:t>
      </w:r>
      <w:r w:rsidR="00913D71" w:rsidRPr="00B364CB">
        <w:t>enable a smooth transition</w:t>
      </w:r>
      <w:r w:rsidRPr="00B364CB">
        <w:t xml:space="preserve"> and assure backward compatibility with conventional fuels </w:t>
      </w:r>
      <w:r w:rsidR="00E005F0" w:rsidRPr="00B364CB">
        <w:t xml:space="preserve">during </w:t>
      </w:r>
      <w:r w:rsidR="00325848" w:rsidRPr="00B364CB">
        <w:t>the transition</w:t>
      </w:r>
      <w:r w:rsidRPr="00B364CB">
        <w:t xml:space="preserve">, support for actions running with different </w:t>
      </w:r>
      <w:r w:rsidR="00140652" w:rsidRPr="00B364CB">
        <w:t>hydrogen</w:t>
      </w:r>
      <w:r w:rsidRPr="00B364CB">
        <w:t xml:space="preserve"> admixtures are likely to be required to </w:t>
      </w:r>
      <w:r w:rsidR="009E6274" w:rsidRPr="00B364CB">
        <w:t xml:space="preserve">facilitate the development process and to </w:t>
      </w:r>
      <w:r w:rsidRPr="00B364CB">
        <w:t xml:space="preserve">achieve the final goal of 100% </w:t>
      </w:r>
      <w:r w:rsidR="00140652" w:rsidRPr="00B364CB">
        <w:t>hydrogen</w:t>
      </w:r>
      <w:r w:rsidRPr="00B364CB">
        <w:t xml:space="preserve"> turbines.</w:t>
      </w:r>
      <w:r w:rsidR="00135CC1" w:rsidRPr="00B364CB">
        <w:t xml:space="preserve"> </w:t>
      </w:r>
    </w:p>
    <w:p w14:paraId="7AF6F3AA" w14:textId="77777777" w:rsidR="00A22E99" w:rsidRPr="00B364CB" w:rsidRDefault="00A22E99" w:rsidP="00A22E99">
      <w:pPr>
        <w:pStyle w:val="MAWP-Bodytext"/>
      </w:pPr>
      <w:r w:rsidRPr="00B364CB">
        <w:t>To reach the overall goal of this pillar</w:t>
      </w:r>
      <w:r w:rsidR="00B953E5" w:rsidRPr="00B364CB">
        <w:t>,</w:t>
      </w:r>
      <w:r w:rsidRPr="00B364CB">
        <w:t xml:space="preserve"> support will be provided for the following activity areas:</w:t>
      </w:r>
    </w:p>
    <w:p w14:paraId="6EEEAADB" w14:textId="77777777" w:rsidR="00A22E99" w:rsidRPr="00B364CB" w:rsidRDefault="00A22E99" w:rsidP="002256F6">
      <w:pPr>
        <w:pStyle w:val="MAWPBodyTextNumbered"/>
        <w:numPr>
          <w:ilvl w:val="0"/>
          <w:numId w:val="43"/>
        </w:numPr>
      </w:pPr>
      <w:r w:rsidRPr="00B364CB">
        <w:t xml:space="preserve">Stationary fuel cells; </w:t>
      </w:r>
    </w:p>
    <w:p w14:paraId="551D7530" w14:textId="77A861F8" w:rsidR="00A22E99" w:rsidRPr="00B364CB" w:rsidRDefault="00A22E99" w:rsidP="00A22E99">
      <w:pPr>
        <w:pStyle w:val="MAWPBodyTextNumbered"/>
      </w:pPr>
      <w:r w:rsidRPr="00B364CB">
        <w:t>Gas turbines, boilers and burners.</w:t>
      </w:r>
    </w:p>
    <w:p w14:paraId="6625A659" w14:textId="77C9E84B" w:rsidR="00A22E99" w:rsidRPr="00B364CB" w:rsidRDefault="00A22E99" w:rsidP="00A22E99">
      <w:pPr>
        <w:pStyle w:val="MAWP-Bodytext"/>
      </w:pPr>
      <w:r w:rsidRPr="00B364CB">
        <w:t>Fuel cells generate power and heat</w:t>
      </w:r>
      <w:r w:rsidR="007D6BBF" w:rsidRPr="00B364CB">
        <w:t xml:space="preserve"> efficiently and</w:t>
      </w:r>
      <w:r w:rsidRPr="00B364CB">
        <w:t xml:space="preserve"> in a silent and clean manner. If hydrogen is generated from </w:t>
      </w:r>
      <w:r w:rsidR="00A26425">
        <w:t>renewable energy sources</w:t>
      </w:r>
      <w:r w:rsidR="00B953E5" w:rsidRPr="00B364CB">
        <w:t>, then the</w:t>
      </w:r>
      <w:r w:rsidRPr="00B364CB">
        <w:t xml:space="preserve"> fuel cells proposition is unique</w:t>
      </w:r>
      <w:r w:rsidR="00D57790" w:rsidRPr="00B364CB">
        <w:t>,</w:t>
      </w:r>
      <w:r w:rsidRPr="00B364CB">
        <w:t xml:space="preserve"> as they are the only technology able to </w:t>
      </w:r>
      <w:r w:rsidR="00B953E5" w:rsidRPr="00B364CB">
        <w:t xml:space="preserve">silently </w:t>
      </w:r>
      <w:r w:rsidRPr="00B364CB">
        <w:t xml:space="preserve">generate clean energy with zero emissions. </w:t>
      </w:r>
      <w:r w:rsidR="00000085" w:rsidRPr="00B364CB">
        <w:t xml:space="preserve">Going </w:t>
      </w:r>
      <w:r w:rsidR="003457F4" w:rsidRPr="00B364CB">
        <w:t xml:space="preserve">up to </w:t>
      </w:r>
      <w:r w:rsidRPr="00B364CB">
        <w:t>the MWe scale</w:t>
      </w:r>
      <w:r w:rsidR="00B953E5" w:rsidRPr="00B364CB">
        <w:t>,</w:t>
      </w:r>
      <w:r w:rsidRPr="00B364CB">
        <w:t xml:space="preserve"> fuel cells generate power with the highest efficiencies </w:t>
      </w:r>
      <w:r w:rsidR="003457F4" w:rsidRPr="00B364CB">
        <w:t>offering</w:t>
      </w:r>
      <w:r w:rsidRPr="00B364CB">
        <w:t xml:space="preserve"> a clean and silent alternative to conventional solutions </w:t>
      </w:r>
      <w:r w:rsidR="007D6BBF" w:rsidRPr="00B364CB">
        <w:t>like</w:t>
      </w:r>
      <w:r w:rsidRPr="00B364CB">
        <w:t xml:space="preserve"> combustion engines. </w:t>
      </w:r>
    </w:p>
    <w:p w14:paraId="4D6BA475" w14:textId="7034824F" w:rsidR="00A22E99" w:rsidRPr="00A26425" w:rsidRDefault="00A22E99" w:rsidP="00A22E99">
      <w:pPr>
        <w:pStyle w:val="MAWP-Bodytext"/>
      </w:pPr>
      <w:r w:rsidRPr="00B364CB">
        <w:t>As power systems start to be dominated by variable renewable</w:t>
      </w:r>
      <w:r w:rsidR="009033A3">
        <w:t xml:space="preserve"> energy </w:t>
      </w:r>
      <w:r w:rsidRPr="00B364CB">
        <w:t>s</w:t>
      </w:r>
      <w:r w:rsidR="009033A3">
        <w:t>ources</w:t>
      </w:r>
      <w:r w:rsidRPr="00B364CB">
        <w:t xml:space="preserve"> like wind and solar, meeting fluctuating </w:t>
      </w:r>
      <w:r w:rsidRPr="00A26425">
        <w:t xml:space="preserve">demand requires the availability of additional and responsive capacity. </w:t>
      </w:r>
      <w:r w:rsidR="00A02F78" w:rsidRPr="00A26425">
        <w:t>G</w:t>
      </w:r>
      <w:r w:rsidRPr="00A26425">
        <w:t xml:space="preserve">as turbines fed with low-carbon hydrogen can offer a decarbonised solution for the provision of </w:t>
      </w:r>
      <w:r w:rsidR="00D57790" w:rsidRPr="00A26425">
        <w:t>a</w:t>
      </w:r>
      <w:r w:rsidR="00B111E4" w:rsidRPr="00A26425">
        <w:t xml:space="preserve"> </w:t>
      </w:r>
      <w:r w:rsidRPr="00A26425">
        <w:t xml:space="preserve">stable energy supply </w:t>
      </w:r>
      <w:r w:rsidR="00D57790" w:rsidRPr="00A26425">
        <w:t xml:space="preserve">at </w:t>
      </w:r>
      <w:r w:rsidRPr="00A26425">
        <w:t>the transmission level. Adaptation of existing gas turbines to hydrogen will reduce the overall costs of the energy transition, as investments in new dedicated assets can be postponed. This would also allow to extend the use of the 180 GWe gas turbine power</w:t>
      </w:r>
      <w:r w:rsidR="00AC2609" w:rsidRPr="00A26425">
        <w:t xml:space="preserve"> </w:t>
      </w:r>
      <w:r w:rsidRPr="00A26425">
        <w:t>generation</w:t>
      </w:r>
      <w:r w:rsidR="00AC2609" w:rsidRPr="00A26425">
        <w:rPr>
          <w:rStyle w:val="FootnoteReference"/>
        </w:rPr>
        <w:footnoteReference w:id="122"/>
      </w:r>
      <w:r w:rsidR="00AC2609" w:rsidRPr="00A26425">
        <w:rPr>
          <w:vertAlign w:val="superscript"/>
        </w:rPr>
        <w:t>,</w:t>
      </w:r>
      <w:r w:rsidRPr="00A26425">
        <w:rPr>
          <w:rStyle w:val="FootnoteReference"/>
        </w:rPr>
        <w:footnoteReference w:id="123"/>
      </w:r>
      <w:r w:rsidRPr="00A26425">
        <w:t xml:space="preserve"> currently available in Europe</w:t>
      </w:r>
      <w:r w:rsidRPr="00A26425">
        <w:rPr>
          <w:rStyle w:val="FootnoteReference"/>
        </w:rPr>
        <w:footnoteReference w:id="124"/>
      </w:r>
      <w:r w:rsidRPr="00A26425">
        <w:t xml:space="preserve">. </w:t>
      </w:r>
    </w:p>
    <w:p w14:paraId="35910D92" w14:textId="444B7112" w:rsidR="00A22E99" w:rsidRDefault="00A22E99" w:rsidP="00A22E99">
      <w:pPr>
        <w:pStyle w:val="MAWP-Bodytext"/>
      </w:pPr>
      <w:r w:rsidRPr="00A26425">
        <w:t>For the provision of high temperature heat for industry, the use of low-carbon hydrogen in burners and boilers appears to be better placed than other low carbon and renewable solutions</w:t>
      </w:r>
      <w:r w:rsidRPr="00B364CB">
        <w:t xml:space="preserve">. </w:t>
      </w:r>
    </w:p>
    <w:p w14:paraId="1D3D9183" w14:textId="77777777" w:rsidR="00B22180" w:rsidRPr="00B364CB" w:rsidRDefault="00B22180" w:rsidP="00A22E99">
      <w:pPr>
        <w:pStyle w:val="MAWP-Bodytext"/>
      </w:pPr>
    </w:p>
    <w:p w14:paraId="263B1F5A" w14:textId="783E0AA3" w:rsidR="00940A89" w:rsidRPr="00B364CB" w:rsidRDefault="00A22E99" w:rsidP="00582EEA">
      <w:pPr>
        <w:pStyle w:val="MAWP-Bodytext"/>
        <w:rPr>
          <w:i/>
          <w:sz w:val="20"/>
          <w:lang w:bidi="ar-SA"/>
        </w:rPr>
      </w:pPr>
      <w:r w:rsidRPr="00B364CB">
        <w:rPr>
          <w:rFonts w:asciiTheme="minorHAnsi" w:eastAsiaTheme="minorHAnsi" w:hAnsiTheme="minorHAnsi" w:cstheme="minorBidi"/>
          <w:i/>
          <w:iCs/>
          <w:color w:val="1F497D" w:themeColor="text2"/>
          <w:sz w:val="20"/>
          <w:szCs w:val="18"/>
          <w:u w:val="single"/>
          <w:lang w:eastAsia="en-US" w:bidi="ar-SA"/>
        </w:rPr>
        <w:t xml:space="preserve">Figure 1 State of the Art </w:t>
      </w:r>
      <w:r w:rsidR="0085380B">
        <w:rPr>
          <w:rFonts w:asciiTheme="minorHAnsi" w:eastAsiaTheme="minorHAnsi" w:hAnsiTheme="minorHAnsi" w:cstheme="minorBidi"/>
          <w:i/>
          <w:iCs/>
          <w:color w:val="1F497D" w:themeColor="text2"/>
          <w:sz w:val="20"/>
          <w:szCs w:val="18"/>
          <w:u w:val="single"/>
          <w:lang w:eastAsia="en-US" w:bidi="ar-SA"/>
        </w:rPr>
        <w:t>net</w:t>
      </w:r>
      <w:r w:rsidR="00363611">
        <w:rPr>
          <w:rFonts w:asciiTheme="minorHAnsi" w:eastAsiaTheme="minorHAnsi" w:hAnsiTheme="minorHAnsi" w:cstheme="minorBidi"/>
          <w:i/>
          <w:iCs/>
          <w:color w:val="1F497D" w:themeColor="text2"/>
          <w:sz w:val="20"/>
          <w:szCs w:val="18"/>
          <w:u w:val="single"/>
          <w:lang w:eastAsia="en-US" w:bidi="ar-SA"/>
        </w:rPr>
        <w:t xml:space="preserve"> </w:t>
      </w:r>
      <w:r w:rsidRPr="00B364CB">
        <w:rPr>
          <w:rFonts w:asciiTheme="minorHAnsi" w:eastAsiaTheme="minorHAnsi" w:hAnsiTheme="minorHAnsi" w:cstheme="minorBidi"/>
          <w:i/>
          <w:iCs/>
          <w:color w:val="1F497D" w:themeColor="text2"/>
          <w:sz w:val="20"/>
          <w:szCs w:val="18"/>
          <w:u w:val="single"/>
          <w:lang w:eastAsia="en-US" w:bidi="ar-SA"/>
        </w:rPr>
        <w:t>efficiency</w:t>
      </w:r>
      <w:r w:rsidR="0085380B">
        <w:rPr>
          <w:rStyle w:val="FootnoteReference"/>
          <w:rFonts w:asciiTheme="minorHAnsi" w:eastAsiaTheme="minorHAnsi" w:hAnsiTheme="minorHAnsi" w:cstheme="minorBidi"/>
          <w:i/>
          <w:iCs/>
          <w:color w:val="1F497D" w:themeColor="text2"/>
          <w:sz w:val="20"/>
          <w:szCs w:val="18"/>
          <w:u w:val="single"/>
          <w:lang w:eastAsia="en-US" w:bidi="ar-SA"/>
        </w:rPr>
        <w:footnoteReference w:id="125"/>
      </w:r>
      <w:r w:rsidRPr="00B364CB">
        <w:rPr>
          <w:rFonts w:asciiTheme="minorHAnsi" w:eastAsiaTheme="minorHAnsi" w:hAnsiTheme="minorHAnsi" w:cstheme="minorBidi"/>
          <w:i/>
          <w:iCs/>
          <w:color w:val="1F497D" w:themeColor="text2"/>
          <w:sz w:val="20"/>
          <w:szCs w:val="18"/>
          <w:u w:val="single"/>
          <w:lang w:eastAsia="en-US" w:bidi="ar-SA"/>
        </w:rPr>
        <w:t xml:space="preserve"> and NOx emissions for fuel cell</w:t>
      </w:r>
      <w:r w:rsidR="00893271" w:rsidRPr="00B364CB">
        <w:rPr>
          <w:rFonts w:asciiTheme="minorHAnsi" w:eastAsiaTheme="minorHAnsi" w:hAnsiTheme="minorHAnsi" w:cstheme="minorBidi"/>
          <w:i/>
          <w:iCs/>
          <w:color w:val="1F497D" w:themeColor="text2"/>
          <w:sz w:val="20"/>
          <w:szCs w:val="18"/>
          <w:u w:val="single"/>
          <w:lang w:eastAsia="en-US" w:bidi="ar-SA"/>
        </w:rPr>
        <w:t>s</w:t>
      </w:r>
      <w:r w:rsidRPr="00B364CB">
        <w:rPr>
          <w:rFonts w:asciiTheme="minorHAnsi" w:eastAsiaTheme="minorHAnsi" w:hAnsiTheme="minorHAnsi" w:cstheme="minorBidi"/>
          <w:i/>
          <w:iCs/>
          <w:color w:val="1F497D" w:themeColor="text2"/>
          <w:sz w:val="20"/>
          <w:szCs w:val="18"/>
          <w:u w:val="single"/>
          <w:lang w:eastAsia="en-US" w:bidi="ar-SA"/>
        </w:rPr>
        <w:t xml:space="preserve"> and Gas Turbines</w:t>
      </w:r>
    </w:p>
    <w:p w14:paraId="34BFA7CD" w14:textId="77777777" w:rsidR="00A74F37" w:rsidRPr="00B364CB" w:rsidRDefault="00A74F37" w:rsidP="00A74F37">
      <w:pPr>
        <w:rPr>
          <w:i/>
          <w:sz w:val="20"/>
          <w:lang w:bidi="ar-SA"/>
        </w:rPr>
      </w:pPr>
      <w:r w:rsidRPr="00B364CB">
        <w:rPr>
          <w:noProof/>
          <w:lang w:eastAsia="en-GB" w:bidi="ar-SA"/>
        </w:rPr>
        <w:drawing>
          <wp:inline distT="0" distB="0" distL="0" distR="0" wp14:anchorId="22391458" wp14:editId="7C265F3D">
            <wp:extent cx="5795398" cy="4826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16103" cy="4843515"/>
                    </a:xfrm>
                    <a:prstGeom prst="rect">
                      <a:avLst/>
                    </a:prstGeom>
                  </pic:spPr>
                </pic:pic>
              </a:graphicData>
            </a:graphic>
          </wp:inline>
        </w:drawing>
      </w:r>
    </w:p>
    <w:p w14:paraId="4C062152" w14:textId="5527352E" w:rsidR="00A74F37" w:rsidRPr="00280CC8" w:rsidRDefault="00A74F37" w:rsidP="00280CC8">
      <w:pPr>
        <w:spacing w:after="120"/>
        <w:rPr>
          <w:i/>
          <w:sz w:val="18"/>
          <w:szCs w:val="22"/>
          <w:lang w:bidi="ar-SA"/>
        </w:rPr>
      </w:pPr>
      <w:r w:rsidRPr="00280CC8">
        <w:rPr>
          <w:i/>
          <w:sz w:val="18"/>
          <w:szCs w:val="22"/>
          <w:lang w:bidi="ar-SA"/>
        </w:rPr>
        <w:t>For gas turbines and SOFCs values provided are for natural gas.</w:t>
      </w:r>
      <w:r w:rsidR="00280CC8" w:rsidRPr="00280CC8">
        <w:rPr>
          <w:i/>
          <w:sz w:val="18"/>
          <w:szCs w:val="22"/>
          <w:lang w:bidi="ar-SA"/>
        </w:rPr>
        <w:t xml:space="preserve"> </w:t>
      </w:r>
      <w:r w:rsidRPr="00280CC8">
        <w:rPr>
          <w:i/>
          <w:sz w:val="18"/>
          <w:szCs w:val="22"/>
          <w:lang w:bidi="ar-SA"/>
        </w:rPr>
        <w:t>For PEMFC values provided are for hydrogen.</w:t>
      </w:r>
    </w:p>
    <w:p w14:paraId="01759D1A" w14:textId="0A53E991" w:rsidR="00A74F37" w:rsidRPr="00B364CB" w:rsidRDefault="00644597" w:rsidP="00644597">
      <w:pPr>
        <w:pStyle w:val="MAWP-Bodytext"/>
        <w:rPr>
          <w:i/>
          <w:sz w:val="20"/>
          <w:lang w:bidi="ar-SA"/>
        </w:rPr>
      </w:pPr>
      <w:r w:rsidRPr="00B364CB">
        <w:t>Support in this pillar will focus on fuel cell solutions up to the 10 MWe scale and gas turbines only for larger systems, possibly for applications above 50 MWe. This range is only indicative, though support in the range of tens of MWe and up to the 50 MWe scale could be provided following a technology neutral approach, where either 100% hydrogen fuel cells or turbines or a combination of both could be favoured</w:t>
      </w:r>
      <w:r w:rsidRPr="00E4788A">
        <w:t xml:space="preserve">. </w:t>
      </w:r>
      <w:r w:rsidRPr="00B364CB">
        <w:t xml:space="preserve">For indicative purposes and to support the narrative included in this section the figure </w:t>
      </w:r>
      <w:r w:rsidR="00280CC8">
        <w:t>above</w:t>
      </w:r>
      <w:r w:rsidRPr="00B364CB">
        <w:t xml:space="preserve"> includes State of the Art (SoA) efficiencies and NOx emissions for fuel cell and gas turbines with or without combined cycles for a range of power capacities</w:t>
      </w:r>
      <w:r w:rsidR="000A409E" w:rsidRPr="000A409E">
        <w:t>.</w:t>
      </w:r>
    </w:p>
    <w:p w14:paraId="1874DB3C" w14:textId="5E473891" w:rsidR="00730C50" w:rsidRPr="00B364CB" w:rsidRDefault="00730C50" w:rsidP="006802D3">
      <w:pPr>
        <w:pStyle w:val="MAWPsubtitle2"/>
      </w:pPr>
      <w:bookmarkStart w:id="112" w:name="_Toc64640564"/>
      <w:bookmarkStart w:id="113" w:name="_Toc93907332"/>
      <w:r w:rsidRPr="00B364CB">
        <w:t xml:space="preserve">Stationary </w:t>
      </w:r>
      <w:r w:rsidR="00E269B7" w:rsidRPr="00B364CB">
        <w:t>Fuel Cells</w:t>
      </w:r>
      <w:bookmarkEnd w:id="112"/>
      <w:bookmarkEnd w:id="113"/>
    </w:p>
    <w:p w14:paraId="5C8A5B21" w14:textId="77777777" w:rsidR="00A22E99" w:rsidRPr="00B364CB" w:rsidRDefault="00A22E99" w:rsidP="00A22E99">
      <w:pPr>
        <w:pStyle w:val="MAWPHeadingStyleLevel4"/>
        <w:rPr>
          <w:lang w:eastAsia="en-GB"/>
        </w:rPr>
      </w:pPr>
      <w:r w:rsidRPr="00B364CB">
        <w:rPr>
          <w:lang w:eastAsia="en-GB"/>
        </w:rPr>
        <w:t>Rationale for support</w:t>
      </w:r>
    </w:p>
    <w:p w14:paraId="48A6DC67" w14:textId="21E98EDD" w:rsidR="00A22E99" w:rsidRPr="00B364CB" w:rsidRDefault="00A22E99" w:rsidP="00A22E99">
      <w:pPr>
        <w:pStyle w:val="MAWP-Bodytext"/>
      </w:pPr>
      <w:r w:rsidRPr="00B364CB">
        <w:t>Fuel cells unique proposition</w:t>
      </w:r>
      <w:r w:rsidR="00BC28B7" w:rsidRPr="00B364CB">
        <w:t>, relative to other technologies,</w:t>
      </w:r>
      <w:r w:rsidRPr="00B364CB">
        <w:t xml:space="preserve"> resides in that they are the only technology driven by hydrogen that is able to </w:t>
      </w:r>
      <w:r w:rsidR="00B953E5" w:rsidRPr="00B364CB">
        <w:t xml:space="preserve">silently </w:t>
      </w:r>
      <w:r w:rsidRPr="00B364CB">
        <w:t xml:space="preserve">generate clean energy with zero emissions. This positions fuel cells as a key technology to decarbonise a number of end user demands </w:t>
      </w:r>
      <w:r w:rsidR="00A62CAB" w:rsidRPr="00B364CB">
        <w:t xml:space="preserve">across a large range of sizes. Power production is common to all </w:t>
      </w:r>
      <w:r w:rsidR="00BC6481" w:rsidRPr="00B364CB">
        <w:t>applications</w:t>
      </w:r>
      <w:r w:rsidR="00A62CAB" w:rsidRPr="00B364CB">
        <w:t xml:space="preserve">. </w:t>
      </w:r>
      <w:r w:rsidR="00A62CAB" w:rsidRPr="00B364CB">
        <w:lastRenderedPageBreak/>
        <w:t xml:space="preserve">Depending on the specific </w:t>
      </w:r>
      <w:r w:rsidR="00BC6481" w:rsidRPr="00B364CB">
        <w:t>application,</w:t>
      </w:r>
      <w:r w:rsidR="00A62CAB" w:rsidRPr="00B364CB">
        <w:t xml:space="preserve"> additional value is provided in different forms.</w:t>
      </w:r>
    </w:p>
    <w:p w14:paraId="44622CF1" w14:textId="709985FA" w:rsidR="00A22E99" w:rsidRPr="00B364CB" w:rsidRDefault="00A22E99" w:rsidP="00A22E99">
      <w:pPr>
        <w:pStyle w:val="MAWPBodytextbullets"/>
      </w:pPr>
      <w:r w:rsidRPr="00B364CB">
        <w:t>Fuel cells (</w:t>
      </w:r>
      <w:r w:rsidR="00C07CF2" w:rsidRPr="00B364CB">
        <w:t>hydrogen admixtures</w:t>
      </w:r>
      <w:r w:rsidRPr="00B364CB">
        <w:t xml:space="preserve"> </w:t>
      </w:r>
      <w:r w:rsidR="00C07CF2" w:rsidRPr="00B364CB">
        <w:t xml:space="preserve">in natural gas </w:t>
      </w:r>
      <w:r w:rsidRPr="00B364CB">
        <w:t xml:space="preserve">or </w:t>
      </w:r>
      <w:r w:rsidR="00C07CF2" w:rsidRPr="00B364CB">
        <w:t xml:space="preserve">100% </w:t>
      </w:r>
      <w:r w:rsidRPr="00B364CB">
        <w:t>hydrogen</w:t>
      </w:r>
      <w:r w:rsidR="0073517D" w:rsidRPr="00B364CB">
        <w:t xml:space="preserve"> driven</w:t>
      </w:r>
      <w:r w:rsidRPr="00B364CB">
        <w:t>) for Combined Heat and Power (CHP) applications – fuel cells can provide heat for buildings</w:t>
      </w:r>
      <w:r w:rsidR="00BC28B7" w:rsidRPr="00B364CB">
        <w:rPr>
          <w:rStyle w:val="FootnoteReference"/>
        </w:rPr>
        <w:footnoteReference w:id="126"/>
      </w:r>
      <w:r w:rsidRPr="00B364CB">
        <w:t xml:space="preserve"> (directly or via district heating networks) as well as electricity at high efficiency. They can also provide heat and power to the service and industrial sectors; when coupled to thermal storage they can offer additional flexibility to the system. </w:t>
      </w:r>
    </w:p>
    <w:p w14:paraId="0562E502" w14:textId="77777777" w:rsidR="00A22E99" w:rsidRPr="00B364CB" w:rsidRDefault="00A22E99" w:rsidP="00A22E99">
      <w:pPr>
        <w:pStyle w:val="MAWPBodytextbullets"/>
      </w:pPr>
      <w:r w:rsidRPr="00B364CB">
        <w:t>Back-up power, gen-sets and off-grid power production (typically hydrogen, but also methanol and ammonia fuelled</w:t>
      </w:r>
      <w:r w:rsidR="002922D4">
        <w:t xml:space="preserve"> for longer term </w:t>
      </w:r>
      <w:r w:rsidR="00DC2D84">
        <w:t>back-up</w:t>
      </w:r>
      <w:r w:rsidRPr="00B364CB">
        <w:t xml:space="preserve">) – because of fast response times and low maintenance needs compared to diesel systems, fuel cells are an ideal component of back-up and temporary (portable) power systems. Fuel cells can also be used as main power sources for off-grid locations. </w:t>
      </w:r>
    </w:p>
    <w:p w14:paraId="3DF82DD5" w14:textId="2F6FE9CD" w:rsidR="00A22E99" w:rsidRPr="00B364CB" w:rsidRDefault="00A22E99" w:rsidP="00C07CF2">
      <w:pPr>
        <w:pStyle w:val="MAWPBodytextbullets"/>
      </w:pPr>
      <w:r w:rsidRPr="00B364CB">
        <w:t>Prime power (</w:t>
      </w:r>
      <w:r w:rsidR="00C07CF2" w:rsidRPr="00B364CB">
        <w:t xml:space="preserve">hydrogen admixtures in natural gas or </w:t>
      </w:r>
      <w:r w:rsidR="0073517D" w:rsidRPr="00B364CB">
        <w:t xml:space="preserve">100% </w:t>
      </w:r>
      <w:r w:rsidR="00C07CF2" w:rsidRPr="00B364CB">
        <w:t xml:space="preserve"> hydrogen driven</w:t>
      </w:r>
      <w:r w:rsidRPr="00B364CB">
        <w:t xml:space="preserve">) – fuel cells can also be used as prime power or primary power providers. In Europe there have been limited prime power applications, but in the US and Asia, applications such as data centres and large corporate campuses have seen significant uptake. </w:t>
      </w:r>
    </w:p>
    <w:p w14:paraId="75030F61" w14:textId="50B22DB6" w:rsidR="00A22E99" w:rsidRPr="00B364CB" w:rsidRDefault="00A22E99" w:rsidP="00A22E99">
      <w:pPr>
        <w:pStyle w:val="MAWP-Bodytext"/>
      </w:pPr>
      <w:r w:rsidRPr="00B364CB">
        <w:t xml:space="preserve">More advanced reversible fuel cell concepts can provide flexibility to the energy system and provide a means to link different energy sectors, e.g. gas and electricity grid but also heating networks, if by-product heat from the electrochemical conversion can be recovered and put to use. </w:t>
      </w:r>
    </w:p>
    <w:p w14:paraId="25B29CEC" w14:textId="00E8806C" w:rsidR="00A22E99" w:rsidRPr="00B364CB" w:rsidRDefault="00A22E99" w:rsidP="00A22E99">
      <w:pPr>
        <w:pStyle w:val="MAWP-Bodytext"/>
      </w:pPr>
      <w:r w:rsidRPr="00B364CB">
        <w:t xml:space="preserve">The focus of the </w:t>
      </w:r>
      <w:r w:rsidR="00831A2C">
        <w:t xml:space="preserve">Clean Hydrogen </w:t>
      </w:r>
      <w:r w:rsidRPr="00B364CB">
        <w:t>JU will be on hydrogen driven fuel cells. Large-scale deployment projects for</w:t>
      </w:r>
      <w:r w:rsidR="001F3B60" w:rsidRPr="00B364CB">
        <w:t xml:space="preserve"> </w:t>
      </w:r>
      <w:r w:rsidR="00F6500B" w:rsidRPr="00B364CB">
        <w:t>residential</w:t>
      </w:r>
      <w:r w:rsidRPr="00B364CB">
        <w:t xml:space="preserve"> micro</w:t>
      </w:r>
      <w:r w:rsidR="00F6500B" w:rsidRPr="00B364CB">
        <w:t>-</w:t>
      </w:r>
      <w:r w:rsidRPr="00B364CB">
        <w:t>CHP applications are not foreseen as they were already covered in the FCH 2 JU.</w:t>
      </w:r>
    </w:p>
    <w:p w14:paraId="0521DFFD" w14:textId="702EBD47" w:rsidR="00966C99" w:rsidRPr="00B364CB" w:rsidRDefault="00966C99" w:rsidP="00F43A04">
      <w:pPr>
        <w:pStyle w:val="MAWPHeadingStyleLevel4"/>
      </w:pPr>
      <w:r w:rsidRPr="00B364CB">
        <w:t xml:space="preserve">State of the </w:t>
      </w:r>
      <w:r w:rsidR="008839B3" w:rsidRPr="00B364CB">
        <w:t>A</w:t>
      </w:r>
      <w:r w:rsidRPr="00B364CB">
        <w:t>rt</w:t>
      </w:r>
    </w:p>
    <w:p w14:paraId="18C94192" w14:textId="16C40BF5" w:rsidR="00A22E99" w:rsidRPr="00B364CB" w:rsidRDefault="00A22E99" w:rsidP="00A22E99">
      <w:pPr>
        <w:pStyle w:val="MAWP-Bodytext"/>
      </w:pPr>
      <w:r w:rsidRPr="00B364CB">
        <w:t xml:space="preserve">Stationary applications of fuel cells range from </w:t>
      </w:r>
      <w:r w:rsidR="007E348D" w:rsidRPr="00B364CB">
        <w:t xml:space="preserve">a </w:t>
      </w:r>
      <w:r w:rsidRPr="00B364CB">
        <w:t xml:space="preserve">few hundred </w:t>
      </w:r>
      <w:r w:rsidR="0064542A">
        <w:t>W</w:t>
      </w:r>
      <w:r w:rsidRPr="00B364CB">
        <w:t>atts all the way to multi</w:t>
      </w:r>
      <w:r w:rsidR="007E348D" w:rsidRPr="00B364CB">
        <w:t>-</w:t>
      </w:r>
      <w:r w:rsidRPr="00B364CB">
        <w:t>MW systems. In Europe</w:t>
      </w:r>
      <w:r w:rsidR="007E348D" w:rsidRPr="00B364CB">
        <w:t>,</w:t>
      </w:r>
      <w:r w:rsidRPr="00B364CB">
        <w:t xml:space="preserve"> </w:t>
      </w:r>
      <w:r w:rsidR="007E348D" w:rsidRPr="00B364CB">
        <w:t>the</w:t>
      </w:r>
      <w:r w:rsidRPr="00B364CB">
        <w:t xml:space="preserve"> most mature application </w:t>
      </w:r>
      <w:r w:rsidR="003152ED" w:rsidRPr="00B364CB">
        <w:t xml:space="preserve">is </w:t>
      </w:r>
      <w:r w:rsidRPr="00B364CB">
        <w:t>micro co</w:t>
      </w:r>
      <w:r w:rsidR="00077847" w:rsidRPr="00B364CB">
        <w:t>mbined heat and power, micro-CH</w:t>
      </w:r>
      <w:r w:rsidR="006E317D" w:rsidRPr="00B364CB">
        <w:t>P</w:t>
      </w:r>
      <w:r w:rsidRPr="00B364CB">
        <w:t xml:space="preserve"> </w:t>
      </w:r>
      <w:r w:rsidR="00077847" w:rsidRPr="00B364CB">
        <w:t>(</w:t>
      </w:r>
      <w:r w:rsidRPr="00B364CB">
        <w:t>from 0.5 kWe to 5 kWe</w:t>
      </w:r>
      <w:r w:rsidR="00077847" w:rsidRPr="00B364CB">
        <w:t>)</w:t>
      </w:r>
      <w:r w:rsidR="007E348D" w:rsidRPr="00B364CB">
        <w:t>,</w:t>
      </w:r>
      <w:r w:rsidRPr="00B364CB">
        <w:t xml:space="preserve"> </w:t>
      </w:r>
      <w:r w:rsidR="007E348D" w:rsidRPr="00B364CB">
        <w:t>which</w:t>
      </w:r>
      <w:r w:rsidRPr="00B364CB">
        <w:t xml:space="preserve"> is typically used to provide heat and power for domestic applications and small business</w:t>
      </w:r>
      <w:r w:rsidR="007E348D" w:rsidRPr="00B364CB">
        <w:t>es</w:t>
      </w:r>
      <w:r w:rsidRPr="00B364CB">
        <w:t xml:space="preserve">. In Europe, most installed units are between 0.7 kWe and 2 kWe. Both PEMFC and SOFC are used, though SOFC units are a more common offering in Europe, and increasingly so globally. </w:t>
      </w:r>
    </w:p>
    <w:p w14:paraId="7BE53688" w14:textId="7A0B838D" w:rsidR="00A22E99" w:rsidRPr="00B364CB" w:rsidRDefault="00A22E99" w:rsidP="00A22E99">
      <w:pPr>
        <w:pStyle w:val="MAWP-Bodytext"/>
      </w:pPr>
      <w:r w:rsidRPr="00B364CB">
        <w:t>Deployment volumes in Europe are still low compared to other regions of the world. The European domestic market is developing, helped by support programmes such as the FCH</w:t>
      </w:r>
      <w:r w:rsidR="003152ED" w:rsidRPr="00B364CB">
        <w:t> </w:t>
      </w:r>
      <w:r w:rsidRPr="00B364CB">
        <w:t>2</w:t>
      </w:r>
      <w:r w:rsidR="003152ED" w:rsidRPr="00B364CB">
        <w:t> </w:t>
      </w:r>
      <w:r w:rsidRPr="00B364CB">
        <w:t>JU’s Ene.field</w:t>
      </w:r>
      <w:r w:rsidRPr="00B364CB">
        <w:rPr>
          <w:rStyle w:val="FootnoteReference"/>
        </w:rPr>
        <w:footnoteReference w:id="127"/>
      </w:r>
      <w:r w:rsidRPr="00B364CB">
        <w:t xml:space="preserve"> and PACE</w:t>
      </w:r>
      <w:r w:rsidRPr="00B364CB">
        <w:rPr>
          <w:rStyle w:val="FootnoteReference"/>
        </w:rPr>
        <w:footnoteReference w:id="128"/>
      </w:r>
      <w:r w:rsidRPr="00B364CB">
        <w:t xml:space="preserve"> projects, and the German KFW433 grant scheme (for systems 0.25-5 kWe). To date Europe has seen systems installed in the order of ten</w:t>
      </w:r>
      <w:r w:rsidR="000276FF">
        <w:t>s of</w:t>
      </w:r>
      <w:r w:rsidRPr="00B364CB">
        <w:t xml:space="preserve"> thousand</w:t>
      </w:r>
      <w:r w:rsidR="000276FF">
        <w:t>s</w:t>
      </w:r>
      <w:r w:rsidRPr="00B364CB">
        <w:t>, in contrast to installations of more than 300,000 in Japan alone. There are no other substantial markets for micro-CHP systems anywhere else in the world.</w:t>
      </w:r>
    </w:p>
    <w:p w14:paraId="2369FDF6" w14:textId="3286FD08" w:rsidR="00A22E99" w:rsidRPr="00B364CB" w:rsidRDefault="00A22E99" w:rsidP="00A22E99">
      <w:pPr>
        <w:pStyle w:val="MAWP-Bodytext"/>
      </w:pPr>
      <w:r w:rsidRPr="00B364CB">
        <w:t xml:space="preserve">Support under the FCH 2 JU managed to create a track record of micro-CHP installations, demonstrating the performance and market readiness of these technologies. Power efficiencies </w:t>
      </w:r>
      <w:r w:rsidR="000E0D55" w:rsidRPr="00B364CB">
        <w:t>as high as</w:t>
      </w:r>
      <w:r w:rsidRPr="00B364CB">
        <w:t xml:space="preserve"> 60% </w:t>
      </w:r>
      <w:r w:rsidR="000E0D55" w:rsidRPr="00B364CB">
        <w:t xml:space="preserve">and </w:t>
      </w:r>
      <w:r w:rsidR="00090510" w:rsidRPr="00B364CB">
        <w:t>total efficiencies</w:t>
      </w:r>
      <w:r w:rsidRPr="00B364CB">
        <w:t xml:space="preserve"> exceeding 90%</w:t>
      </w:r>
      <w:r w:rsidR="00CF269E" w:rsidRPr="00B364CB">
        <w:t xml:space="preserve"> have been achieved</w:t>
      </w:r>
      <w:r w:rsidRPr="00B364CB">
        <w:t xml:space="preserve">. Availability of 99% over sustained periods have been shown and some manufacturers claim stack durability of 10 years and system lifetimes of 15 years. </w:t>
      </w:r>
      <w:r w:rsidR="000E0D55" w:rsidRPr="00B364CB">
        <w:t>In addition, t</w:t>
      </w:r>
      <w:r w:rsidRPr="00B364CB">
        <w:t xml:space="preserve">he CAPEX of European systems </w:t>
      </w:r>
      <w:r w:rsidR="001F3B60" w:rsidRPr="00B364CB">
        <w:t>ha</w:t>
      </w:r>
      <w:r w:rsidR="006B394C" w:rsidRPr="00B364CB">
        <w:t>s</w:t>
      </w:r>
      <w:r w:rsidRPr="00B364CB">
        <w:t xml:space="preserve"> been </w:t>
      </w:r>
      <w:r w:rsidRPr="00B364CB">
        <w:lastRenderedPageBreak/>
        <w:t>reduced</w:t>
      </w:r>
      <w:r w:rsidR="00077847" w:rsidRPr="00B364CB">
        <w:t xml:space="preserve"> (below 10,000</w:t>
      </w:r>
      <w:r w:rsidR="00991325" w:rsidRPr="00B364CB">
        <w:t xml:space="preserve"> €</w:t>
      </w:r>
      <w:r w:rsidR="00077847" w:rsidRPr="00B364CB">
        <w:t>/kWe)</w:t>
      </w:r>
      <w:r w:rsidRPr="00B364CB">
        <w:t xml:space="preserve"> thanks to a combination of research and first industrial deployment. </w:t>
      </w:r>
      <w:r w:rsidR="00077847" w:rsidRPr="00B364CB">
        <w:t>T</w:t>
      </w:r>
      <w:r w:rsidRPr="00B364CB">
        <w:t xml:space="preserve">here is room to decrease </w:t>
      </w:r>
      <w:r w:rsidR="000E0D55" w:rsidRPr="00B364CB">
        <w:t xml:space="preserve">costs further </w:t>
      </w:r>
      <w:r w:rsidR="00077847" w:rsidRPr="00B364CB">
        <w:t xml:space="preserve">and </w:t>
      </w:r>
      <w:r w:rsidR="00CC4C59" w:rsidRPr="00B364CB">
        <w:t xml:space="preserve">incremental </w:t>
      </w:r>
      <w:r w:rsidR="007E348D" w:rsidRPr="00B364CB">
        <w:t xml:space="preserve">additional </w:t>
      </w:r>
      <w:r w:rsidR="00077847" w:rsidRPr="00B364CB">
        <w:t>work is needed to allow operation under 0-100%</w:t>
      </w:r>
      <w:r w:rsidR="00FB0961" w:rsidRPr="00B364CB">
        <w:t xml:space="preserve"> </w:t>
      </w:r>
      <w:r w:rsidR="00BC6481" w:rsidRPr="00B364CB">
        <w:t>hydrogen</w:t>
      </w:r>
      <w:r w:rsidR="00077847" w:rsidRPr="00B364CB">
        <w:t xml:space="preserve"> admixtures.</w:t>
      </w:r>
    </w:p>
    <w:p w14:paraId="34409844" w14:textId="54DBECCE" w:rsidR="00A22E99" w:rsidRPr="00B364CB" w:rsidRDefault="00A22E99" w:rsidP="00A22E99">
      <w:pPr>
        <w:pStyle w:val="MAWP-Bodytext"/>
      </w:pPr>
      <w:r w:rsidRPr="00B364CB">
        <w:t xml:space="preserve">Fuel cells for cogeneration can also be used to supply the needs of commercial buildings and the service sector, </w:t>
      </w:r>
      <w:r w:rsidR="000E0D55" w:rsidRPr="00B364CB">
        <w:t xml:space="preserve">also </w:t>
      </w:r>
      <w:r w:rsidRPr="00B364CB">
        <w:t xml:space="preserve">in combination with thermal storage, </w:t>
      </w:r>
      <w:r w:rsidR="003152ED" w:rsidRPr="00B364CB">
        <w:t>and to</w:t>
      </w:r>
      <w:r w:rsidRPr="00B364CB">
        <w:t xml:space="preserve"> be the heat source for district heating networks. These applications typically range between 5 - 500 kWe system capacity. Such a market is considered small, both globally and for Europe</w:t>
      </w:r>
      <w:r w:rsidR="00396602" w:rsidRPr="00B364CB">
        <w:t xml:space="preserve">. </w:t>
      </w:r>
      <w:r w:rsidR="000E0D55" w:rsidRPr="00B364CB">
        <w:t>Still a number of actors in Europe have started to demonstrate solutions in real installations</w:t>
      </w:r>
      <w:r w:rsidR="00F97232">
        <w:t>, like FCH JU projects DEMOSOFC</w:t>
      </w:r>
      <w:r w:rsidR="006E317D" w:rsidRPr="00B364CB">
        <w:rPr>
          <w:rStyle w:val="FootnoteReference"/>
        </w:rPr>
        <w:footnoteReference w:id="129"/>
      </w:r>
      <w:r w:rsidR="00F97232">
        <w:t xml:space="preserve"> and ComSos</w:t>
      </w:r>
      <w:r w:rsidR="00F97232">
        <w:rPr>
          <w:rStyle w:val="FootnoteReference"/>
        </w:rPr>
        <w:footnoteReference w:id="130"/>
      </w:r>
      <w:r w:rsidR="000E0D55" w:rsidRPr="00B364CB">
        <w:t>. C</w:t>
      </w:r>
      <w:r w:rsidR="00396602" w:rsidRPr="00B364CB">
        <w:t>osts of Europe’s fuel cell</w:t>
      </w:r>
      <w:r w:rsidR="000E0D55" w:rsidRPr="00B364CB">
        <w:t xml:space="preserve"> systems</w:t>
      </w:r>
      <w:r w:rsidR="00396602" w:rsidRPr="00B364CB">
        <w:t xml:space="preserve"> for these applications still remain high.</w:t>
      </w:r>
    </w:p>
    <w:p w14:paraId="2D1E30A3" w14:textId="6DCE3BC4" w:rsidR="00A22E99" w:rsidRPr="00B364CB" w:rsidRDefault="000E0D55" w:rsidP="00A22E99">
      <w:pPr>
        <w:pStyle w:val="MAWP-Bodytext"/>
      </w:pPr>
      <w:r w:rsidRPr="00B364CB">
        <w:t>In recent years</w:t>
      </w:r>
      <w:r w:rsidR="007E348D" w:rsidRPr="00B364CB">
        <w:t>,</w:t>
      </w:r>
      <w:r w:rsidR="00A22E99" w:rsidRPr="00B364CB">
        <w:t xml:space="preserve"> Europe </w:t>
      </w:r>
      <w:r w:rsidRPr="00B364CB">
        <w:t>has developed and trialled</w:t>
      </w:r>
      <w:r w:rsidR="00A22E99" w:rsidRPr="00B364CB">
        <w:t xml:space="preserve"> reversible fuel cell systems using solid oxide cells.  The fuel cell uses natural gas to generate heat and power (and hydrogen if operated in poly-generation mode) and in reversible operation they can generate hydrogen </w:t>
      </w:r>
      <w:r w:rsidR="007E348D" w:rsidRPr="00B364CB">
        <w:t xml:space="preserve">via </w:t>
      </w:r>
      <w:r w:rsidR="00A22E99" w:rsidRPr="00B364CB">
        <w:t xml:space="preserve">electrolysis. These concepts are now being tested in the sub 100 kWe scale with promising results, although </w:t>
      </w:r>
      <w:r w:rsidR="005940B3" w:rsidRPr="00B364CB">
        <w:t>sustained efforts are required on the</w:t>
      </w:r>
      <w:r w:rsidR="001F3B60" w:rsidRPr="00B364CB">
        <w:t xml:space="preserve"> </w:t>
      </w:r>
      <w:r w:rsidR="00A22E99" w:rsidRPr="00B364CB">
        <w:t>way to commercialisation.</w:t>
      </w:r>
    </w:p>
    <w:p w14:paraId="7A3C9F13" w14:textId="7FA5F238" w:rsidR="00A22E99" w:rsidRPr="00B364CB" w:rsidRDefault="00A22E99" w:rsidP="00A22E99">
      <w:pPr>
        <w:pStyle w:val="MAWP-Bodytext"/>
      </w:pPr>
      <w:r w:rsidRPr="00B364CB">
        <w:t xml:space="preserve">Larger size cogeneration applications with fuel cells are possible (500 </w:t>
      </w:r>
      <w:r w:rsidR="003152ED" w:rsidRPr="00B364CB">
        <w:t>k</w:t>
      </w:r>
      <w:r w:rsidRPr="00B364CB">
        <w:t xml:space="preserve">We and over). </w:t>
      </w:r>
      <w:r w:rsidR="00A62CAB" w:rsidRPr="00B364CB">
        <w:t>T</w:t>
      </w:r>
      <w:r w:rsidRPr="00B364CB">
        <w:t xml:space="preserve">his market in Europe is still underdeveloped </w:t>
      </w:r>
      <w:r w:rsidR="00A62CAB" w:rsidRPr="00B364CB">
        <w:t>although</w:t>
      </w:r>
      <w:r w:rsidRPr="00B364CB">
        <w:t xml:space="preserve"> </w:t>
      </w:r>
      <w:r w:rsidR="00A62CAB" w:rsidRPr="00B364CB">
        <w:t xml:space="preserve">several </w:t>
      </w:r>
      <w:r w:rsidRPr="00B364CB">
        <w:t>European actors offer MWe scale fuel cells. To date</w:t>
      </w:r>
      <w:r w:rsidR="007E348D" w:rsidRPr="00B364CB">
        <w:t>,</w:t>
      </w:r>
      <w:r w:rsidRPr="00B364CB">
        <w:t xml:space="preserve"> </w:t>
      </w:r>
      <w:r w:rsidR="007E348D" w:rsidRPr="00B364CB">
        <w:t>only a</w:t>
      </w:r>
      <w:r w:rsidRPr="00B364CB">
        <w:t xml:space="preserve"> </w:t>
      </w:r>
      <w:r w:rsidR="00A62CAB" w:rsidRPr="00B364CB">
        <w:t>few</w:t>
      </w:r>
      <w:r w:rsidRPr="00B364CB">
        <w:t xml:space="preserve"> demonstrations have taken place</w:t>
      </w:r>
      <w:r w:rsidR="00F97232">
        <w:t xml:space="preserve">, including FCH JU projects </w:t>
      </w:r>
      <w:r w:rsidR="00F97232" w:rsidRPr="00B364CB">
        <w:t>DEMCOPEM2MW</w:t>
      </w:r>
      <w:r w:rsidR="00F97232">
        <w:rPr>
          <w:rStyle w:val="FootnoteReference"/>
        </w:rPr>
        <w:footnoteReference w:id="131"/>
      </w:r>
      <w:r w:rsidR="00F97232">
        <w:t xml:space="preserve"> </w:t>
      </w:r>
      <w:r w:rsidR="00F97232" w:rsidRPr="00B364CB">
        <w:t>and CLEARGENDMEMO</w:t>
      </w:r>
      <w:r w:rsidR="00D778C5" w:rsidRPr="00B364CB">
        <w:rPr>
          <w:rStyle w:val="FootnoteReference"/>
        </w:rPr>
        <w:footnoteReference w:id="132"/>
      </w:r>
      <w:r w:rsidRPr="00B364CB">
        <w:t xml:space="preserve"> using the first generation of MWe scale systems, mainly in overseas markets </w:t>
      </w:r>
      <w:r w:rsidR="00C31196" w:rsidRPr="00B364CB">
        <w:t>with</w:t>
      </w:r>
      <w:r w:rsidRPr="00B364CB">
        <w:t xml:space="preserve"> more favourable </w:t>
      </w:r>
      <w:r w:rsidR="00426C57" w:rsidRPr="00B364CB">
        <w:t xml:space="preserve">market </w:t>
      </w:r>
      <w:r w:rsidRPr="00B364CB">
        <w:t>conditions. The next generation systems</w:t>
      </w:r>
      <w:r w:rsidR="00090510" w:rsidRPr="00B364CB">
        <w:t xml:space="preserve">, </w:t>
      </w:r>
      <w:r w:rsidRPr="00B364CB">
        <w:t>are currently being developed</w:t>
      </w:r>
      <w:r w:rsidR="00CD227A" w:rsidRPr="00B364CB">
        <w:t xml:space="preserve"> for reduced costs and dynamic operation</w:t>
      </w:r>
      <w:r w:rsidRPr="00B364CB">
        <w:t>.</w:t>
      </w:r>
    </w:p>
    <w:p w14:paraId="02AF8F25" w14:textId="37618648" w:rsidR="00A22E99" w:rsidRPr="00B364CB" w:rsidRDefault="0099655F" w:rsidP="00A22E99">
      <w:pPr>
        <w:pStyle w:val="MAWP-Bodytext"/>
      </w:pPr>
      <w:r w:rsidRPr="00B364CB">
        <w:t>Conventional</w:t>
      </w:r>
      <w:r w:rsidR="00FB0961" w:rsidRPr="00B364CB">
        <w:t xml:space="preserve"> </w:t>
      </w:r>
      <w:r w:rsidR="001F3B60" w:rsidRPr="00B364CB">
        <w:t>back</w:t>
      </w:r>
      <w:r w:rsidR="00A22E99" w:rsidRPr="00B364CB">
        <w:t xml:space="preserve">-up, portable and off-grid power solutions use </w:t>
      </w:r>
      <w:r w:rsidR="00090510" w:rsidRPr="00B364CB">
        <w:t xml:space="preserve">fossil fuel based </w:t>
      </w:r>
      <w:r w:rsidR="00A22E99" w:rsidRPr="00B364CB">
        <w:t xml:space="preserve">engine generators </w:t>
      </w:r>
      <w:r w:rsidR="00090510" w:rsidRPr="00B364CB">
        <w:t>and are sometimes</w:t>
      </w:r>
      <w:r w:rsidR="00A22E99" w:rsidRPr="00B364CB">
        <w:t xml:space="preserve"> combined with batteries to provide the required reliability of service</w:t>
      </w:r>
      <w:r w:rsidR="00090510" w:rsidRPr="00B364CB">
        <w:t>.</w:t>
      </w:r>
      <w:r w:rsidR="00A22E99" w:rsidRPr="00B364CB">
        <w:t xml:space="preserve"> Fuel cells offer </w:t>
      </w:r>
      <w:r w:rsidR="00090510" w:rsidRPr="00B364CB">
        <w:t>a clean and higher efficiency alternative, require less mainten</w:t>
      </w:r>
      <w:r w:rsidR="00077847" w:rsidRPr="00B364CB">
        <w:t>an</w:t>
      </w:r>
      <w:r w:rsidR="00090510" w:rsidRPr="00B364CB">
        <w:t xml:space="preserve">ce, </w:t>
      </w:r>
      <w:r w:rsidR="00077847" w:rsidRPr="00B364CB">
        <w:t xml:space="preserve">provide </w:t>
      </w:r>
      <w:r w:rsidR="00A22E99" w:rsidRPr="00B364CB">
        <w:t xml:space="preserve">extended runtimes relative to batteries and are better placed to operate under harsh outdoor environments. Nevertheless, Europe’s market in these sectors </w:t>
      </w:r>
      <w:r w:rsidR="00077847" w:rsidRPr="00B364CB">
        <w:t>needs further development</w:t>
      </w:r>
      <w:r w:rsidR="00A22E99" w:rsidRPr="00B364CB">
        <w:t xml:space="preserve">. This situation differs largely from the </w:t>
      </w:r>
      <w:r w:rsidR="0073517D" w:rsidRPr="00B364CB">
        <w:t>rest of the world</w:t>
      </w:r>
      <w:r w:rsidR="00A22E99" w:rsidRPr="00B364CB">
        <w:t xml:space="preserve"> where</w:t>
      </w:r>
      <w:r w:rsidR="007E348D" w:rsidRPr="00B364CB">
        <w:t>,</w:t>
      </w:r>
      <w:r w:rsidR="00A22E99" w:rsidRPr="00B364CB">
        <w:t xml:space="preserve"> for instance in the US</w:t>
      </w:r>
      <w:r w:rsidR="007E348D" w:rsidRPr="00B364CB">
        <w:t>,</w:t>
      </w:r>
      <w:r w:rsidR="00A22E99" w:rsidRPr="00B364CB">
        <w:t xml:space="preserve"> most fuel cells for stationary application are used as back-up power supply to reinforce the unreliable power grid. </w:t>
      </w:r>
    </w:p>
    <w:p w14:paraId="2D0293E6" w14:textId="1C4A5824" w:rsidR="00966C99" w:rsidRPr="00B364CB" w:rsidRDefault="00A22E99" w:rsidP="00A22E99">
      <w:pPr>
        <w:pStyle w:val="MAWP-Bodytext"/>
      </w:pPr>
      <w:r w:rsidRPr="00B364CB">
        <w:t>Fuel cells can also be used as prime power solutions for continuous on-site power generation instead of grid electricity. These applications in Europe have seen limited activity, though in the US and Asia, an increasing number of fuel cells serve as the primary power source for data centres and large corporate campuses, where the provision of reliable power supply is critical.</w:t>
      </w:r>
    </w:p>
    <w:p w14:paraId="56F09C4B" w14:textId="77777777" w:rsidR="00966C99" w:rsidRPr="00B364CB" w:rsidRDefault="00966C99" w:rsidP="00F43A04">
      <w:pPr>
        <w:pStyle w:val="MAWPHeadingStyleLevel4"/>
      </w:pPr>
      <w:r w:rsidRPr="00B364CB">
        <w:t>Objectives</w:t>
      </w:r>
    </w:p>
    <w:p w14:paraId="546E1789" w14:textId="01DB8A55" w:rsidR="000E0D55" w:rsidRPr="00B364CB" w:rsidRDefault="000E0D55" w:rsidP="00A22E99">
      <w:pPr>
        <w:pStyle w:val="MAWP-Bodytext"/>
      </w:pPr>
      <w:r w:rsidRPr="00B364CB">
        <w:t xml:space="preserve">Europe’s has an objective for climate neutrality in 2050. This means that a large penetration of variable renewable power generation as well as an increased presence of renewable gases in the years to come and until 2050. Support in this area should therefore be oriented to develop solutions that are compatible </w:t>
      </w:r>
      <w:r w:rsidR="00F97F12" w:rsidRPr="00B364CB">
        <w:t xml:space="preserve">with, </w:t>
      </w:r>
      <w:r w:rsidR="00D778C5" w:rsidRPr="00B364CB">
        <w:t>and come in support of</w:t>
      </w:r>
      <w:r w:rsidR="00F97F12" w:rsidRPr="00B364CB">
        <w:t>,</w:t>
      </w:r>
      <w:r w:rsidRPr="00B364CB">
        <w:t xml:space="preserve"> </w:t>
      </w:r>
      <w:r w:rsidR="00D778C5" w:rsidRPr="00B364CB">
        <w:t>this</w:t>
      </w:r>
      <w:r w:rsidRPr="00B364CB">
        <w:t xml:space="preserve"> scenario.  </w:t>
      </w:r>
    </w:p>
    <w:p w14:paraId="0330B40A" w14:textId="0AE2F507" w:rsidR="00A22E99" w:rsidRPr="00B364CB" w:rsidRDefault="0027687C" w:rsidP="00A22E99">
      <w:pPr>
        <w:pStyle w:val="MAWP-Bodytext"/>
      </w:pPr>
      <w:r w:rsidRPr="00B364CB">
        <w:t xml:space="preserve">In terms of ambition, </w:t>
      </w:r>
      <w:r w:rsidR="0025058E">
        <w:t xml:space="preserve">Hydrogen Europe in the </w:t>
      </w:r>
      <w:r w:rsidR="00320417">
        <w:rPr>
          <w:color w:val="auto"/>
        </w:rPr>
        <w:t>S</w:t>
      </w:r>
      <w:r w:rsidR="00320417" w:rsidRPr="00B364CB">
        <w:rPr>
          <w:color w:val="auto"/>
        </w:rPr>
        <w:t xml:space="preserve">trategic </w:t>
      </w:r>
      <w:r w:rsidR="00320417">
        <w:rPr>
          <w:color w:val="auto"/>
        </w:rPr>
        <w:t>R</w:t>
      </w:r>
      <w:r w:rsidR="00320417" w:rsidRPr="00B364CB">
        <w:rPr>
          <w:color w:val="auto"/>
        </w:rPr>
        <w:t xml:space="preserve">esearch and </w:t>
      </w:r>
      <w:r w:rsidR="00320417">
        <w:rPr>
          <w:color w:val="auto"/>
        </w:rPr>
        <w:t>I</w:t>
      </w:r>
      <w:r w:rsidR="00320417" w:rsidRPr="00B364CB">
        <w:rPr>
          <w:color w:val="auto"/>
        </w:rPr>
        <w:t xml:space="preserve">nnovation </w:t>
      </w:r>
      <w:r w:rsidR="00320417">
        <w:rPr>
          <w:color w:val="auto"/>
        </w:rPr>
        <w:t>A</w:t>
      </w:r>
      <w:r w:rsidR="00320417" w:rsidRPr="00B364CB">
        <w:rPr>
          <w:color w:val="auto"/>
        </w:rPr>
        <w:t xml:space="preserve">genda </w:t>
      </w:r>
      <w:r w:rsidR="00320417">
        <w:rPr>
          <w:color w:val="auto"/>
        </w:rPr>
        <w:t>of the Industry</w:t>
      </w:r>
      <w:r w:rsidR="00320417">
        <w:t xml:space="preserve"> (</w:t>
      </w:r>
      <w:r w:rsidR="00F22FEB">
        <w:t>SRIA-HE</w:t>
      </w:r>
      <w:r w:rsidR="00320417">
        <w:t>)</w:t>
      </w:r>
      <w:r w:rsidR="0025058E">
        <w:t xml:space="preserve"> </w:t>
      </w:r>
      <w:r w:rsidR="00A22E99" w:rsidRPr="00B364CB">
        <w:t>set the vision to deploy over 2.5</w:t>
      </w:r>
      <w:r w:rsidR="00F97F12" w:rsidRPr="00B364CB">
        <w:t xml:space="preserve"> </w:t>
      </w:r>
      <w:r w:rsidR="00A22E99" w:rsidRPr="00B364CB">
        <w:t>GWe of stationary fuel cells by 2030</w:t>
      </w:r>
      <w:r w:rsidR="00F97232">
        <w:t xml:space="preserve">. </w:t>
      </w:r>
      <w:r w:rsidR="00A22E99" w:rsidRPr="00B364CB">
        <w:t xml:space="preserve">In </w:t>
      </w:r>
      <w:r w:rsidR="00A22E99" w:rsidRPr="00B364CB">
        <w:lastRenderedPageBreak/>
        <w:t>addition, the expectations are for numerous European manufacturers producing 500</w:t>
      </w:r>
      <w:r w:rsidR="00F97F12" w:rsidRPr="00B364CB">
        <w:t xml:space="preserve"> </w:t>
      </w:r>
      <w:r w:rsidR="00A22E99" w:rsidRPr="00B364CB">
        <w:t xml:space="preserve">MW sales/year by the end of 2030. </w:t>
      </w:r>
      <w:r w:rsidR="00B026AD" w:rsidRPr="00B364CB">
        <w:t>I</w:t>
      </w:r>
      <w:r w:rsidR="00A22E99" w:rsidRPr="00B364CB">
        <w:t xml:space="preserve">n order </w:t>
      </w:r>
      <w:r w:rsidR="00CB00A6" w:rsidRPr="00B364CB">
        <w:t>to</w:t>
      </w:r>
      <w:r w:rsidR="00A22E99" w:rsidRPr="00B364CB">
        <w:t xml:space="preserve"> facilitate such large uptake of stationary fuel cells the objectives of the </w:t>
      </w:r>
      <w:r w:rsidR="00831A2C">
        <w:t xml:space="preserve">Clean Hydrogen </w:t>
      </w:r>
      <w:r w:rsidR="00A22E99" w:rsidRPr="00B364CB">
        <w:t xml:space="preserve">JU </w:t>
      </w:r>
      <w:r w:rsidR="00FE0F77" w:rsidRPr="00B364CB">
        <w:t xml:space="preserve">it will be important to improve the techno-economic performance of fuel cells for stationary applications </w:t>
      </w:r>
      <w:r w:rsidR="00D8184D" w:rsidRPr="00B364CB">
        <w:t xml:space="preserve">in order </w:t>
      </w:r>
      <w:r w:rsidR="00FE0F77" w:rsidRPr="00B364CB">
        <w:t xml:space="preserve">to increase the penetration in the market of such solutions. To </w:t>
      </w:r>
      <w:r w:rsidR="007F0CD7" w:rsidRPr="00B364CB">
        <w:t>achieve</w:t>
      </w:r>
      <w:r w:rsidR="00FE0F77" w:rsidRPr="00B364CB">
        <w:t xml:space="preserve"> this the </w:t>
      </w:r>
      <w:r w:rsidR="007F0CD7" w:rsidRPr="00B364CB">
        <w:t>objectives</w:t>
      </w:r>
      <w:r w:rsidR="00FE0F77" w:rsidRPr="00B364CB">
        <w:t xml:space="preserve"> of </w:t>
      </w:r>
      <w:r w:rsidR="00A22E99" w:rsidRPr="00B364CB">
        <w:t>this pillar are set as follows:</w:t>
      </w:r>
    </w:p>
    <w:p w14:paraId="7E778BA4" w14:textId="77777777" w:rsidR="00A22E99" w:rsidRPr="00B364CB" w:rsidRDefault="00A22E99" w:rsidP="002256F6">
      <w:pPr>
        <w:pStyle w:val="MAWPBodyTextNumbered"/>
        <w:numPr>
          <w:ilvl w:val="0"/>
          <w:numId w:val="42"/>
        </w:numPr>
      </w:pPr>
      <w:r w:rsidRPr="00B364CB">
        <w:t xml:space="preserve">Reducing CAPEX and TCO of stationary fuel cells of all sizes and end use applications; </w:t>
      </w:r>
    </w:p>
    <w:p w14:paraId="4B3512A2" w14:textId="21319ECD" w:rsidR="00A22E99" w:rsidRPr="001009CB" w:rsidRDefault="00A22E99" w:rsidP="00A22E99">
      <w:pPr>
        <w:pStyle w:val="MAWPBodyTextNumbered"/>
      </w:pPr>
      <w:r w:rsidRPr="00B364CB">
        <w:t xml:space="preserve">Prepare and </w:t>
      </w:r>
      <w:r w:rsidRPr="001009CB">
        <w:t xml:space="preserve">demonstrate </w:t>
      </w:r>
      <w:r w:rsidR="00B85F9E" w:rsidRPr="001009CB">
        <w:t xml:space="preserve">the next generation of fuel cells for stationary applications </w:t>
      </w:r>
      <w:r w:rsidR="0095362C" w:rsidRPr="001009CB">
        <w:t>able to run under 100% H</w:t>
      </w:r>
      <w:r w:rsidR="0095362C" w:rsidRPr="001009CB">
        <w:rPr>
          <w:vertAlign w:val="subscript"/>
        </w:rPr>
        <w:t>2</w:t>
      </w:r>
      <w:r w:rsidR="0095362C" w:rsidRPr="001009CB">
        <w:t xml:space="preserve"> and other H</w:t>
      </w:r>
      <w:r w:rsidR="0095362C" w:rsidRPr="001009CB">
        <w:rPr>
          <w:vertAlign w:val="subscript"/>
        </w:rPr>
        <w:t>2</w:t>
      </w:r>
      <w:r w:rsidR="0095362C" w:rsidRPr="001009CB">
        <w:t>-rich fuels whilst keeping high performance</w:t>
      </w:r>
      <w:r w:rsidR="00D8184D" w:rsidRPr="001009CB">
        <w:t>;</w:t>
      </w:r>
      <w:r w:rsidR="00B85F9E" w:rsidRPr="001009CB">
        <w:t xml:space="preserve">  </w:t>
      </w:r>
    </w:p>
    <w:p w14:paraId="4E18AB97" w14:textId="7BF11FA8" w:rsidR="00A22E99" w:rsidRPr="001009CB" w:rsidRDefault="00A22E99" w:rsidP="00A22E99">
      <w:pPr>
        <w:pStyle w:val="MAWPBodyTextNumbered"/>
      </w:pPr>
      <w:r w:rsidRPr="001009CB">
        <w:t xml:space="preserve">Improve flexibility </w:t>
      </w:r>
      <w:r w:rsidR="0095362C" w:rsidRPr="001009CB">
        <w:t xml:space="preserve">of systems </w:t>
      </w:r>
      <w:r w:rsidRPr="001009CB">
        <w:t>in operation in particular with reversible fuel cells and integration with thermal storage;</w:t>
      </w:r>
    </w:p>
    <w:p w14:paraId="57933589" w14:textId="31165D5F" w:rsidR="00A22E99" w:rsidRPr="001009CB" w:rsidRDefault="00A22E99" w:rsidP="002341C2">
      <w:pPr>
        <w:pStyle w:val="MAWPBodyTextNumbered"/>
      </w:pPr>
      <w:r w:rsidRPr="001009CB">
        <w:t>Reducing use of critical raw materials</w:t>
      </w:r>
      <w:r w:rsidR="002341C2" w:rsidRPr="001009CB">
        <w:t xml:space="preserve"> and recycling </w:t>
      </w:r>
      <w:r w:rsidR="00E266C3">
        <w:t>them</w:t>
      </w:r>
      <w:r w:rsidR="002341C2" w:rsidRPr="001009CB">
        <w:t xml:space="preserve"> for fu</w:t>
      </w:r>
      <w:r w:rsidR="00F47B09" w:rsidRPr="001009CB">
        <w:t>r</w:t>
      </w:r>
      <w:r w:rsidR="002341C2" w:rsidRPr="001009CB">
        <w:t>ther usage</w:t>
      </w:r>
      <w:r w:rsidRPr="001009CB">
        <w:t>;</w:t>
      </w:r>
    </w:p>
    <w:p w14:paraId="45799B7E" w14:textId="77777777" w:rsidR="00A22E99" w:rsidRPr="00B364CB" w:rsidRDefault="00A22E99" w:rsidP="00A22E99">
      <w:pPr>
        <w:pStyle w:val="MAWPBodyTextNumbered"/>
      </w:pPr>
      <w:r w:rsidRPr="00B364CB">
        <w:t>Support development of processes suitable for mass manufacturing.</w:t>
      </w:r>
    </w:p>
    <w:p w14:paraId="654EF8A1" w14:textId="294CD936" w:rsidR="00A22E99" w:rsidRPr="00B364CB" w:rsidRDefault="00A22E99" w:rsidP="00A22E99">
      <w:pPr>
        <w:pStyle w:val="MAWP-Bodytext"/>
      </w:pPr>
      <w:r w:rsidRPr="00B364CB">
        <w:t xml:space="preserve">In order to achieve the above objectives and building on the current SoA, the focus of the support under this activity area is detailed below. </w:t>
      </w:r>
    </w:p>
    <w:p w14:paraId="21A519BF" w14:textId="3CC74232" w:rsidR="00A22E99" w:rsidRPr="00B364CB" w:rsidRDefault="00A22E99" w:rsidP="00A22E99">
      <w:pPr>
        <w:pStyle w:val="MAWP-Bodytext"/>
      </w:pPr>
      <w:r w:rsidRPr="00B364CB">
        <w:t xml:space="preserve">Support to micro-CHP systems shall focus on research activities aiming to prepare the next generation of fuel cell micro-CHP systems. The ultimately objective is to reduce CAPEX and TCO to competitive levels and to </w:t>
      </w:r>
      <w:r w:rsidR="00124AF7" w:rsidRPr="00B364CB">
        <w:t>validate</w:t>
      </w:r>
      <w:r w:rsidRPr="00B364CB">
        <w:t xml:space="preserve"> </w:t>
      </w:r>
      <w:r w:rsidR="007F0CD7" w:rsidRPr="00B364CB">
        <w:t xml:space="preserve">the performance of </w:t>
      </w:r>
      <w:r w:rsidRPr="00B364CB">
        <w:t xml:space="preserve">units </w:t>
      </w:r>
      <w:r w:rsidR="001F3B60" w:rsidRPr="00B364CB">
        <w:t>run</w:t>
      </w:r>
      <w:r w:rsidR="00FF4719" w:rsidRPr="00B364CB">
        <w:t>ning</w:t>
      </w:r>
      <w:r w:rsidRPr="00B364CB">
        <w:t xml:space="preserve"> on 100% hydrogen.  Reversible fuel cell concepts at this small scale could be considered if sufficient demand and a positive business case </w:t>
      </w:r>
      <w:r w:rsidR="00713AF7" w:rsidRPr="00B364CB">
        <w:t xml:space="preserve">can </w:t>
      </w:r>
      <w:r w:rsidRPr="00B364CB">
        <w:t>be identified</w:t>
      </w:r>
      <w:r w:rsidR="009C2A75" w:rsidRPr="00B364CB">
        <w:t>, empowering end-users</w:t>
      </w:r>
      <w:r w:rsidR="001F3B60" w:rsidRPr="00B364CB">
        <w:t>.</w:t>
      </w:r>
      <w:r w:rsidRPr="00B364CB">
        <w:t xml:space="preserve">  </w:t>
      </w:r>
    </w:p>
    <w:p w14:paraId="55D98562" w14:textId="41A01CAE" w:rsidR="00A22E99" w:rsidRPr="00B364CB" w:rsidRDefault="00A22E99" w:rsidP="00A22E99">
      <w:pPr>
        <w:pStyle w:val="MAWP-Bodytext"/>
      </w:pPr>
      <w:r w:rsidRPr="00B364CB">
        <w:t>For commercial buildings and service sector applications</w:t>
      </w:r>
      <w:r w:rsidR="0088452A" w:rsidRPr="00B364CB">
        <w:t>,</w:t>
      </w:r>
      <w:r w:rsidRPr="00B364CB">
        <w:t xml:space="preserve"> cost reduction </w:t>
      </w:r>
      <w:r w:rsidR="003C41F1" w:rsidRPr="00B364CB">
        <w:t>through</w:t>
      </w:r>
      <w:r w:rsidR="001F3B60" w:rsidRPr="00B364CB">
        <w:t xml:space="preserve"> </w:t>
      </w:r>
      <w:r w:rsidRPr="00B364CB">
        <w:t xml:space="preserve">new stack designs and </w:t>
      </w:r>
      <w:r w:rsidR="0029026E" w:rsidRPr="00B364CB">
        <w:t xml:space="preserve">improved </w:t>
      </w:r>
      <w:r w:rsidRPr="00B364CB">
        <w:t xml:space="preserve">components </w:t>
      </w:r>
      <w:r w:rsidR="003C41F1" w:rsidRPr="00B364CB">
        <w:t>in order</w:t>
      </w:r>
      <w:r w:rsidR="001F3B60" w:rsidRPr="00B364CB">
        <w:t xml:space="preserve"> </w:t>
      </w:r>
      <w:r w:rsidRPr="00B364CB">
        <w:t xml:space="preserve">to improve </w:t>
      </w:r>
      <w:r w:rsidR="00E261E4" w:rsidRPr="00B364CB">
        <w:t xml:space="preserve">the </w:t>
      </w:r>
      <w:r w:rsidRPr="00B364CB">
        <w:t>flexibility in operation</w:t>
      </w:r>
      <w:r w:rsidR="003C41F1" w:rsidRPr="00B364CB">
        <w:t xml:space="preserve"> should be prioritised</w:t>
      </w:r>
      <w:r w:rsidRPr="00B364CB">
        <w:t xml:space="preserve">. </w:t>
      </w:r>
      <w:r w:rsidR="00114F25" w:rsidRPr="00B364CB">
        <w:t>S</w:t>
      </w:r>
      <w:r w:rsidR="001F3B60" w:rsidRPr="00B364CB">
        <w:t>upport</w:t>
      </w:r>
      <w:r w:rsidRPr="00B364CB">
        <w:t xml:space="preserve"> is foreseen for the demonstration of small and medium reversible fuel cell concepts</w:t>
      </w:r>
      <w:r w:rsidR="004C2E68" w:rsidRPr="00B364CB">
        <w:t>. Those pave the way to</w:t>
      </w:r>
      <w:r w:rsidRPr="00B364CB">
        <w:t xml:space="preserve"> deploy distributed commercial systems capable of linking electricity and gas grids at medium and low voltage levels, and </w:t>
      </w:r>
      <w:r w:rsidR="00AC6AF3" w:rsidRPr="00B364CB">
        <w:t>potentially</w:t>
      </w:r>
      <w:r w:rsidR="000D6D52" w:rsidRPr="00B364CB">
        <w:t xml:space="preserve"> </w:t>
      </w:r>
      <w:r w:rsidRPr="00B364CB">
        <w:t xml:space="preserve">district heating networks using the by-product heat produced. Systems running on 0-20% hydrogen volume in the gas grid or using pure hydrogen </w:t>
      </w:r>
      <w:r w:rsidR="00A160D9" w:rsidRPr="00B364CB">
        <w:t>are</w:t>
      </w:r>
      <w:r w:rsidRPr="00B364CB">
        <w:t xml:space="preserve"> the focus of this support area. Larger reversible systems (above 1 MW </w:t>
      </w:r>
      <w:r w:rsidR="00713AF7" w:rsidRPr="00B364CB">
        <w:t>i</w:t>
      </w:r>
      <w:r w:rsidRPr="00B364CB">
        <w:t xml:space="preserve">n electrolyser mode) fall under the hydrogen production activity area. </w:t>
      </w:r>
    </w:p>
    <w:p w14:paraId="14DEE801" w14:textId="15224E30" w:rsidR="00A22E99" w:rsidRPr="00B364CB" w:rsidRDefault="00D938E6" w:rsidP="00A22E99">
      <w:pPr>
        <w:pStyle w:val="MAWP-Bodytext"/>
      </w:pPr>
      <w:r w:rsidRPr="00B364CB">
        <w:t>For</w:t>
      </w:r>
      <w:r w:rsidR="00A22E99" w:rsidRPr="00B364CB">
        <w:t xml:space="preserve"> larger FC applications </w:t>
      </w:r>
      <w:r w:rsidR="008D663E" w:rsidRPr="00B364CB">
        <w:t>the focus</w:t>
      </w:r>
      <w:r w:rsidR="001F3B60" w:rsidRPr="00B364CB">
        <w:t xml:space="preserve"> </w:t>
      </w:r>
      <w:r w:rsidR="00A22E99" w:rsidRPr="00B364CB">
        <w:t xml:space="preserve">is on systems running on 100% hydrogen, e.g. waste </w:t>
      </w:r>
      <w:r w:rsidR="002F7C48" w:rsidRPr="00B364CB">
        <w:t xml:space="preserve">hydrogen </w:t>
      </w:r>
      <w:r w:rsidR="00A22E99" w:rsidRPr="00B364CB">
        <w:t xml:space="preserve">from industrial processes or hydrogen grids. Synergies with the district heating sector </w:t>
      </w:r>
      <w:r w:rsidR="00756D6E" w:rsidRPr="00B364CB">
        <w:t xml:space="preserve">are to </w:t>
      </w:r>
      <w:r w:rsidR="00A22E99" w:rsidRPr="00B364CB">
        <w:t xml:space="preserve">be explored with </w:t>
      </w:r>
      <w:r w:rsidR="00713AF7" w:rsidRPr="00B364CB">
        <w:t xml:space="preserve">the </w:t>
      </w:r>
      <w:r w:rsidR="00A22E99" w:rsidRPr="00B364CB">
        <w:t>view to provide heat using fuel cells fed with 100% hydrogen. Research is needed to decrease the costs of systems further and to demonstrate the next generation for th</w:t>
      </w:r>
      <w:r w:rsidR="00713AF7" w:rsidRPr="00B364CB">
        <w:t>ese</w:t>
      </w:r>
      <w:r w:rsidR="00A22E99" w:rsidRPr="00B364CB">
        <w:t xml:space="preserve"> large</w:t>
      </w:r>
      <w:r w:rsidR="00713AF7" w:rsidRPr="00B364CB">
        <w:t>-</w:t>
      </w:r>
      <w:r w:rsidR="00A22E99" w:rsidRPr="00B364CB">
        <w:t xml:space="preserve">scale applications. Selected demonstrations in real installations to </w:t>
      </w:r>
      <w:r w:rsidR="00713AF7" w:rsidRPr="00B364CB">
        <w:t xml:space="preserve">prove </w:t>
      </w:r>
      <w:r w:rsidR="00A22E99" w:rsidRPr="00B364CB">
        <w:t xml:space="preserve">the technology in </w:t>
      </w:r>
      <w:r w:rsidR="004F4908" w:rsidRPr="00B364CB">
        <w:t>actual</w:t>
      </w:r>
      <w:r w:rsidR="00A22E99" w:rsidRPr="00B364CB">
        <w:t xml:space="preserve"> long</w:t>
      </w:r>
      <w:r w:rsidR="004F4908" w:rsidRPr="00B364CB">
        <w:t>-</w:t>
      </w:r>
      <w:r w:rsidR="00A22E99" w:rsidRPr="00B364CB">
        <w:t>term operation and to showcase new business models are likely to be needed.</w:t>
      </w:r>
    </w:p>
    <w:p w14:paraId="46773B51" w14:textId="0CB0B0A7" w:rsidR="00A22E99" w:rsidRPr="00B364CB" w:rsidRDefault="00B026AD" w:rsidP="00A22E99">
      <w:pPr>
        <w:pStyle w:val="MAWP-Bodytext"/>
      </w:pPr>
      <w:r w:rsidRPr="00B364CB">
        <w:t>Fuel</w:t>
      </w:r>
      <w:r w:rsidR="00A22E99" w:rsidRPr="00B364CB">
        <w:t xml:space="preserve"> cells operating in cogeneration mode should be given priority. However, power</w:t>
      </w:r>
      <w:r w:rsidR="00713AF7" w:rsidRPr="00B364CB">
        <w:t>-</w:t>
      </w:r>
      <w:r w:rsidR="00A22E99" w:rsidRPr="00B364CB">
        <w:t xml:space="preserve">only solutions operating as prime power can make sense, especially when using high temperature fuel cells with power efficiencies comparable </w:t>
      </w:r>
      <w:r w:rsidR="00713AF7" w:rsidRPr="00B364CB">
        <w:t xml:space="preserve">to, </w:t>
      </w:r>
      <w:r w:rsidR="00A22E99" w:rsidRPr="00B364CB">
        <w:t xml:space="preserve">or better </w:t>
      </w:r>
      <w:r w:rsidR="00713AF7" w:rsidRPr="00B364CB">
        <w:t>then,</w:t>
      </w:r>
      <w:r w:rsidR="00A22E99" w:rsidRPr="00B364CB">
        <w:t xml:space="preserve"> the most efficient large</w:t>
      </w:r>
      <w:r w:rsidR="00713AF7" w:rsidRPr="00B364CB">
        <w:t>-</w:t>
      </w:r>
      <w:r w:rsidR="00A22E99" w:rsidRPr="00B364CB">
        <w:t xml:space="preserve">scale power generation plants (e.g. </w:t>
      </w:r>
      <w:r w:rsidR="00000085" w:rsidRPr="00B364CB">
        <w:t xml:space="preserve">Combined Cycle Gas Turbines - </w:t>
      </w:r>
      <w:r w:rsidR="00A22E99" w:rsidRPr="00B364CB">
        <w:t>CCGT)</w:t>
      </w:r>
      <w:r w:rsidR="00713AF7" w:rsidRPr="00B364CB">
        <w:t>;</w:t>
      </w:r>
      <w:r w:rsidR="00A22E99" w:rsidRPr="00B364CB">
        <w:t xml:space="preserve"> </w:t>
      </w:r>
      <w:r w:rsidR="00713AF7" w:rsidRPr="00B364CB">
        <w:t>i</w:t>
      </w:r>
      <w:r w:rsidR="00A22E99" w:rsidRPr="00B364CB">
        <w:t>n particular, at the local grid level and in applications where it is not possible to put the by-product heat to use. This is increasingly the case with more abundant hydrogen availability providing high reliability versus RES for critical infrastructure like data centres.</w:t>
      </w:r>
    </w:p>
    <w:p w14:paraId="672B5ACE" w14:textId="138B0207" w:rsidR="00A22E99" w:rsidRPr="00B364CB" w:rsidRDefault="00A22E99" w:rsidP="00A22E99">
      <w:pPr>
        <w:pStyle w:val="MAWP-Bodytext"/>
      </w:pPr>
      <w:r w:rsidRPr="00B364CB">
        <w:t>Support is also envisaged for back-up, portable and off-grid power fuel cell solutions</w:t>
      </w:r>
      <w:r w:rsidR="00713AF7" w:rsidRPr="00B364CB">
        <w:t>,</w:t>
      </w:r>
      <w:r w:rsidRPr="00B364CB">
        <w:t xml:space="preserve"> </w:t>
      </w:r>
      <w:r w:rsidR="00713AF7" w:rsidRPr="00B364CB">
        <w:t>especially</w:t>
      </w:r>
      <w:r w:rsidRPr="00B364CB">
        <w:t xml:space="preserve"> in remote and isolated location</w:t>
      </w:r>
      <w:r w:rsidR="00713AF7" w:rsidRPr="00B364CB">
        <w:t>s</w:t>
      </w:r>
      <w:r w:rsidRPr="00B364CB">
        <w:t xml:space="preserve"> and where there is a premium on reliable and clean power, </w:t>
      </w:r>
      <w:r w:rsidRPr="00B364CB">
        <w:lastRenderedPageBreak/>
        <w:t>and/or where pollutants and noise in urban and low emission zones are critical.</w:t>
      </w:r>
      <w:r w:rsidRPr="00B364CB">
        <w:rPr>
          <w:rStyle w:val="CommentReference"/>
          <w:rFonts w:eastAsia="Times New Roman" w:cs="Times New Roman"/>
        </w:rPr>
        <w:t xml:space="preserve"> </w:t>
      </w:r>
      <w:r w:rsidRPr="00B364CB">
        <w:t xml:space="preserve">Actions in this area could support units running directly on </w:t>
      </w:r>
      <w:r w:rsidR="002F7C48" w:rsidRPr="00B364CB">
        <w:t xml:space="preserve">hydrogen </w:t>
      </w:r>
      <w:r w:rsidRPr="00B364CB">
        <w:t xml:space="preserve">or using other </w:t>
      </w:r>
      <w:r w:rsidR="002F7C48" w:rsidRPr="00B364CB">
        <w:t xml:space="preserve">hydrogen </w:t>
      </w:r>
      <w:r w:rsidRPr="00B364CB">
        <w:t xml:space="preserve">rich fuels like ammonia or liquid organic hydrogen carriers, and is open to </w:t>
      </w:r>
      <w:r w:rsidR="00D778C5" w:rsidRPr="00B364CB">
        <w:t>all</w:t>
      </w:r>
      <w:r w:rsidRPr="00B364CB">
        <w:t xml:space="preserve"> type of fuel cells. Whilst the focus is likely to be on research</w:t>
      </w:r>
      <w:r w:rsidR="00713AF7" w:rsidRPr="00B364CB">
        <w:t>,</w:t>
      </w:r>
      <w:r w:rsidRPr="00B364CB">
        <w:t xml:space="preserve"> there is room in the Clean</w:t>
      </w:r>
      <w:r w:rsidR="002F7C48" w:rsidRPr="00B364CB">
        <w:t xml:space="preserve"> Hydrogen </w:t>
      </w:r>
      <w:r w:rsidRPr="00B364CB">
        <w:t>JU to support selected demos for proving adequate uptime and availabilities.</w:t>
      </w:r>
    </w:p>
    <w:p w14:paraId="792EE6C2" w14:textId="49C72162" w:rsidR="002C6416" w:rsidRPr="00CE70C1" w:rsidRDefault="002C6416" w:rsidP="002C6416">
      <w:pPr>
        <w:pStyle w:val="MAWP-Bodytext"/>
      </w:pPr>
      <w:r w:rsidRPr="00CE70C1">
        <w:t xml:space="preserve">In order to contribute towards achieving the above objectives, the following areas of research and development appear as good candidates for the support by the </w:t>
      </w:r>
      <w:r w:rsidR="00831A2C">
        <w:t xml:space="preserve">Clean Hydrogen </w:t>
      </w:r>
      <w:r w:rsidRPr="00CE70C1">
        <w:t>JU.</w:t>
      </w:r>
    </w:p>
    <w:p w14:paraId="323279AF" w14:textId="77777777" w:rsidR="00A22E99" w:rsidRPr="00B364CB" w:rsidRDefault="00A22E99" w:rsidP="00A22E99">
      <w:pPr>
        <w:pStyle w:val="MAWPHeadingStyleLevel4"/>
      </w:pPr>
      <w:r w:rsidRPr="00B364CB">
        <w:rPr>
          <w:rFonts w:cs="Arial"/>
          <w:szCs w:val="22"/>
        </w:rPr>
        <w:t xml:space="preserve">R&amp;D Priorities - </w:t>
      </w:r>
      <w:r w:rsidRPr="00B364CB">
        <w:t>Early Stage Research Actions</w:t>
      </w:r>
    </w:p>
    <w:p w14:paraId="5573093D" w14:textId="77777777" w:rsidR="00A22E99" w:rsidRPr="00B364CB" w:rsidRDefault="00A22E99" w:rsidP="00A22E99">
      <w:pPr>
        <w:pStyle w:val="MAWPBodytextbullets"/>
      </w:pPr>
      <w:r w:rsidRPr="00B364CB">
        <w:t xml:space="preserve">Research into new cell materials, stack technologies, components and manufacturing processes for stationary fuel cell systems to improve system flexibility, durability and increase robustness of components under flexible operation; </w:t>
      </w:r>
    </w:p>
    <w:p w14:paraId="39363AC2" w14:textId="77777777" w:rsidR="00A22E99" w:rsidRPr="00B364CB" w:rsidRDefault="00A22E99" w:rsidP="00A22E99">
      <w:pPr>
        <w:pStyle w:val="MAWPBodytextbullets"/>
      </w:pPr>
      <w:r w:rsidRPr="00B364CB">
        <w:t>Research to develop advanced reversible cell concepts, based on both oxide ion and ceramic proton conductors.</w:t>
      </w:r>
    </w:p>
    <w:p w14:paraId="7078F6E5" w14:textId="77777777" w:rsidR="00A22E99" w:rsidRPr="00B364CB" w:rsidRDefault="00A22E99" w:rsidP="00A22E99">
      <w:pPr>
        <w:pStyle w:val="MAWPHeadingStyleLevel4"/>
      </w:pPr>
      <w:r w:rsidRPr="00B364CB">
        <w:rPr>
          <w:rFonts w:cs="Arial"/>
          <w:szCs w:val="22"/>
        </w:rPr>
        <w:t xml:space="preserve">R&amp;D Priorities - </w:t>
      </w:r>
      <w:r w:rsidRPr="00B364CB">
        <w:t xml:space="preserve">Development Research Actions </w:t>
      </w:r>
    </w:p>
    <w:p w14:paraId="6BA4A7E6" w14:textId="77777777" w:rsidR="00A22E99" w:rsidRPr="00B364CB" w:rsidRDefault="00A22E99" w:rsidP="00A22E99">
      <w:pPr>
        <w:pStyle w:val="MAWPBodytextbullets"/>
      </w:pPr>
      <w:r w:rsidRPr="00B364CB">
        <w:t xml:space="preserve">Support to drive standardisation and cost reductions in the balance of plant components and in-operation processes such as predictive maintenance and development of fuel cell systems integrated with (smart) power grids, off-grid and decentralised renewable energy sources; </w:t>
      </w:r>
    </w:p>
    <w:p w14:paraId="26CA145F" w14:textId="77777777" w:rsidR="00A22E99" w:rsidRPr="00B364CB" w:rsidRDefault="00A22E99" w:rsidP="00A22E99">
      <w:pPr>
        <w:pStyle w:val="MAWPBodytextbullets"/>
      </w:pPr>
      <w:r w:rsidRPr="00B364CB">
        <w:t xml:space="preserve">Innovative manufacturing methods suitable for mass-production and enabling cost reductions; </w:t>
      </w:r>
    </w:p>
    <w:p w14:paraId="317C570E" w14:textId="77777777" w:rsidR="00A22E99" w:rsidRPr="00B364CB" w:rsidRDefault="00A22E99" w:rsidP="00A22E99">
      <w:pPr>
        <w:pStyle w:val="MAWPBodytextbullets"/>
      </w:pPr>
      <w:r w:rsidRPr="00B364CB">
        <w:t xml:space="preserve">Develop a commercial/industrial scale CHP unit and/or prime power units from European suppliers (100 kWe – 1 MWe) to demonstrate this; </w:t>
      </w:r>
    </w:p>
    <w:p w14:paraId="0A248610" w14:textId="77777777" w:rsidR="00A22E99" w:rsidRPr="00B364CB" w:rsidRDefault="00A22E99" w:rsidP="00A22E99">
      <w:pPr>
        <w:pStyle w:val="MAWPBodytextbullets"/>
      </w:pPr>
      <w:r w:rsidRPr="00B364CB">
        <w:t>For industrial heat and power development work on prototypes for the smart cogeneration of industrial heat and electricity by FC CHP at 1, 10 and 100 MW scales;</w:t>
      </w:r>
    </w:p>
    <w:p w14:paraId="3637BC5A" w14:textId="77777777" w:rsidR="00A22E99" w:rsidRPr="00B364CB" w:rsidRDefault="00A22E99" w:rsidP="00A22E99">
      <w:pPr>
        <w:pStyle w:val="MAWPBodytextbullets"/>
      </w:pPr>
      <w:r w:rsidRPr="00B364CB">
        <w:t>Integration work on reversible cell concepts, to improve the round-trip efficiency to above 50% and to develop concepts at a range of scales.</w:t>
      </w:r>
    </w:p>
    <w:p w14:paraId="13418670" w14:textId="77777777" w:rsidR="00A22E99" w:rsidRPr="00B364CB" w:rsidRDefault="00A22E99" w:rsidP="00A22E99">
      <w:pPr>
        <w:pStyle w:val="MAWPHeadingStyleLevel4"/>
      </w:pPr>
      <w:r w:rsidRPr="00B364CB">
        <w:rPr>
          <w:rFonts w:cs="Arial"/>
          <w:szCs w:val="22"/>
        </w:rPr>
        <w:t xml:space="preserve">R&amp;D Priorities - </w:t>
      </w:r>
      <w:r w:rsidRPr="00B364CB">
        <w:t>Demonstration Actions</w:t>
      </w:r>
    </w:p>
    <w:p w14:paraId="53CF43F0" w14:textId="77777777" w:rsidR="00A22E99" w:rsidRPr="00B364CB" w:rsidRDefault="00A22E99" w:rsidP="00A22E99">
      <w:pPr>
        <w:pStyle w:val="MAWPBodytextbullets"/>
      </w:pPr>
      <w:r w:rsidRPr="00B364CB">
        <w:t>Hydrogen ready and cost effective micro-CHP systems;</w:t>
      </w:r>
    </w:p>
    <w:p w14:paraId="516E3271" w14:textId="3311A7F4" w:rsidR="00A22E99" w:rsidRPr="00B364CB" w:rsidRDefault="00A22E99" w:rsidP="00A22E99">
      <w:pPr>
        <w:pStyle w:val="MAWPBodytextbullets"/>
      </w:pPr>
      <w:r w:rsidRPr="00B364CB">
        <w:t xml:space="preserve">Demonstrate the deployment of the next generation of commercial/industrial scale fuel cell CHP and/or prime power units from European suppliers (50 kW </w:t>
      </w:r>
      <w:r w:rsidR="00000085" w:rsidRPr="00B364CB">
        <w:t xml:space="preserve">to </w:t>
      </w:r>
      <w:r w:rsidRPr="00B364CB">
        <w:t>several MWe);</w:t>
      </w:r>
    </w:p>
    <w:p w14:paraId="0B91F43E" w14:textId="77777777" w:rsidR="00A22E99" w:rsidRPr="00B364CB" w:rsidRDefault="00A22E99" w:rsidP="00A22E99">
      <w:pPr>
        <w:pStyle w:val="MAWPBodytextbullets"/>
      </w:pPr>
      <w:r w:rsidRPr="00B364CB">
        <w:t xml:space="preserve">For industrial heat and power: demonstration projects on cogeneration of industrial heat and electricity with fuel cells selected industrial environment, e.g. food, biotech;  </w:t>
      </w:r>
    </w:p>
    <w:p w14:paraId="7953A42B" w14:textId="77777777" w:rsidR="00A22E99" w:rsidRPr="00B364CB" w:rsidRDefault="00A22E99" w:rsidP="00A22E99">
      <w:pPr>
        <w:pStyle w:val="MAWPBodytextbullets"/>
      </w:pPr>
      <w:r w:rsidRPr="00B364CB">
        <w:t>Demonstrate reversible cell concepts at sites with renewable generation and/or biogas/syngas inputs;</w:t>
      </w:r>
    </w:p>
    <w:p w14:paraId="18CE07ED" w14:textId="77777777" w:rsidR="00A22E99" w:rsidRPr="00B364CB" w:rsidRDefault="00A22E99" w:rsidP="00A22E99">
      <w:pPr>
        <w:pStyle w:val="MAWPBodytextbullets"/>
      </w:pPr>
      <w:r w:rsidRPr="00B364CB">
        <w:t xml:space="preserve">Automated production, quality assurance tools and techniques during production and End-of-Line testing. </w:t>
      </w:r>
    </w:p>
    <w:p w14:paraId="3312BDC7" w14:textId="77777777" w:rsidR="00A22E99" w:rsidRPr="00B364CB" w:rsidRDefault="00A22E99" w:rsidP="00A22E99">
      <w:pPr>
        <w:pStyle w:val="MAWPHeadingStyleLevel4"/>
      </w:pPr>
      <w:r w:rsidRPr="00B364CB">
        <w:t>Flagship Actions</w:t>
      </w:r>
    </w:p>
    <w:p w14:paraId="71075B59" w14:textId="77777777" w:rsidR="00A22E99" w:rsidRPr="00B364CB" w:rsidRDefault="00A22E99" w:rsidP="00A22E99">
      <w:pPr>
        <w:pStyle w:val="MAWP-Bodytext"/>
      </w:pPr>
      <w:r w:rsidRPr="00B364CB">
        <w:t xml:space="preserve">Flagship support would be needed to roll-out hydrogen-based fuel cell CHP for power &amp; low/medium grade heat requirements in industry and other large scale applications. </w:t>
      </w:r>
    </w:p>
    <w:p w14:paraId="4248604A" w14:textId="77777777" w:rsidR="00A22E99" w:rsidRPr="00B364CB" w:rsidRDefault="00A22E99" w:rsidP="00A22E99">
      <w:pPr>
        <w:pStyle w:val="MAWPHeadingStyleLevel4"/>
      </w:pPr>
      <w:r w:rsidRPr="00B364CB">
        <w:lastRenderedPageBreak/>
        <w:t xml:space="preserve">Synergies </w:t>
      </w:r>
    </w:p>
    <w:p w14:paraId="6DA2D391" w14:textId="6B4775C0" w:rsidR="00A22E99" w:rsidRPr="00B364CB" w:rsidRDefault="00A22E99" w:rsidP="00A22E99">
      <w:pPr>
        <w:pStyle w:val="MAWP-Bodytext"/>
      </w:pPr>
      <w:r w:rsidRPr="00B364CB">
        <w:t>Synergies between</w:t>
      </w:r>
      <w:r w:rsidR="004F4908" w:rsidRPr="00B364CB">
        <w:t xml:space="preserve"> the Clean Hydrogen</w:t>
      </w:r>
      <w:r w:rsidRPr="00B364CB">
        <w:t xml:space="preserve"> JU and P4P will be explored, focusing on industrial applications. Other potential synergies could be with </w:t>
      </w:r>
      <w:r w:rsidR="0067461D">
        <w:t xml:space="preserve">the Built4People (B4P) European </w:t>
      </w:r>
      <w:r w:rsidR="002B7AE5">
        <w:t>p</w:t>
      </w:r>
      <w:r w:rsidR="0067461D">
        <w:t xml:space="preserve">artnership and </w:t>
      </w:r>
      <w:r w:rsidRPr="00B364CB">
        <w:t>Horizon’s Europe Cluster 5</w:t>
      </w:r>
      <w:r w:rsidRPr="00B364CB">
        <w:rPr>
          <w:rStyle w:val="FootnoteReference"/>
        </w:rPr>
        <w:footnoteReference w:id="133"/>
      </w:r>
      <w:r w:rsidR="0067461D">
        <w:t>.</w:t>
      </w:r>
      <w:r w:rsidRPr="00B364CB">
        <w:rPr>
          <w:vertAlign w:val="superscript"/>
        </w:rPr>
        <w:t xml:space="preserve"> </w:t>
      </w:r>
      <w:r w:rsidRPr="00B364CB">
        <w:t xml:space="preserve">See Section </w:t>
      </w:r>
      <w:r w:rsidRPr="00B364CB">
        <w:fldChar w:fldCharType="begin"/>
      </w:r>
      <w:r w:rsidRPr="00B364CB">
        <w:instrText xml:space="preserve"> REF _Ref55249545 \r \h  \* MERGEFORMAT </w:instrText>
      </w:r>
      <w:r w:rsidRPr="00B364CB">
        <w:fldChar w:fldCharType="separate"/>
      </w:r>
      <w:r w:rsidR="00331EBC">
        <w:t>4.1</w:t>
      </w:r>
      <w:r w:rsidRPr="00B364CB">
        <w:fldChar w:fldCharType="end"/>
      </w:r>
      <w:r w:rsidRPr="00B364CB">
        <w:t xml:space="preserve"> </w:t>
      </w:r>
      <w:r w:rsidR="00B77E48">
        <w:t xml:space="preserve">and Annex 7 </w:t>
      </w:r>
      <w:r w:rsidRPr="00B364CB">
        <w:t>for more details on the synergies.</w:t>
      </w:r>
    </w:p>
    <w:p w14:paraId="6BEF3957" w14:textId="7D33870C" w:rsidR="00B06A1E" w:rsidRPr="00B364CB" w:rsidRDefault="0051095D" w:rsidP="006802D3">
      <w:pPr>
        <w:pStyle w:val="MAWPsubtitle2"/>
      </w:pPr>
      <w:bookmarkStart w:id="114" w:name="_Toc64640565"/>
      <w:bookmarkStart w:id="115" w:name="_Toc93907333"/>
      <w:r w:rsidRPr="00B364CB">
        <w:t>Turbines, boilers and burners</w:t>
      </w:r>
      <w:bookmarkEnd w:id="114"/>
      <w:bookmarkEnd w:id="115"/>
    </w:p>
    <w:p w14:paraId="614541D4" w14:textId="77777777" w:rsidR="00966C99" w:rsidRPr="00B364CB" w:rsidRDefault="00966C99" w:rsidP="00167FEC">
      <w:pPr>
        <w:pStyle w:val="MAWPHeadingStyleLevel4"/>
        <w:rPr>
          <w:lang w:eastAsia="en-GB"/>
        </w:rPr>
      </w:pPr>
      <w:r w:rsidRPr="00B364CB">
        <w:rPr>
          <w:lang w:eastAsia="en-GB"/>
        </w:rPr>
        <w:t xml:space="preserve">Rationale for support </w:t>
      </w:r>
    </w:p>
    <w:p w14:paraId="38FB5974" w14:textId="77777777" w:rsidR="00966C99" w:rsidRPr="00B364CB" w:rsidRDefault="00966C99" w:rsidP="00733699">
      <w:pPr>
        <w:pStyle w:val="MAWPBodytextbullets"/>
        <w:rPr>
          <w:rStyle w:val="Strong"/>
          <w:b w:val="0"/>
        </w:rPr>
      </w:pPr>
      <w:r w:rsidRPr="00B364CB">
        <w:rPr>
          <w:rStyle w:val="Strong"/>
          <w:b w:val="0"/>
        </w:rPr>
        <w:t>Turbines</w:t>
      </w:r>
    </w:p>
    <w:p w14:paraId="1DA37F26" w14:textId="476503F2" w:rsidR="00966C99" w:rsidRPr="00B364CB" w:rsidRDefault="00966C99" w:rsidP="00733699">
      <w:pPr>
        <w:pStyle w:val="MAWP-Bodytext"/>
      </w:pPr>
      <w:r w:rsidRPr="00B364CB">
        <w:t>Gas Turbines (GTs) use natural</w:t>
      </w:r>
      <w:r w:rsidR="00371963">
        <w:t>, bio</w:t>
      </w:r>
      <w:r w:rsidRPr="00B364CB">
        <w:t xml:space="preserve"> or syngas to provide dispatchable power and heat following the system and market requirements. In a system with an increasing share of variable electricity production from non-dispatchable renewable energy sources, the high flexibility of gas turbine-based power plants can effectively ensure the grid stability and security of supply. Used also in cogeneration systems, </w:t>
      </w:r>
      <w:r w:rsidR="00522F28" w:rsidRPr="00B364CB">
        <w:t xml:space="preserve">together with thermal storage, </w:t>
      </w:r>
      <w:r w:rsidRPr="00B364CB">
        <w:t>they can flexibly provide the necessary amounts of power and heat for industrial settings or district heating.</w:t>
      </w:r>
    </w:p>
    <w:p w14:paraId="24519DA3" w14:textId="77777777" w:rsidR="00966C99" w:rsidRPr="00B364CB" w:rsidRDefault="00966C99" w:rsidP="00733699">
      <w:pPr>
        <w:pStyle w:val="MAWP-Bodytext"/>
      </w:pPr>
      <w:r w:rsidRPr="00B364CB">
        <w:t xml:space="preserve">Their main advantage lies in the power density, which enables large amounts of power being available within a very short time and with a small footprint. Moreover, GTs have a significant fuel flexibility, being able to burn a large variety of different fuel and with varying fuel composition.  </w:t>
      </w:r>
    </w:p>
    <w:p w14:paraId="6A193EF8" w14:textId="1A906031" w:rsidR="00966C99" w:rsidRPr="00B364CB" w:rsidRDefault="00966C99" w:rsidP="00733699">
      <w:pPr>
        <w:pStyle w:val="MAWP-Bodytext"/>
      </w:pPr>
      <w:r w:rsidRPr="00B364CB">
        <w:t xml:space="preserve">GTs can reach thermal efficiencies up to ~63% in CCGT configurations. In cogeneration </w:t>
      </w:r>
      <w:r w:rsidR="004B24A4">
        <w:t xml:space="preserve">CHP </w:t>
      </w:r>
      <w:r w:rsidRPr="00B364CB">
        <w:t>mode, the fuel conversion rate reached is above 90%.</w:t>
      </w:r>
      <w:r w:rsidR="00A5324C">
        <w:t xml:space="preserve"> There is also a decentralisation possibility with micro CHP in sites with a significant heat demand.</w:t>
      </w:r>
    </w:p>
    <w:p w14:paraId="6591983E" w14:textId="77777777" w:rsidR="00966C99" w:rsidRPr="00B364CB" w:rsidRDefault="00966C99" w:rsidP="00733699">
      <w:pPr>
        <w:pStyle w:val="MAWP-Bodytext"/>
      </w:pPr>
      <w:r w:rsidRPr="00B364CB">
        <w:t>With the increasing admixture of decarbonised and renewable gases in the gas network, such as hydrogen, gas turbines increasingly become a source of sustainable dispatchable power and heat at any time according to the system needs. This in turn allows for additional amounts of variable renewables to be integrated into the system, supporting Europe’s energy system decarbonisation pathway. A fuel switch to hydrogen aims to retain all present strengths of gas turbines while ensuring carbon-free energy conversion.</w:t>
      </w:r>
    </w:p>
    <w:p w14:paraId="1D8A6ECC" w14:textId="288E6F8F" w:rsidR="00966C99" w:rsidRPr="00B364CB" w:rsidRDefault="00966C99" w:rsidP="00733699">
      <w:pPr>
        <w:pStyle w:val="MAWP-Bodytext"/>
      </w:pPr>
      <w:r w:rsidRPr="00B364CB">
        <w:t xml:space="preserve">Yet, the use of diluents or wet low emission (WLE) combustion (legacy technology) provides today only a sub-optimal solution to hydrogen firing of GTs and the aim of future R&amp;D is to achieve 100% </w:t>
      </w:r>
      <w:r w:rsidR="002F7C48" w:rsidRPr="00B364CB">
        <w:t>hydrogen</w:t>
      </w:r>
      <w:r w:rsidRPr="00B364CB">
        <w:t xml:space="preserve"> firing by dry low emission (DLE) combustion, still complying with NOx emissions targets </w:t>
      </w:r>
      <w:r w:rsidR="0093388C" w:rsidRPr="00B364CB">
        <w:t xml:space="preserve">(up to </w:t>
      </w:r>
      <w:r w:rsidRPr="00B364CB">
        <w:t>25 ppm) without the use of diluents and with minimal thermal efficiency penalty.</w:t>
      </w:r>
    </w:p>
    <w:p w14:paraId="62C94DA4" w14:textId="77777777" w:rsidR="00966C99" w:rsidRPr="00B364CB" w:rsidRDefault="00966C99" w:rsidP="00733699">
      <w:pPr>
        <w:pStyle w:val="MAWPBodytextbullets"/>
        <w:rPr>
          <w:rStyle w:val="Strong"/>
          <w:b w:val="0"/>
        </w:rPr>
      </w:pPr>
      <w:r w:rsidRPr="00B364CB">
        <w:rPr>
          <w:rStyle w:val="Strong"/>
          <w:b w:val="0"/>
        </w:rPr>
        <w:t>Boilers and burners</w:t>
      </w:r>
    </w:p>
    <w:p w14:paraId="5FB47BFF" w14:textId="77777777" w:rsidR="00966C99" w:rsidRPr="00B364CB" w:rsidRDefault="00966C99" w:rsidP="00733699">
      <w:pPr>
        <w:pStyle w:val="MAWP-Bodytext"/>
      </w:pPr>
      <w:r w:rsidRPr="00B364CB">
        <w:t>Many processes such as drying, hot quenching or painting in the industry have a demand for high temperature heat that is today satisfied by gas boilers and burners. In commercial applications the use of alternatives such as heat pumps is often limited due to the need for high temperatures and the lack of adequate heat sources (temperature level and space restrictions).</w:t>
      </w:r>
    </w:p>
    <w:p w14:paraId="5348CFA7" w14:textId="3839A650" w:rsidR="00A003D7" w:rsidRPr="00B364CB" w:rsidRDefault="00966C99" w:rsidP="00A003D7">
      <w:pPr>
        <w:pStyle w:val="MAWP-Bodytext"/>
      </w:pPr>
      <w:r w:rsidRPr="00B364CB">
        <w:t xml:space="preserve">As the share of hydrogen in the gas grid increases and conversion programmes for 100% hydrogen in the grid appear, there will be a need for </w:t>
      </w:r>
      <w:r w:rsidR="00AF3ECF" w:rsidRPr="00B364CB">
        <w:t xml:space="preserve">hydrogen-fired </w:t>
      </w:r>
      <w:r w:rsidRPr="00B364CB">
        <w:t>industrial boilers and burners</w:t>
      </w:r>
      <w:r w:rsidR="00AF3ECF" w:rsidRPr="00B364CB">
        <w:t xml:space="preserve"> </w:t>
      </w:r>
      <w:r w:rsidRPr="00B364CB">
        <w:t xml:space="preserve">to provide high temperature heat. Gas burners and entire boiler units must be 100% </w:t>
      </w:r>
      <w:r w:rsidRPr="00B364CB">
        <w:lastRenderedPageBreak/>
        <w:t>hydrogen ready and fulfil the same NOx emissions standards as gas boilers by 2030</w:t>
      </w:r>
      <w:r w:rsidR="00A003D7">
        <w:t>.</w:t>
      </w:r>
    </w:p>
    <w:p w14:paraId="3A221666" w14:textId="5252C363" w:rsidR="00966C99" w:rsidRPr="00B364CB" w:rsidRDefault="00966C99" w:rsidP="00733699">
      <w:pPr>
        <w:pStyle w:val="MAWP-Bodytext"/>
      </w:pPr>
      <w:r w:rsidRPr="00B364CB">
        <w:t>Both gas turbine and burner</w:t>
      </w:r>
      <w:r w:rsidR="00722BAC" w:rsidRPr="00722BAC">
        <w:t xml:space="preserve"> </w:t>
      </w:r>
      <w:r w:rsidRPr="00B364CB">
        <w:t xml:space="preserve">technologies provide a unique opportunity to reutilise existing infrastructure, reducing investment costs in new infrastructure and ensuring a cost-competitive transition to renewable gases and zero-carbon power generation. They do not pose strict requirements to fuel gas purity and are able to </w:t>
      </w:r>
      <w:r w:rsidR="009C5581" w:rsidRPr="00B364CB">
        <w:t xml:space="preserve">tolerate </w:t>
      </w:r>
      <w:r w:rsidRPr="00B364CB">
        <w:t xml:space="preserve">traces </w:t>
      </w:r>
      <w:r w:rsidR="009C5581" w:rsidRPr="00B364CB">
        <w:t xml:space="preserve">of other </w:t>
      </w:r>
      <w:r w:rsidRPr="00B364CB">
        <w:t xml:space="preserve">species, enabling therefore the adoption of cost- and energy-effective production and </w:t>
      </w:r>
      <w:r w:rsidR="009C5581" w:rsidRPr="00B364CB">
        <w:t xml:space="preserve">offering hydrogen conversion </w:t>
      </w:r>
      <w:r w:rsidRPr="00B364CB">
        <w:t>technologies at large scale.</w:t>
      </w:r>
    </w:p>
    <w:p w14:paraId="48C20E16" w14:textId="77777777" w:rsidR="00966C99" w:rsidRPr="00B364CB" w:rsidRDefault="00966C99" w:rsidP="00733699">
      <w:pPr>
        <w:pStyle w:val="MAWP-Bodytext"/>
      </w:pPr>
      <w:r w:rsidRPr="00B364CB">
        <w:t>All in all, the vision for 2030 is to have 100% hydrogen ready European gas turbines &amp; burners fulfilling emissions standards, for zero-carbon sustainable dispatchable power and high temperature heat.</w:t>
      </w:r>
    </w:p>
    <w:p w14:paraId="57A34353" w14:textId="77777777" w:rsidR="00966C99" w:rsidRPr="00B364CB" w:rsidRDefault="00966C99" w:rsidP="00167FEC">
      <w:pPr>
        <w:pStyle w:val="MAWPHeadingStyleLevel4"/>
      </w:pPr>
      <w:r w:rsidRPr="00B364CB">
        <w:t>State of the art</w:t>
      </w:r>
    </w:p>
    <w:p w14:paraId="0897252F" w14:textId="77777777" w:rsidR="00966C99" w:rsidRPr="00B364CB" w:rsidRDefault="00966C99" w:rsidP="00733699">
      <w:pPr>
        <w:pStyle w:val="MAWPBodytextbullets"/>
        <w:rPr>
          <w:rStyle w:val="Strong"/>
          <w:b w:val="0"/>
        </w:rPr>
      </w:pPr>
      <w:r w:rsidRPr="00B364CB">
        <w:rPr>
          <w:rStyle w:val="Strong"/>
          <w:b w:val="0"/>
        </w:rPr>
        <w:t>Turbines</w:t>
      </w:r>
    </w:p>
    <w:p w14:paraId="297A230A" w14:textId="567B68F0" w:rsidR="00966C99" w:rsidRPr="00582EEA" w:rsidRDefault="00966C99" w:rsidP="00733699">
      <w:pPr>
        <w:pStyle w:val="MAWP-Bodytext"/>
      </w:pPr>
      <w:r w:rsidRPr="00B364CB">
        <w:t xml:space="preserve">Gas turbines are operating with </w:t>
      </w:r>
      <w:r w:rsidRPr="00582EEA">
        <w:t>renewable gases generated from carbon-neutral sources or synthetic fuels, like synthetic methane, and mixtures of natural gas up to 5% mass / 30% vol hydrogen with DLE combustion. Currently higher hydrogen contents can only be claimed by use of dilution</w:t>
      </w:r>
      <w:r w:rsidR="0043125D" w:rsidRPr="00582EEA">
        <w:t xml:space="preserve"> or Wet Low Emission (WLE) </w:t>
      </w:r>
      <w:r w:rsidR="00582EEA" w:rsidRPr="00582EEA">
        <w:t>technology</w:t>
      </w:r>
      <w:r w:rsidRPr="00582EEA">
        <w:t xml:space="preserve"> that can significantly affect gas turbines’ NOx emissions, efficiency, lifetime and cost.</w:t>
      </w:r>
    </w:p>
    <w:p w14:paraId="4D9EFB7E" w14:textId="3B07D57D" w:rsidR="00966C99" w:rsidRPr="00B364CB" w:rsidRDefault="00966C99" w:rsidP="00733699">
      <w:pPr>
        <w:pStyle w:val="MAWP-Bodytext"/>
      </w:pPr>
      <w:r w:rsidRPr="00582EEA">
        <w:t>Thermal efficiency (fuel conversion rate to electricity) depends on GT size (class). Indicative State-of-the-Art OCGT and CCGT efficiency figures</w:t>
      </w:r>
      <w:r w:rsidRPr="00B364CB">
        <w:t xml:space="preserve"> are:</w:t>
      </w:r>
    </w:p>
    <w:p w14:paraId="6722E7D7" w14:textId="77777777" w:rsidR="00966C99" w:rsidRPr="00B364CB" w:rsidRDefault="00966C99" w:rsidP="002256F6">
      <w:pPr>
        <w:pStyle w:val="MAWPBodytextbullets"/>
        <w:numPr>
          <w:ilvl w:val="0"/>
          <w:numId w:val="33"/>
        </w:numPr>
      </w:pPr>
      <w:r w:rsidRPr="00B364CB">
        <w:t>Heavy Duty GTs ~44%/63% (100-500 MWe)</w:t>
      </w:r>
    </w:p>
    <w:p w14:paraId="4124FF7E" w14:textId="77777777" w:rsidR="00966C99" w:rsidRPr="00B364CB" w:rsidRDefault="00966C99" w:rsidP="002256F6">
      <w:pPr>
        <w:pStyle w:val="MAWPBodytextbullets"/>
        <w:numPr>
          <w:ilvl w:val="0"/>
          <w:numId w:val="33"/>
        </w:numPr>
      </w:pPr>
      <w:r w:rsidRPr="00B364CB">
        <w:t>Industrial GTs ~43%/55% (30-100 MWe)</w:t>
      </w:r>
    </w:p>
    <w:p w14:paraId="436A5D30" w14:textId="77777777" w:rsidR="00966C99" w:rsidRPr="00B364CB" w:rsidRDefault="00966C99" w:rsidP="002256F6">
      <w:pPr>
        <w:pStyle w:val="MAWPBodytextbullets"/>
        <w:numPr>
          <w:ilvl w:val="0"/>
          <w:numId w:val="33"/>
        </w:numPr>
      </w:pPr>
      <w:r w:rsidRPr="00B364CB">
        <w:t>Aeroderivative GTs ~35% (1-30 MWe)</w:t>
      </w:r>
    </w:p>
    <w:p w14:paraId="6285E12A" w14:textId="77777777" w:rsidR="00966C99" w:rsidRPr="00B364CB" w:rsidRDefault="00966C99" w:rsidP="002256F6">
      <w:pPr>
        <w:pStyle w:val="MAWPBodytextbullets"/>
        <w:numPr>
          <w:ilvl w:val="0"/>
          <w:numId w:val="33"/>
        </w:numPr>
      </w:pPr>
      <w:r w:rsidRPr="00B364CB">
        <w:t>Micro GTs ~32% (0.1-1 MWe)</w:t>
      </w:r>
    </w:p>
    <w:p w14:paraId="451BE339" w14:textId="77777777" w:rsidR="00966C99" w:rsidRPr="00B364CB" w:rsidRDefault="00966C99" w:rsidP="00733699">
      <w:pPr>
        <w:pStyle w:val="MAWP-Bodytext"/>
      </w:pPr>
      <w:r w:rsidRPr="00B364CB">
        <w:t>While the reduction of firing temperature has a positive impact in reducing flame stability issues and NOx emissions in hydrogen firing of GTs, it also negatively affects thermal efficiency, posing a considerable challenge. GTs of all classes (0.1-500 MWe) are presently used in a wide range of applications typically using gaseous fuels (natural gas</w:t>
      </w:r>
      <w:r w:rsidR="00B64A32">
        <w:t>, bio</w:t>
      </w:r>
      <w:r w:rsidRPr="00B364CB">
        <w:t xml:space="preserve"> or syngas):</w:t>
      </w:r>
    </w:p>
    <w:p w14:paraId="59E8C8D0" w14:textId="77777777" w:rsidR="00966C99" w:rsidRPr="00B364CB" w:rsidRDefault="00966C99" w:rsidP="002256F6">
      <w:pPr>
        <w:pStyle w:val="MAWPBodytextbullets"/>
        <w:numPr>
          <w:ilvl w:val="0"/>
          <w:numId w:val="34"/>
        </w:numPr>
      </w:pPr>
      <w:r w:rsidRPr="00B364CB">
        <w:t>CHP</w:t>
      </w:r>
    </w:p>
    <w:p w14:paraId="526CBBDD" w14:textId="77777777" w:rsidR="00966C99" w:rsidRPr="00B364CB" w:rsidRDefault="00966C99" w:rsidP="002256F6">
      <w:pPr>
        <w:pStyle w:val="MAWPBodytextbullets"/>
        <w:numPr>
          <w:ilvl w:val="0"/>
          <w:numId w:val="34"/>
        </w:numPr>
      </w:pPr>
      <w:r w:rsidRPr="00B364CB">
        <w:t>Back-up and peak demand power</w:t>
      </w:r>
    </w:p>
    <w:p w14:paraId="306FE122" w14:textId="77777777" w:rsidR="00966C99" w:rsidRPr="00B364CB" w:rsidRDefault="00966C99" w:rsidP="002256F6">
      <w:pPr>
        <w:pStyle w:val="MAWPBodytextbullets"/>
        <w:numPr>
          <w:ilvl w:val="0"/>
          <w:numId w:val="34"/>
        </w:numPr>
      </w:pPr>
      <w:r w:rsidRPr="00B364CB">
        <w:t>Prime power</w:t>
      </w:r>
    </w:p>
    <w:p w14:paraId="4F1C92A4" w14:textId="77777777" w:rsidR="00966C99" w:rsidRPr="00B364CB" w:rsidRDefault="00966C99" w:rsidP="002256F6">
      <w:pPr>
        <w:pStyle w:val="MAWPBodytextbullets"/>
        <w:numPr>
          <w:ilvl w:val="0"/>
          <w:numId w:val="34"/>
        </w:numPr>
      </w:pPr>
      <w:r w:rsidRPr="00B364CB">
        <w:t>Energy system coupling and flexibility</w:t>
      </w:r>
    </w:p>
    <w:p w14:paraId="16328DC0" w14:textId="77777777" w:rsidR="00966C99" w:rsidRPr="00B364CB" w:rsidRDefault="00966C99" w:rsidP="002256F6">
      <w:pPr>
        <w:pStyle w:val="MAWPBodytextbullets"/>
        <w:numPr>
          <w:ilvl w:val="0"/>
          <w:numId w:val="34"/>
        </w:numPr>
      </w:pPr>
      <w:r w:rsidRPr="00B364CB">
        <w:t>Energy supply chain</w:t>
      </w:r>
    </w:p>
    <w:p w14:paraId="2C74AF01" w14:textId="77777777" w:rsidR="00966C99" w:rsidRPr="00B364CB" w:rsidRDefault="00966C99" w:rsidP="00733699">
      <w:pPr>
        <w:pStyle w:val="MAWP-Bodytext"/>
      </w:pPr>
      <w:r w:rsidRPr="00B364CB">
        <w:t xml:space="preserve">Europe has a strong turbine industry and a large gas turbine asset.  </w:t>
      </w:r>
    </w:p>
    <w:p w14:paraId="7A7B851C" w14:textId="77777777" w:rsidR="00966C99" w:rsidRPr="00B364CB" w:rsidRDefault="00966C99" w:rsidP="00733699">
      <w:pPr>
        <w:pStyle w:val="MAWPBodytextbullets"/>
        <w:rPr>
          <w:rStyle w:val="Strong"/>
          <w:b w:val="0"/>
        </w:rPr>
      </w:pPr>
      <w:r w:rsidRPr="00B364CB">
        <w:rPr>
          <w:rStyle w:val="Strong"/>
          <w:b w:val="0"/>
        </w:rPr>
        <w:t>Boilers and burners</w:t>
      </w:r>
    </w:p>
    <w:p w14:paraId="08478B84" w14:textId="0339BE6B" w:rsidR="00E468A9" w:rsidRPr="00B364CB" w:rsidRDefault="00966C99" w:rsidP="00E468A9">
      <w:pPr>
        <w:pStyle w:val="MAWP-Bodytext"/>
      </w:pPr>
      <w:r w:rsidRPr="00B364CB">
        <w:t xml:space="preserve">Today there are no hydrogen burners available on the market for industrial applications. </w:t>
      </w:r>
      <w:r w:rsidR="00FE6263" w:rsidRPr="00FE6263">
        <w:t>Only a prototype was developed for industrial applications around 1MW</w:t>
      </w:r>
      <w:r w:rsidRPr="00B364CB">
        <w:t xml:space="preserve">. The next generation of boilers will be </w:t>
      </w:r>
      <w:r w:rsidR="00D72AE2" w:rsidRPr="00B364CB">
        <w:t>hydrogen</w:t>
      </w:r>
      <w:r w:rsidRPr="00B364CB">
        <w:t xml:space="preserve"> ready to be later retrofitted with hydrogen burners. No hydrogen surface burners are available today. The UK's project Hy4Heat</w:t>
      </w:r>
      <w:r w:rsidR="0007303F" w:rsidRPr="00B364CB">
        <w:rPr>
          <w:rStyle w:val="FootnoteReference"/>
        </w:rPr>
        <w:footnoteReference w:id="134"/>
      </w:r>
      <w:r w:rsidRPr="00B364CB">
        <w:t xml:space="preserve"> represents an important milestone </w:t>
      </w:r>
      <w:r w:rsidRPr="00B364CB">
        <w:lastRenderedPageBreak/>
        <w:t xml:space="preserve">and potential synergy with the </w:t>
      </w:r>
      <w:r w:rsidR="00831A2C">
        <w:t xml:space="preserve">Clean Hydrogen </w:t>
      </w:r>
      <w:r w:rsidR="000A73E7" w:rsidRPr="00B364CB">
        <w:t>JU</w:t>
      </w:r>
      <w:r w:rsidRPr="00B364CB">
        <w:t xml:space="preserve"> activity in this context, providing a precious source of data useful in the development of domestic and </w:t>
      </w:r>
      <w:r w:rsidR="00AF3ECF" w:rsidRPr="00B364CB">
        <w:t xml:space="preserve">hydrogen-fired </w:t>
      </w:r>
      <w:r w:rsidRPr="00B364CB">
        <w:t>industrial gas appliances</w:t>
      </w:r>
      <w:r w:rsidR="00E468A9">
        <w:t>.</w:t>
      </w:r>
    </w:p>
    <w:p w14:paraId="168AF943" w14:textId="77777777" w:rsidR="00966C99" w:rsidRPr="00B364CB" w:rsidRDefault="00966C99" w:rsidP="004A1B65">
      <w:pPr>
        <w:pStyle w:val="MAWPHeadingStyleLevel4"/>
      </w:pPr>
      <w:r w:rsidRPr="00B364CB">
        <w:t>Objectives</w:t>
      </w:r>
    </w:p>
    <w:p w14:paraId="6C892FAB" w14:textId="77777777" w:rsidR="00966C99" w:rsidRPr="00B364CB" w:rsidRDefault="00966C99" w:rsidP="00733699">
      <w:pPr>
        <w:pStyle w:val="MAWPBodytextbullets"/>
        <w:rPr>
          <w:rStyle w:val="Strong"/>
          <w:b w:val="0"/>
        </w:rPr>
      </w:pPr>
      <w:r w:rsidRPr="00B364CB">
        <w:rPr>
          <w:rStyle w:val="Strong"/>
          <w:b w:val="0"/>
        </w:rPr>
        <w:t>Turbines</w:t>
      </w:r>
    </w:p>
    <w:p w14:paraId="2EB96BA0" w14:textId="327FC9C1" w:rsidR="00AC6B02" w:rsidRPr="00B364CB" w:rsidRDefault="00AC6B02" w:rsidP="00733699">
      <w:pPr>
        <w:pStyle w:val="MAWP-Bodytext"/>
      </w:pPr>
      <w:r w:rsidRPr="00B364CB">
        <w:t xml:space="preserve">In </w:t>
      </w:r>
      <w:r w:rsidR="0010482F" w:rsidRPr="00B364CB">
        <w:t>the</w:t>
      </w:r>
      <w:r w:rsidRPr="00B364CB">
        <w:t xml:space="preserve"> long-term climate neutral perspective, the installed electrical capacity of variable renewable </w:t>
      </w:r>
      <w:r w:rsidR="00E17781">
        <w:t>energy</w:t>
      </w:r>
      <w:r w:rsidRPr="00B364CB">
        <w:t xml:space="preserve"> sources is projected to increase significantly. From a share of around 31% gross electricity generation in 2015 this is projected to reach between 61-69% in 2030 and more than 80% in 2050.  The integration of these variable electricity generation sources will require deployment of resources providing flexibility to the energy system. Together with energy storage solutions, gas turbines will also remain key assets for balancing the electricity system</w:t>
      </w:r>
      <w:r w:rsidR="0013163C">
        <w:t xml:space="preserve"> (as the current technology derating factors of system adequacy mechanisms for electricity, some recently launched, clearly indicate)</w:t>
      </w:r>
      <w:r w:rsidRPr="00B364CB">
        <w:t xml:space="preserve">. The climate neutrality goal for 2050 requires though that the electricity sector is decarbonised already by 2040, which highlights the need that these gas turbines are fuelled by low carbon gases. </w:t>
      </w:r>
    </w:p>
    <w:p w14:paraId="0E3A4211" w14:textId="66E2C503" w:rsidR="00F52583" w:rsidRPr="00B364CB" w:rsidRDefault="00AC6B02" w:rsidP="00733699">
      <w:pPr>
        <w:pStyle w:val="MAWP-Bodytext"/>
      </w:pPr>
      <w:r w:rsidRPr="00B364CB">
        <w:t xml:space="preserve">The objective of this activity area is to prepare gas turbines to run on 100% hydrogen, whilst keep conversion efficiencies and NOx emission to acceptable levels. </w:t>
      </w:r>
      <w:r w:rsidR="00966C99" w:rsidRPr="00B364CB">
        <w:t xml:space="preserve">To achieve </w:t>
      </w:r>
      <w:r w:rsidR="00E269B7" w:rsidRPr="00B364CB">
        <w:t>the objective</w:t>
      </w:r>
      <w:r w:rsidR="00966C99" w:rsidRPr="00B364CB">
        <w:t xml:space="preserve"> the focus of the support should be on research to better understand the implications of using </w:t>
      </w:r>
      <w:r w:rsidR="002F7C48" w:rsidRPr="00B364CB">
        <w:t>hydrogen</w:t>
      </w:r>
      <w:r w:rsidR="00966C99" w:rsidRPr="00B364CB">
        <w:t xml:space="preserve"> in combustors including NOx and flashback control whilst keeping acceptable power efficiencies. Actions like materials research to cope with the higher temperatures that using hydrogen would require would fall out of the </w:t>
      </w:r>
      <w:r w:rsidR="00831A2C">
        <w:t xml:space="preserve">Clean Hydrogen </w:t>
      </w:r>
      <w:r w:rsidR="00966C99" w:rsidRPr="00B364CB">
        <w:t xml:space="preserve">JU. </w:t>
      </w:r>
    </w:p>
    <w:p w14:paraId="3F736090" w14:textId="0F6123E3" w:rsidR="00966C99" w:rsidRPr="00B364CB" w:rsidRDefault="00966C99" w:rsidP="00733699">
      <w:pPr>
        <w:pStyle w:val="MAWP-Bodytext"/>
      </w:pPr>
      <w:r w:rsidRPr="00B364CB">
        <w:t xml:space="preserve">In order to facilitate the development process and facilitate backward compatibility with conventional fuels during the transition period, it is likely that support for actions running with different </w:t>
      </w:r>
      <w:r w:rsidR="002F7C48" w:rsidRPr="00B364CB">
        <w:t>hydrogen</w:t>
      </w:r>
      <w:r w:rsidRPr="00B364CB">
        <w:t xml:space="preserve"> admixtures maybe required in order to achieve the final goal of having 100% </w:t>
      </w:r>
      <w:r w:rsidR="002F7C48" w:rsidRPr="00B364CB">
        <w:t>hydrogen</w:t>
      </w:r>
      <w:r w:rsidRPr="00B364CB">
        <w:t xml:space="preserve"> turbines.  Building on this, support could be expected to demonstrate the retrofitting of existing gas turbines to run on 100% hydrogen.</w:t>
      </w:r>
    </w:p>
    <w:p w14:paraId="484C592A" w14:textId="77777777" w:rsidR="00966C99" w:rsidRPr="00B364CB" w:rsidRDefault="00966C99" w:rsidP="00733699">
      <w:pPr>
        <w:pStyle w:val="MAWPBodytextbullets"/>
        <w:rPr>
          <w:rStyle w:val="Strong"/>
          <w:b w:val="0"/>
        </w:rPr>
      </w:pPr>
      <w:r w:rsidRPr="00B364CB">
        <w:rPr>
          <w:rStyle w:val="Strong"/>
          <w:b w:val="0"/>
        </w:rPr>
        <w:t>Boilers and burners</w:t>
      </w:r>
    </w:p>
    <w:p w14:paraId="34058CD4" w14:textId="5F537704" w:rsidR="00966C99" w:rsidRPr="00B364CB" w:rsidRDefault="006C359E" w:rsidP="00733699">
      <w:pPr>
        <w:pStyle w:val="MAWP-Bodytext"/>
      </w:pPr>
      <w:r w:rsidRPr="00B364CB">
        <w:t>Significant progress has been made recently in the area of domestic hydrogen boilers, especially in the UK</w:t>
      </w:r>
      <w:r w:rsidR="00D16C23">
        <w:t>, but also in Germany</w:t>
      </w:r>
      <w:r w:rsidRPr="00B364CB">
        <w:t>. A</w:t>
      </w:r>
      <w:r w:rsidR="00966C99" w:rsidRPr="00B364CB">
        <w:t xml:space="preserve">s hydrogen becomes more available the challenge remains to have industrial 100% hydrogen ready boilers and burners to provide high temperature heat and </w:t>
      </w:r>
      <w:r w:rsidRPr="00B364CB">
        <w:t xml:space="preserve">to comply with </w:t>
      </w:r>
      <w:r w:rsidR="00966C99" w:rsidRPr="00B364CB">
        <w:t xml:space="preserve">the NOx emissions standards as </w:t>
      </w:r>
      <w:r w:rsidRPr="00B364CB">
        <w:t xml:space="preserve">for conventional </w:t>
      </w:r>
      <w:r w:rsidR="00966C99" w:rsidRPr="00B364CB">
        <w:t xml:space="preserve">gas boilers by 2030. With this in mind support in the </w:t>
      </w:r>
      <w:r w:rsidR="00831A2C">
        <w:t xml:space="preserve">Clean Hydrogen </w:t>
      </w:r>
      <w:r w:rsidR="00966C99" w:rsidRPr="00B364CB">
        <w:t xml:space="preserve">JU should be on better understanding </w:t>
      </w:r>
      <w:r w:rsidR="0010482F" w:rsidRPr="00B364CB">
        <w:t xml:space="preserve">the </w:t>
      </w:r>
      <w:r w:rsidR="00966C99" w:rsidRPr="00B364CB">
        <w:t xml:space="preserve">hydrogen combustion mechanism and in developing or retrofitting boilers with combustors and burners respectively able to run on 100% </w:t>
      </w:r>
      <w:r w:rsidR="002F7C48" w:rsidRPr="00B364CB">
        <w:t>hydrogen</w:t>
      </w:r>
      <w:r w:rsidR="00966C99" w:rsidRPr="00B364CB">
        <w:t xml:space="preserve"> whilst </w:t>
      </w:r>
      <w:r w:rsidRPr="00B364CB">
        <w:t xml:space="preserve">respecting the </w:t>
      </w:r>
      <w:r w:rsidR="00966C99" w:rsidRPr="00B364CB">
        <w:t>NOx emissions standards</w:t>
      </w:r>
      <w:r w:rsidRPr="00B364CB">
        <w:t>.</w:t>
      </w:r>
    </w:p>
    <w:p w14:paraId="60AB986E" w14:textId="72949345" w:rsidR="007D6A21" w:rsidRPr="00B364CB" w:rsidRDefault="00392B9D" w:rsidP="007D6A21">
      <w:pPr>
        <w:pStyle w:val="MAWP-Bodytext"/>
      </w:pPr>
      <w:r w:rsidRPr="00B364CB">
        <w:t>Specific actions supporting this area will appear as integral part</w:t>
      </w:r>
      <w:r w:rsidR="0010482F" w:rsidRPr="00B364CB">
        <w:t>s</w:t>
      </w:r>
      <w:r w:rsidRPr="00B364CB">
        <w:t xml:space="preserve"> of broader projects supporting</w:t>
      </w:r>
      <w:r w:rsidR="002A2952" w:rsidRPr="00B364CB">
        <w:t>,</w:t>
      </w:r>
      <w:r w:rsidRPr="00B364CB">
        <w:t xml:space="preserve"> for instance</w:t>
      </w:r>
      <w:r w:rsidR="002A2952" w:rsidRPr="00B364CB">
        <w:t>,</w:t>
      </w:r>
      <w:r w:rsidRPr="00B364CB">
        <w:t xml:space="preserve"> the direct use/storage of </w:t>
      </w:r>
      <w:r w:rsidR="002F7C48" w:rsidRPr="00B364CB">
        <w:t>hydrogen</w:t>
      </w:r>
      <w:r w:rsidRPr="00B364CB">
        <w:t xml:space="preserve"> from electrolysis at low pressure </w:t>
      </w:r>
      <w:r w:rsidR="002A2952" w:rsidRPr="00B364CB">
        <w:t>from</w:t>
      </w:r>
      <w:r w:rsidRPr="00B364CB">
        <w:t xml:space="preserve"> combustion </w:t>
      </w:r>
      <w:r w:rsidR="002A2952" w:rsidRPr="00B364CB">
        <w:t>and include also</w:t>
      </w:r>
      <w:r w:rsidRPr="00B364CB">
        <w:t xml:space="preserve"> the flexibility of burners towards various fuels (</w:t>
      </w:r>
      <w:r w:rsidR="002F7C48" w:rsidRPr="00B364CB">
        <w:t>hydrogen</w:t>
      </w:r>
      <w:r w:rsidRPr="00B364CB">
        <w:t xml:space="preserve">, </w:t>
      </w:r>
      <w:r w:rsidR="002F7C48" w:rsidRPr="00B364CB">
        <w:t>natural gas</w:t>
      </w:r>
      <w:r w:rsidRPr="00B364CB">
        <w:t xml:space="preserve">, ammonia – normally dedicated to ambient pressure). Those actions should also benefit from the fundamental low TRL activities on </w:t>
      </w:r>
      <w:r w:rsidR="002A2952" w:rsidRPr="00B364CB">
        <w:t>gas turbines</w:t>
      </w:r>
      <w:r w:rsidRPr="00B364CB">
        <w:t xml:space="preserve"> and result into activities targeting applications in a context of full applications beyond mere combustion</w:t>
      </w:r>
      <w:r w:rsidR="007D6A21">
        <w:t>.</w:t>
      </w:r>
    </w:p>
    <w:p w14:paraId="7AA477C0" w14:textId="5E8C8984" w:rsidR="00F56DD2" w:rsidRPr="00B364CB" w:rsidRDefault="00F56DD2" w:rsidP="00733699">
      <w:pPr>
        <w:pStyle w:val="MAWP-Bodytext"/>
      </w:pPr>
      <w:r w:rsidRPr="00B364CB">
        <w:t>In summary these are the following objectives in this pillar:</w:t>
      </w:r>
    </w:p>
    <w:p w14:paraId="2AA0D4B1" w14:textId="765B0D8F" w:rsidR="00F56DD2" w:rsidRPr="00B364CB" w:rsidRDefault="00F56DD2" w:rsidP="002256F6">
      <w:pPr>
        <w:pStyle w:val="MAWPBodytextbullets"/>
        <w:numPr>
          <w:ilvl w:val="0"/>
          <w:numId w:val="61"/>
        </w:numPr>
      </w:pPr>
      <w:r w:rsidRPr="00B364CB">
        <w:t>Allow turbines to run on higher admixtures of H</w:t>
      </w:r>
      <w:r w:rsidRPr="00E4788A">
        <w:rPr>
          <w:vertAlign w:val="subscript"/>
        </w:rPr>
        <w:t>2</w:t>
      </w:r>
      <w:r w:rsidRPr="00B364CB">
        <w:t>, up to 100% whilst keeping low NOx emissions</w:t>
      </w:r>
      <w:r w:rsidR="00190D23" w:rsidRPr="00B364CB">
        <w:t>, high efficiencies and flexible operation.</w:t>
      </w:r>
    </w:p>
    <w:p w14:paraId="30153875" w14:textId="24AFC887" w:rsidR="00402611" w:rsidRPr="00A352ED" w:rsidRDefault="00F56DD2" w:rsidP="002256F6">
      <w:pPr>
        <w:pStyle w:val="MAWPBodytextbullets"/>
        <w:numPr>
          <w:ilvl w:val="0"/>
          <w:numId w:val="61"/>
        </w:numPr>
        <w:ind w:left="714" w:hanging="357"/>
      </w:pPr>
      <w:r w:rsidRPr="00B364CB">
        <w:lastRenderedPageBreak/>
        <w:t>Develop concepts on safety and</w:t>
      </w:r>
      <w:r w:rsidR="00D95A30" w:rsidRPr="00B364CB">
        <w:t xml:space="preserve"> plant integration and demonstrate the</w:t>
      </w:r>
      <w:r w:rsidRPr="00B364CB">
        <w:t xml:space="preserve"> </w:t>
      </w:r>
      <w:r w:rsidR="00190D23" w:rsidRPr="00B364CB">
        <w:t>retrofitting of turbines, boilers and burners so that they are able to run up to 100% H</w:t>
      </w:r>
      <w:r w:rsidR="00190D23" w:rsidRPr="00A352ED">
        <w:rPr>
          <w:vertAlign w:val="subscript"/>
        </w:rPr>
        <w:t>2</w:t>
      </w:r>
      <w:r w:rsidR="00402611" w:rsidRPr="00A352ED">
        <w:t>.</w:t>
      </w:r>
    </w:p>
    <w:p w14:paraId="4584864B" w14:textId="147FE30F" w:rsidR="002C6416" w:rsidRPr="00CE70C1" w:rsidRDefault="002C6416" w:rsidP="002C6416">
      <w:pPr>
        <w:pStyle w:val="MAWP-Bodytext"/>
      </w:pPr>
      <w:r w:rsidRPr="00CE70C1">
        <w:t xml:space="preserve">In order to contribute towards achieving the above objectives, the following areas of research and development appear as good candidates for the support by the </w:t>
      </w:r>
      <w:r w:rsidR="00831A2C">
        <w:t xml:space="preserve">Clean Hydrogen </w:t>
      </w:r>
      <w:r w:rsidRPr="00CE70C1">
        <w:t>JU.</w:t>
      </w:r>
    </w:p>
    <w:p w14:paraId="15F97081" w14:textId="4FD3EA6D" w:rsidR="00966C99" w:rsidRPr="00B364CB" w:rsidRDefault="00966C99" w:rsidP="00167FEC">
      <w:pPr>
        <w:pStyle w:val="MAWPHeadingStyleLevel4"/>
      </w:pPr>
      <w:r w:rsidRPr="00B364CB">
        <w:t>R&amp;D Priorities</w:t>
      </w:r>
      <w:r w:rsidR="00167FEC" w:rsidRPr="00B364CB">
        <w:t xml:space="preserve"> - </w:t>
      </w:r>
      <w:r w:rsidRPr="00B364CB">
        <w:t xml:space="preserve">Early </w:t>
      </w:r>
      <w:r w:rsidR="008839B3" w:rsidRPr="00B364CB">
        <w:t xml:space="preserve">Stage </w:t>
      </w:r>
      <w:r w:rsidRPr="00B364CB">
        <w:t xml:space="preserve">Research Actions </w:t>
      </w:r>
    </w:p>
    <w:p w14:paraId="61FCA2AF" w14:textId="46D770BD" w:rsidR="00573A69" w:rsidRDefault="00966C99" w:rsidP="004C1AF6">
      <w:pPr>
        <w:pStyle w:val="MAWPBodytextbullets"/>
      </w:pPr>
      <w:r w:rsidRPr="00B364CB">
        <w:t xml:space="preserve">Combustion physics, flame stability and combustion dynamics in gas turbine operation with pure hydrogen, focussing on development of new DLE combustion models for </w:t>
      </w:r>
      <w:r w:rsidR="002F7C48" w:rsidRPr="00B364CB">
        <w:t>hydrogen</w:t>
      </w:r>
      <w:r w:rsidRPr="00B364CB">
        <w:t xml:space="preserve"> content of 100%</w:t>
      </w:r>
      <w:r w:rsidR="00573A69">
        <w:t>.</w:t>
      </w:r>
    </w:p>
    <w:p w14:paraId="72B9921F" w14:textId="19E4BC77" w:rsidR="00966C99" w:rsidRPr="00B364CB" w:rsidRDefault="00167FEC" w:rsidP="00167FEC">
      <w:pPr>
        <w:pStyle w:val="MAWPHeadingStyleLevel4"/>
      </w:pPr>
      <w:r w:rsidRPr="00B364CB">
        <w:t xml:space="preserve">R&amp;D Priorities - </w:t>
      </w:r>
      <w:r w:rsidR="00966C99" w:rsidRPr="00B364CB">
        <w:t xml:space="preserve">Development Research Actions </w:t>
      </w:r>
    </w:p>
    <w:p w14:paraId="0F3034AD" w14:textId="4E3F3C5C" w:rsidR="00966C99" w:rsidRPr="00B364CB" w:rsidRDefault="00966C99" w:rsidP="00733699">
      <w:pPr>
        <w:pStyle w:val="MAWPBodytextbullets"/>
      </w:pPr>
      <w:r w:rsidRPr="00B364CB">
        <w:t>Development of plant integration concepts, business models and value chains, incl. retrofitting</w:t>
      </w:r>
      <w:r w:rsidR="008A64C9" w:rsidRPr="00B364CB">
        <w:t>;</w:t>
      </w:r>
    </w:p>
    <w:p w14:paraId="47618CF1" w14:textId="43C808E1" w:rsidR="00966C99" w:rsidRPr="00B364CB" w:rsidRDefault="00966C99" w:rsidP="00733699">
      <w:pPr>
        <w:pStyle w:val="MAWPBodytextbullets"/>
      </w:pPr>
      <w:r w:rsidRPr="00B364CB">
        <w:t>Safety concepts, Standards and Norms (linked to cross-cutting activities)</w:t>
      </w:r>
      <w:r w:rsidR="008A64C9" w:rsidRPr="00B364CB">
        <w:t>;</w:t>
      </w:r>
    </w:p>
    <w:p w14:paraId="0468C6F5" w14:textId="41CCCF2F" w:rsidR="00966C99" w:rsidRPr="00B364CB" w:rsidRDefault="00966C99" w:rsidP="00733699">
      <w:pPr>
        <w:pStyle w:val="MAWPBodytextbullets"/>
      </w:pPr>
      <w:r w:rsidRPr="00B364CB">
        <w:t xml:space="preserve">Development of pure </w:t>
      </w:r>
      <w:r w:rsidR="002F7C48" w:rsidRPr="00B364CB">
        <w:t>hydrogen</w:t>
      </w:r>
      <w:r w:rsidRPr="00B364CB">
        <w:t xml:space="preserve"> burner for boilers compliant NOx emissions (industrial scales). Research areas should focus on flame monitoring, optimal mixture formation, impact of buoyancy effects, flame stability &amp; flashback, reduction of emissions. Aspects looking at materials research</w:t>
      </w:r>
      <w:r w:rsidR="00FF3229">
        <w:t>,</w:t>
      </w:r>
      <w:r w:rsidRPr="00B364CB">
        <w:t xml:space="preserve"> like life-time analysis of thermally high stressed materials</w:t>
      </w:r>
      <w:r w:rsidR="00FF3229">
        <w:t>,</w:t>
      </w:r>
      <w:r w:rsidRPr="00B364CB">
        <w:t xml:space="preserve"> would fall out of the remit of this partnership</w:t>
      </w:r>
      <w:r w:rsidR="008A64C9" w:rsidRPr="00B364CB">
        <w:t>;</w:t>
      </w:r>
      <w:r w:rsidRPr="00B364CB">
        <w:t xml:space="preserve">  </w:t>
      </w:r>
    </w:p>
    <w:p w14:paraId="42A54A78" w14:textId="77777777" w:rsidR="00966C99" w:rsidRPr="00B364CB" w:rsidRDefault="00966C99" w:rsidP="00733699">
      <w:pPr>
        <w:pStyle w:val="MAWPBodytextbullets"/>
      </w:pPr>
      <w:r w:rsidRPr="00B364CB">
        <w:t>Investigation of the influence of hydrogen and higher gas supply pressures on component tightness and thermal aging behaviour.</w:t>
      </w:r>
    </w:p>
    <w:p w14:paraId="5A26B08A" w14:textId="1DD45241" w:rsidR="00966C99" w:rsidRPr="00B364CB" w:rsidRDefault="00F43A04" w:rsidP="00167FEC">
      <w:pPr>
        <w:pStyle w:val="MAWPHeadingStyleLevel4"/>
      </w:pPr>
      <w:r w:rsidRPr="00B364CB">
        <w:t>R&amp;D Priorities - Demonstration Actions</w:t>
      </w:r>
      <w:r w:rsidR="00966C99" w:rsidRPr="00B364CB">
        <w:t xml:space="preserve"> </w:t>
      </w:r>
    </w:p>
    <w:p w14:paraId="192A7816" w14:textId="0049BDD1" w:rsidR="00966C99" w:rsidRPr="00B364CB" w:rsidRDefault="00966C99" w:rsidP="00881029">
      <w:pPr>
        <w:pStyle w:val="MAWPBodytextbullets"/>
        <w:numPr>
          <w:ilvl w:val="0"/>
          <w:numId w:val="0"/>
        </w:numPr>
      </w:pPr>
      <w:r w:rsidRPr="00B364CB">
        <w:t>Demonstration in selected industrial sites in Europe (different plant sizes, from tens to hundreds of MWs) using advanced gas turbines-based power and heat generation technologies. This should include upgrade existing plants to safely utilise hydrogen</w:t>
      </w:r>
      <w:r w:rsidR="00167FEC" w:rsidRPr="00B364CB">
        <w:t>.</w:t>
      </w:r>
    </w:p>
    <w:p w14:paraId="621F0BD2" w14:textId="77777777" w:rsidR="000B03A1" w:rsidRPr="00B364CB" w:rsidRDefault="000B03A1" w:rsidP="000B03A1">
      <w:pPr>
        <w:pStyle w:val="MAWPHeadingStyleLevel4"/>
      </w:pPr>
      <w:r w:rsidRPr="00B364CB">
        <w:t>Flagship Actions</w:t>
      </w:r>
    </w:p>
    <w:p w14:paraId="5C1558D8" w14:textId="3EF95E71" w:rsidR="000B03A1" w:rsidRPr="00B364CB" w:rsidRDefault="00897C3D" w:rsidP="00881029">
      <w:pPr>
        <w:pStyle w:val="MAWPBodytextbullets"/>
        <w:numPr>
          <w:ilvl w:val="0"/>
          <w:numId w:val="0"/>
        </w:numPr>
      </w:pPr>
      <w:r w:rsidRPr="00B364CB">
        <w:t xml:space="preserve">Not foreseen as dedicated actions but they could be part of flagship actions supported under other areas. </w:t>
      </w:r>
    </w:p>
    <w:p w14:paraId="4E7F85D9" w14:textId="3E2B133E" w:rsidR="002A2952" w:rsidRPr="00B364CB" w:rsidRDefault="00B74BB9" w:rsidP="004A1B65">
      <w:pPr>
        <w:pStyle w:val="MAWPHeadingStyleLevel4"/>
      </w:pPr>
      <w:r w:rsidRPr="00B364CB">
        <w:t>Synergies</w:t>
      </w:r>
      <w:r w:rsidR="007A5755" w:rsidRPr="00B364CB">
        <w:t xml:space="preserve"> </w:t>
      </w:r>
    </w:p>
    <w:p w14:paraId="0DE39FD5" w14:textId="0F6D4B40" w:rsidR="00F52583" w:rsidRPr="00B364CB" w:rsidRDefault="00F52583" w:rsidP="00F52583">
      <w:pPr>
        <w:pStyle w:val="MAWP-Bodytext"/>
      </w:pPr>
      <w:r w:rsidRPr="00B364CB">
        <w:t xml:space="preserve">Synergies between </w:t>
      </w:r>
      <w:r w:rsidR="008E6B41" w:rsidRPr="00B364CB">
        <w:t xml:space="preserve">the Clean Hydrogen </w:t>
      </w:r>
      <w:r w:rsidRPr="00B364CB">
        <w:t>JU</w:t>
      </w:r>
      <w:r w:rsidR="00C47F24" w:rsidRPr="00B364CB">
        <w:t>,</w:t>
      </w:r>
      <w:r w:rsidRPr="00B364CB">
        <w:t xml:space="preserve"> P4P</w:t>
      </w:r>
      <w:r w:rsidR="00C47F24" w:rsidRPr="00B364CB">
        <w:t xml:space="preserve"> and Clean Steel</w:t>
      </w:r>
      <w:r w:rsidRPr="00B364CB">
        <w:t xml:space="preserve"> will be explored</w:t>
      </w:r>
      <w:r w:rsidR="00515322" w:rsidRPr="00B364CB">
        <w:t>, focusing on industrial applications</w:t>
      </w:r>
      <w:r w:rsidRPr="00B364CB">
        <w:t xml:space="preserve">. </w:t>
      </w:r>
      <w:r w:rsidR="00515322" w:rsidRPr="00B364CB">
        <w:t>Other potential synergies could be with Horizon’s Europe Cluster 5.</w:t>
      </w:r>
      <w:r w:rsidR="00515322" w:rsidRPr="00B364CB">
        <w:rPr>
          <w:vertAlign w:val="superscript"/>
        </w:rPr>
        <w:t xml:space="preserve"> </w:t>
      </w:r>
      <w:r w:rsidRPr="00B364CB">
        <w:t xml:space="preserve">See Section </w:t>
      </w:r>
      <w:r w:rsidRPr="00B364CB">
        <w:fldChar w:fldCharType="begin"/>
      </w:r>
      <w:r w:rsidRPr="00B364CB">
        <w:instrText xml:space="preserve"> REF _Ref55249545 \r \h  \* MERGEFORMAT </w:instrText>
      </w:r>
      <w:r w:rsidRPr="00B364CB">
        <w:fldChar w:fldCharType="separate"/>
      </w:r>
      <w:r w:rsidR="00331EBC">
        <w:t>4.1</w:t>
      </w:r>
      <w:r w:rsidRPr="00B364CB">
        <w:fldChar w:fldCharType="end"/>
      </w:r>
      <w:r w:rsidR="00B77E48" w:rsidRPr="00B364CB">
        <w:t xml:space="preserve"> </w:t>
      </w:r>
      <w:r w:rsidR="00B77E48">
        <w:t xml:space="preserve">and Annex 7 </w:t>
      </w:r>
      <w:r w:rsidRPr="00B364CB">
        <w:t>for more details on the synergies.</w:t>
      </w:r>
    </w:p>
    <w:p w14:paraId="1FA58123" w14:textId="77777777" w:rsidR="0023767B" w:rsidRPr="00B364CB" w:rsidRDefault="0023767B" w:rsidP="006802D3">
      <w:pPr>
        <w:pStyle w:val="Subtitle"/>
      </w:pPr>
      <w:bookmarkStart w:id="116" w:name="_Ref64056733"/>
      <w:bookmarkStart w:id="117" w:name="_Toc64640566"/>
      <w:bookmarkStart w:id="118" w:name="_Toc93907334"/>
      <w:r w:rsidRPr="00B364CB">
        <w:t>Cross-cutting issues</w:t>
      </w:r>
      <w:bookmarkEnd w:id="116"/>
      <w:bookmarkEnd w:id="117"/>
      <w:bookmarkEnd w:id="118"/>
    </w:p>
    <w:p w14:paraId="2B57EE70" w14:textId="786EC72E" w:rsidR="0023767B" w:rsidRPr="00B364CB" w:rsidRDefault="0023767B" w:rsidP="00733699">
      <w:pPr>
        <w:pStyle w:val="MAWP-Bodytext"/>
      </w:pPr>
      <w:r w:rsidRPr="00B364CB">
        <w:t xml:space="preserve">In order to meet the targets set out in the Hydrogen Strategy, Europe needs to ensure safe and frictionless deployment of </w:t>
      </w:r>
      <w:r w:rsidR="00AF3ECF" w:rsidRPr="00B364CB">
        <w:t xml:space="preserve">low-carbon </w:t>
      </w:r>
      <w:r w:rsidRPr="00B364CB">
        <w:t xml:space="preserve">hydrogen technologies. Nevertheless, mass-market </w:t>
      </w:r>
      <w:r w:rsidR="001F3B60" w:rsidRPr="00B364CB">
        <w:t>commercialisation</w:t>
      </w:r>
      <w:r w:rsidRPr="00B364CB">
        <w:t xml:space="preserve"> of hydrogen-based technologies presents a number of systemic (or horizontal) challenges that need to be addressed to effectively kick-start a hydrogen ecosystem of significant scale throughout the EU in the coming decade. </w:t>
      </w:r>
    </w:p>
    <w:p w14:paraId="6763068B" w14:textId="77777777" w:rsidR="0023767B" w:rsidRPr="00B364CB" w:rsidRDefault="0023767B" w:rsidP="00733699">
      <w:pPr>
        <w:pStyle w:val="MAWP-Bodytext"/>
      </w:pPr>
      <w:r w:rsidRPr="00B364CB">
        <w:t>Whilst cross-cutting issues such as knowledge management or communication activities are embedded throughout the entire Programme, a number of specific supporting activities of horizontal nature are still required in view of reinforcing Europe’s leadership position and to accelerate mass-market adoption. These supporting activities are encompassed in a cross-</w:t>
      </w:r>
      <w:r w:rsidRPr="00B364CB">
        <w:lastRenderedPageBreak/>
        <w:t>cutting activity area.</w:t>
      </w:r>
    </w:p>
    <w:p w14:paraId="5CFEE3C0" w14:textId="4828AACB" w:rsidR="0023767B" w:rsidRPr="00B364CB" w:rsidRDefault="0023767B" w:rsidP="00733699">
      <w:pPr>
        <w:pStyle w:val="MAWP-Bodytext"/>
      </w:pPr>
      <w:r w:rsidRPr="00B364CB">
        <w:t xml:space="preserve">Cross-cutting activity area is a horizontal area </w:t>
      </w:r>
      <w:r w:rsidR="001F3B60" w:rsidRPr="00B364CB">
        <w:t>aiming</w:t>
      </w:r>
      <w:r w:rsidRPr="00B364CB">
        <w:t xml:space="preserve"> at paving the way for the safe and frictionless roll-out of hydrogen-based technologies at scale by means of the implementation of a comprehensive set of supporting activities. Building on the experiences and successes of the FCH 2 JU Programme, the implementation of cross-cutting activities will support and complement the activities undertaken in other areas of the Programme while facilitating the roll-out and the </w:t>
      </w:r>
      <w:r w:rsidR="001F3B60" w:rsidRPr="00B364CB">
        <w:t>commercialisation</w:t>
      </w:r>
      <w:r w:rsidRPr="00B364CB">
        <w:t xml:space="preserve"> of hydrogen-based technologies in Europe (and beyond).</w:t>
      </w:r>
    </w:p>
    <w:p w14:paraId="3974341D" w14:textId="3941994A" w:rsidR="0023767B" w:rsidRPr="00B364CB" w:rsidRDefault="0023767B" w:rsidP="00733699">
      <w:pPr>
        <w:pStyle w:val="MAWP-Bodytext"/>
      </w:pPr>
      <w:r w:rsidRPr="00B364CB">
        <w:t xml:space="preserve">Cross-cutting activity area is structured around </w:t>
      </w:r>
      <w:r w:rsidR="00942A81" w:rsidRPr="00B364CB">
        <w:t xml:space="preserve">three </w:t>
      </w:r>
      <w:r w:rsidRPr="00B364CB">
        <w:t>focus areas: (i) Sustainability; (ii) Education and public awareness;</w:t>
      </w:r>
      <w:r w:rsidR="00942A81" w:rsidRPr="00B364CB">
        <w:t xml:space="preserve"> and</w:t>
      </w:r>
      <w:r w:rsidRPr="00B364CB">
        <w:t xml:space="preserve"> (iii) Safety, pre-normative research and regulations, codes and standards.</w:t>
      </w:r>
    </w:p>
    <w:p w14:paraId="1330AD76" w14:textId="3E37E939" w:rsidR="00FF3229" w:rsidRDefault="0023767B" w:rsidP="00733699">
      <w:pPr>
        <w:pStyle w:val="MAWP-Bodytext"/>
      </w:pPr>
      <w:r w:rsidRPr="00B364CB">
        <w:t xml:space="preserve">As hydrogen-based technologies become a market value proposition, strengthening the focus on environmental and sustainability aspects is required in the framework of the transition to a circular economy. </w:t>
      </w:r>
      <w:r w:rsidR="00FA3BEA">
        <w:t>Indeed, as mentioned in Section 2.1, sustainability and circularity aspects will become one of the underpinning issues across the Clean Hydrogen JU</w:t>
      </w:r>
      <w:r w:rsidR="00FA3BEA" w:rsidRPr="00B55AC7">
        <w:t xml:space="preserve"> </w:t>
      </w:r>
      <w:r w:rsidR="00FA3BEA" w:rsidRPr="00DD481A">
        <w:t>Programme</w:t>
      </w:r>
      <w:r w:rsidR="00FA3BEA">
        <w:t xml:space="preserve">, guiding and supporting the activities undertaken </w:t>
      </w:r>
      <w:r w:rsidR="00FA3BEA" w:rsidRPr="00DD481A">
        <w:t>within</w:t>
      </w:r>
      <w:r w:rsidR="00FA3BEA">
        <w:t xml:space="preserve">. </w:t>
      </w:r>
      <w:r w:rsidRPr="00B364CB">
        <w:t xml:space="preserve">Furthermore, continuous education and training are </w:t>
      </w:r>
      <w:r w:rsidR="00934B6D" w:rsidRPr="00B364CB">
        <w:t>fundame</w:t>
      </w:r>
      <w:r w:rsidRPr="00B364CB">
        <w:t>ntal to safeguard existing expertise and to prepare a well-educated workforce needed for a competitive hydrogen market, while underpin</w:t>
      </w:r>
      <w:r w:rsidR="00407640" w:rsidRPr="00B364CB">
        <w:t>ning</w:t>
      </w:r>
      <w:r w:rsidRPr="00B364CB">
        <w:t xml:space="preserve"> the jobs and value creation in a knowledge-based society in Europe. Public awareness activities are essential for increasing social acceptance and trust in hydrogen-based technologies throughout Europe but in particular, for bridging the potential lack of knowledge or mistrust of key stakeholders directly involved in the first phases of mass deployment in Europe. Moreover, for a safe deployment of </w:t>
      </w:r>
      <w:r w:rsidR="00FA3BEA">
        <w:t>clean</w:t>
      </w:r>
      <w:r w:rsidR="00AF3ECF" w:rsidRPr="00B364CB">
        <w:t xml:space="preserve"> </w:t>
      </w:r>
      <w:r w:rsidRPr="00B364CB">
        <w:t xml:space="preserve">hydrogen technologies in Europe, safety-related aspects are of paramount relevance. As the technologies will shift from the industrial domain to the public domain, strengthening hydrogen safety </w:t>
      </w:r>
      <w:r w:rsidR="00FA3BEA">
        <w:t xml:space="preserve">will </w:t>
      </w:r>
      <w:r w:rsidRPr="00B364CB">
        <w:t xml:space="preserve">become one of the priorities of the </w:t>
      </w:r>
      <w:r w:rsidR="00FA3BEA">
        <w:t>Clean Hydrogen JU</w:t>
      </w:r>
      <w:r w:rsidR="00FA3BEA" w:rsidRPr="00B55AC7">
        <w:t xml:space="preserve"> </w:t>
      </w:r>
      <w:r w:rsidR="00FA3BEA" w:rsidRPr="00DD481A">
        <w:t>Programme</w:t>
      </w:r>
      <w:r w:rsidRPr="00B364CB">
        <w:t xml:space="preserve">. Besides, a suitable regulatory framework for hydrogen-based technologies is necessary for an EU-wide deployment of </w:t>
      </w:r>
      <w:r w:rsidR="00934B6D" w:rsidRPr="00B364CB">
        <w:t>clean</w:t>
      </w:r>
      <w:r w:rsidR="00AF3ECF" w:rsidRPr="00B364CB">
        <w:t xml:space="preserve"> </w:t>
      </w:r>
      <w:r w:rsidRPr="00B364CB">
        <w:t xml:space="preserve">hydrogen technologies. To this end, both pre-normative research activities and desk research activities are fundamental for supporting regulations, codes and standards (RCS) development. </w:t>
      </w:r>
    </w:p>
    <w:p w14:paraId="39FFFD93" w14:textId="308FAEC6" w:rsidR="0023767B" w:rsidRPr="00B364CB" w:rsidRDefault="00925E8C" w:rsidP="00733699">
      <w:pPr>
        <w:pStyle w:val="MAWP-Bodytext"/>
      </w:pPr>
      <w:r>
        <w:t>There is also the need that cost benefit analysis among technologies is done on a level playing field for all carriers and that whole system analyses are performed (with congestion management costs for all carriers and sector coupling incorporated). All the models used to plan infrastructure and policy should incorporate as a minimum a simplified version of the physical constraints of the carrier networks they represent. Today this is the case for some carriers but not for all, introducing a lack of level playing field in the comparisons and benchmarks run amongst them. The development of more complete multi-carrier hybrid models (including infrastructure physics and correctly reflecting network constraints) is a R&amp;D activity that will have impacts on benchmarks and perceptions.</w:t>
      </w:r>
    </w:p>
    <w:p w14:paraId="2CAFBD5B" w14:textId="7C14EF7B" w:rsidR="0023767B" w:rsidRPr="00B364CB" w:rsidRDefault="0023767B" w:rsidP="00733699">
      <w:pPr>
        <w:pStyle w:val="MAWP-Bodytext"/>
      </w:pPr>
      <w:r w:rsidRPr="00B364CB">
        <w:t>The following sections provide further details of the research framework envisaged in each of the above-mentioned focus areas.</w:t>
      </w:r>
    </w:p>
    <w:p w14:paraId="371CF85C" w14:textId="35A5EFE7" w:rsidR="0023767B" w:rsidRPr="00B364CB" w:rsidRDefault="0023767B" w:rsidP="006802D3">
      <w:pPr>
        <w:pStyle w:val="MAWPsubtitle2"/>
      </w:pPr>
      <w:bookmarkStart w:id="119" w:name="_Toc64640567"/>
      <w:bookmarkStart w:id="120" w:name="_Toc93907335"/>
      <w:r w:rsidRPr="00B364CB">
        <w:t>Sustainability, LCSA, recycling and eco-design</w:t>
      </w:r>
      <w:bookmarkEnd w:id="119"/>
      <w:bookmarkEnd w:id="120"/>
    </w:p>
    <w:p w14:paraId="6D70BC02" w14:textId="77777777" w:rsidR="0023767B" w:rsidRPr="00B364CB" w:rsidRDefault="0023767B" w:rsidP="00167FEC">
      <w:pPr>
        <w:pStyle w:val="MAWPHeadingStyleLevel4"/>
      </w:pPr>
      <w:r w:rsidRPr="00B364CB">
        <w:t>Rationale for support</w:t>
      </w:r>
    </w:p>
    <w:p w14:paraId="52552E63" w14:textId="2C1BCE1D" w:rsidR="0023767B" w:rsidRPr="00B364CB" w:rsidRDefault="0023767B" w:rsidP="00733699">
      <w:pPr>
        <w:pStyle w:val="MAWP-Bodytext"/>
      </w:pPr>
      <w:r w:rsidRPr="00B364CB">
        <w:t xml:space="preserve">Hydrogen-based technologies are ready to start </w:t>
      </w:r>
      <w:r w:rsidR="00407640" w:rsidRPr="00B364CB">
        <w:t>their</w:t>
      </w:r>
      <w:r w:rsidRPr="00B364CB">
        <w:t xml:space="preserve"> deployment in different applications and levels but it is necessary to develop </w:t>
      </w:r>
      <w:r w:rsidR="009753B7">
        <w:t xml:space="preserve">circular and </w:t>
      </w:r>
      <w:r w:rsidRPr="00B364CB">
        <w:t xml:space="preserve">sustainable approaches </w:t>
      </w:r>
      <w:r w:rsidR="009753B7">
        <w:t>in the technology developments and</w:t>
      </w:r>
      <w:r w:rsidR="009753B7" w:rsidRPr="00B364CB">
        <w:t xml:space="preserve"> </w:t>
      </w:r>
      <w:r w:rsidRPr="00B364CB">
        <w:t xml:space="preserve">along the hydrogen chain to comply with environmental </w:t>
      </w:r>
      <w:r w:rsidR="005B007A" w:rsidRPr="00B364CB">
        <w:t xml:space="preserve">and social </w:t>
      </w:r>
      <w:r w:rsidRPr="00B364CB">
        <w:t xml:space="preserve">principles </w:t>
      </w:r>
      <w:r w:rsidRPr="00B364CB">
        <w:lastRenderedPageBreak/>
        <w:t xml:space="preserve">and goals. To this end, further efforts in </w:t>
      </w:r>
      <w:r w:rsidR="001F3B60" w:rsidRPr="00B364CB">
        <w:t>minimising</w:t>
      </w:r>
      <w:r w:rsidRPr="00B364CB">
        <w:t xml:space="preserve"> the impacts of products from its design; ensuring its recovery, reuse and recycling with emphasis on the Platinum Group Metals </w:t>
      </w:r>
      <w:r w:rsidR="00FA3C55">
        <w:t>–</w:t>
      </w:r>
      <w:r w:rsidR="00AD09BA" w:rsidRPr="00B364CB">
        <w:t xml:space="preserve"> </w:t>
      </w:r>
      <w:r w:rsidRPr="00B364CB">
        <w:t>PGMs</w:t>
      </w:r>
      <w:r w:rsidR="00FA3C55">
        <w:t>,</w:t>
      </w:r>
      <w:r w:rsidRPr="00B364CB">
        <w:t xml:space="preserve"> Critical </w:t>
      </w:r>
      <w:r w:rsidR="006D3FBB">
        <w:t>(</w:t>
      </w:r>
      <w:r w:rsidRPr="00B364CB">
        <w:t>Raw</w:t>
      </w:r>
      <w:r w:rsidR="006D3FBB">
        <w:t>)</w:t>
      </w:r>
      <w:r w:rsidRPr="00B364CB">
        <w:t xml:space="preserve"> Materials </w:t>
      </w:r>
      <w:r w:rsidR="00FA3C55">
        <w:t>–</w:t>
      </w:r>
      <w:r w:rsidR="00AD09BA" w:rsidRPr="00B364CB">
        <w:t xml:space="preserve"> </w:t>
      </w:r>
      <w:r w:rsidRPr="00B364CB">
        <w:t>CRMs</w:t>
      </w:r>
      <w:r w:rsidR="00FA3C55">
        <w:t xml:space="preserve"> and </w:t>
      </w:r>
      <w:r w:rsidR="001B3926">
        <w:t xml:space="preserve">other materials </w:t>
      </w:r>
      <w:r w:rsidR="001B3926" w:rsidRPr="001B3926">
        <w:t>with sustainability or environmental concerns</w:t>
      </w:r>
      <w:r w:rsidR="001B3926">
        <w:t xml:space="preserve"> such as</w:t>
      </w:r>
      <w:r w:rsidR="001B3926" w:rsidRPr="001B3926">
        <w:t xml:space="preserve"> those deriving from per</w:t>
      </w:r>
      <w:r w:rsidR="001B3926">
        <w:t>- and polyfluoroalkyl substances</w:t>
      </w:r>
      <w:r w:rsidRPr="00B364CB">
        <w:t>; and supplying the necessary assessment tools for decision making are still required in the framework of the transition to a circular economy.</w:t>
      </w:r>
    </w:p>
    <w:p w14:paraId="28E15DF0" w14:textId="77777777" w:rsidR="0023767B" w:rsidRPr="00B364CB" w:rsidRDefault="0023767B" w:rsidP="00167FEC">
      <w:pPr>
        <w:pStyle w:val="MAWPHeadingStyleLevel4"/>
      </w:pPr>
      <w:r w:rsidRPr="00B364CB">
        <w:t>State of the Art</w:t>
      </w:r>
    </w:p>
    <w:p w14:paraId="16C72319" w14:textId="3DFD1B2A" w:rsidR="0023767B" w:rsidRPr="00B364CB" w:rsidRDefault="0023767B" w:rsidP="00733699">
      <w:pPr>
        <w:pStyle w:val="MAWP-Bodytext"/>
      </w:pPr>
      <w:r w:rsidRPr="00B364CB">
        <w:t xml:space="preserve">Circular economy is about creating value for the economy, society and business while </w:t>
      </w:r>
      <w:r w:rsidR="001F3B60" w:rsidRPr="00B364CB">
        <w:t>minimising</w:t>
      </w:r>
      <w:r w:rsidRPr="00B364CB">
        <w:t xml:space="preserve"> resource use and environmental and social impacts via system thinking. To this end, life cycle thinking tools have been developed to assess the environmental, social and economic impact of a product or activity</w:t>
      </w:r>
      <w:r w:rsidR="00273D00" w:rsidRPr="00B364CB">
        <w:t>. Life cycle thinking tools include but not limited to Life Cycle Assessment (LCA), Life Cycle Cost</w:t>
      </w:r>
      <w:r w:rsidR="00533DBE" w:rsidRPr="00B364CB">
        <w:t>ing</w:t>
      </w:r>
      <w:r w:rsidR="00273D00" w:rsidRPr="00B364CB">
        <w:t xml:space="preserve"> (LCC), Social Life Cycle Analysis (SLCA) and </w:t>
      </w:r>
      <w:r w:rsidR="00533DBE" w:rsidRPr="00B364CB">
        <w:t>Life C</w:t>
      </w:r>
      <w:r w:rsidR="00273D00" w:rsidRPr="00B364CB">
        <w:t>ycle Sustainability Assessment (LCSA)</w:t>
      </w:r>
      <w:r w:rsidR="00533DBE" w:rsidRPr="00B364CB">
        <w:t>.</w:t>
      </w:r>
      <w:r w:rsidRPr="00B364CB">
        <w:t xml:space="preserve"> In the hydrogen sector, FCH JU projects such </w:t>
      </w:r>
      <w:r w:rsidR="00776950" w:rsidRPr="00B364CB">
        <w:t>a</w:t>
      </w:r>
      <w:r w:rsidRPr="00B364CB">
        <w:t>s FC-</w:t>
      </w:r>
      <w:r w:rsidR="008643E6" w:rsidRPr="00B364CB">
        <w:t>HYGUIDE</w:t>
      </w:r>
      <w:r w:rsidR="00530437" w:rsidRPr="00B364CB">
        <w:rPr>
          <w:rStyle w:val="FootnoteReference"/>
        </w:rPr>
        <w:footnoteReference w:id="135"/>
      </w:r>
      <w:r w:rsidRPr="00B364CB">
        <w:t xml:space="preserve"> or SH2E</w:t>
      </w:r>
      <w:r w:rsidR="00530437" w:rsidRPr="00B364CB">
        <w:rPr>
          <w:rStyle w:val="FootnoteReference"/>
        </w:rPr>
        <w:footnoteReference w:id="136"/>
      </w:r>
      <w:r w:rsidRPr="00B364CB">
        <w:t xml:space="preserve"> account for this. Furthermore, projects like HYTECHCYCLING</w:t>
      </w:r>
      <w:r w:rsidR="00530437" w:rsidRPr="00B364CB">
        <w:rPr>
          <w:rStyle w:val="FootnoteReference"/>
        </w:rPr>
        <w:footnoteReference w:id="137"/>
      </w:r>
      <w:r w:rsidRPr="00B364CB">
        <w:t xml:space="preserve"> and BEST4HY</w:t>
      </w:r>
      <w:r w:rsidR="00530437" w:rsidRPr="00B364CB">
        <w:rPr>
          <w:rStyle w:val="FootnoteReference"/>
        </w:rPr>
        <w:footnoteReference w:id="138"/>
      </w:r>
      <w:r w:rsidRPr="00B364CB">
        <w:t xml:space="preserve"> projects, and eGHOST</w:t>
      </w:r>
      <w:r w:rsidR="00530437" w:rsidRPr="00B364CB">
        <w:rPr>
          <w:rStyle w:val="FootnoteReference"/>
        </w:rPr>
        <w:footnoteReference w:id="139"/>
      </w:r>
      <w:r w:rsidRPr="00B364CB">
        <w:t xml:space="preserve"> project have started to propose strategies for recycling as well as for the adaptation of the design of some hydrogen-based products. Nevertheless, still, further research is needed to consider the hydrogen sector a sustainable and circular sector.</w:t>
      </w:r>
    </w:p>
    <w:p w14:paraId="6915F821" w14:textId="0BCBA264" w:rsidR="0023767B" w:rsidRPr="00B364CB" w:rsidRDefault="008839B3" w:rsidP="009D707B">
      <w:pPr>
        <w:pStyle w:val="MAWPHeadingStyleLevel4"/>
        <w:rPr>
          <w:rFonts w:cs="Arial"/>
          <w:b/>
        </w:rPr>
      </w:pPr>
      <w:r w:rsidRPr="00B364CB">
        <w:t>Objectives</w:t>
      </w:r>
    </w:p>
    <w:p w14:paraId="6A124893" w14:textId="147BE341" w:rsidR="00017626" w:rsidRDefault="0023767B" w:rsidP="00017626">
      <w:pPr>
        <w:pStyle w:val="MAWP-Bodytext"/>
      </w:pPr>
      <w:r w:rsidRPr="00B364CB">
        <w:t xml:space="preserve">The overarching goal of this focus area is </w:t>
      </w:r>
      <w:r w:rsidR="009753B7">
        <w:t>to contribute</w:t>
      </w:r>
      <w:r w:rsidR="00481C4E">
        <w:t xml:space="preserve"> </w:t>
      </w:r>
      <w:r w:rsidRPr="00B364CB">
        <w:t xml:space="preserve">that the hydrogen sector </w:t>
      </w:r>
      <w:r w:rsidR="00481C4E">
        <w:t>becomes</w:t>
      </w:r>
      <w:r w:rsidRPr="00B364CB">
        <w:t xml:space="preserve"> a sustainable and circular sector supporting the EU strategy on energy system integration and contributing towards the achievement of the Sustainable Development Goals and the objectives of the Paris Agreement. To improve sustainability</w:t>
      </w:r>
      <w:r w:rsidR="00481C4E">
        <w:t xml:space="preserve"> and circularity</w:t>
      </w:r>
      <w:r w:rsidRPr="00B364CB">
        <w:t>, key focus areas for development are complete and integrated LCSA tools, enhanced recovery of PGMs/CRMs</w:t>
      </w:r>
      <w:r w:rsidR="00481C4E">
        <w:t xml:space="preserve"> including </w:t>
      </w:r>
      <w:r w:rsidR="00481C4E" w:rsidRPr="001758BF">
        <w:t>perfluorosulfonic acid (PFAS)</w:t>
      </w:r>
      <w:r w:rsidR="00481C4E">
        <w:t xml:space="preserve"> based</w:t>
      </w:r>
      <w:r w:rsidR="00481C4E" w:rsidRPr="001758BF">
        <w:t xml:space="preserve"> ionomers and membranes</w:t>
      </w:r>
      <w:r w:rsidRPr="00B364CB">
        <w:t>, development of recycling integrated processes, and development of eco-design guidelines and eco-efficient processes.</w:t>
      </w:r>
      <w:r w:rsidR="001606E0">
        <w:t xml:space="preserve"> Thus, the specific objectives in</w:t>
      </w:r>
      <w:r w:rsidR="00017626">
        <w:t xml:space="preserve"> this area are:</w:t>
      </w:r>
    </w:p>
    <w:p w14:paraId="5A772723" w14:textId="0D8B89B0" w:rsidR="00017626" w:rsidRDefault="00017626" w:rsidP="002256F6">
      <w:pPr>
        <w:pStyle w:val="MAWP-Bodytext"/>
        <w:numPr>
          <w:ilvl w:val="0"/>
          <w:numId w:val="54"/>
        </w:numPr>
      </w:pPr>
      <w:r>
        <w:t>Develop life cycle thinking tools addressing the three dimensions of sustainable development: economic, social, and environmental.</w:t>
      </w:r>
    </w:p>
    <w:p w14:paraId="28254D99" w14:textId="0D793028" w:rsidR="00017626" w:rsidRDefault="00017626" w:rsidP="002256F6">
      <w:pPr>
        <w:pStyle w:val="MAWP-Bodytext"/>
        <w:numPr>
          <w:ilvl w:val="0"/>
          <w:numId w:val="54"/>
        </w:numPr>
      </w:pPr>
      <w:r>
        <w:t>Develop</w:t>
      </w:r>
      <w:r w:rsidR="001606E0">
        <w:t xml:space="preserve"> </w:t>
      </w:r>
      <w:r>
        <w:t>eco-design guidelines and eco-efficient processes</w:t>
      </w:r>
      <w:r w:rsidR="009831BD">
        <w:t>.</w:t>
      </w:r>
    </w:p>
    <w:p w14:paraId="0197A6F0" w14:textId="63A02903" w:rsidR="00017626" w:rsidRPr="00B364CB" w:rsidRDefault="00017626" w:rsidP="002256F6">
      <w:pPr>
        <w:pStyle w:val="MAWP-Bodytext"/>
        <w:numPr>
          <w:ilvl w:val="0"/>
          <w:numId w:val="54"/>
        </w:numPr>
      </w:pPr>
      <w:r>
        <w:t xml:space="preserve">Develop enhanced recovery processes </w:t>
      </w:r>
      <w:r w:rsidR="001E5058">
        <w:t xml:space="preserve">in particular </w:t>
      </w:r>
      <w:r>
        <w:t>for PGMs/CRMs</w:t>
      </w:r>
      <w:r w:rsidR="00481C4E">
        <w:t xml:space="preserve"> and </w:t>
      </w:r>
      <w:r w:rsidR="00481C4E" w:rsidRPr="001B3926">
        <w:t>per</w:t>
      </w:r>
      <w:r w:rsidR="00481C4E">
        <w:t>- and polyfluoroalkyl substances</w:t>
      </w:r>
      <w:r w:rsidR="009831BD">
        <w:t>.</w:t>
      </w:r>
    </w:p>
    <w:p w14:paraId="5D1648E2" w14:textId="6873352A" w:rsidR="0023767B" w:rsidRPr="00B364CB" w:rsidRDefault="0023767B" w:rsidP="00733699">
      <w:pPr>
        <w:pStyle w:val="MAWP-Bodytext"/>
      </w:pPr>
      <w:r w:rsidRPr="00B364CB">
        <w:t>To this end, further research is needed to develop reliable methodologies for assessing the environmental</w:t>
      </w:r>
      <w:r w:rsidR="004A0AEA" w:rsidRPr="00B364CB">
        <w:t>, economic and social</w:t>
      </w:r>
      <w:r w:rsidRPr="00B364CB">
        <w:t xml:space="preserve"> impacts of hydrogen-based technologies and their associated value chains, including their full life-cycle environmental impacts </w:t>
      </w:r>
      <w:r w:rsidR="007F5EF2" w:rsidRPr="00B364CB">
        <w:t>(including “water balance” impacts)</w:t>
      </w:r>
      <w:r w:rsidR="00481C4E">
        <w:t>, circularity</w:t>
      </w:r>
      <w:r w:rsidR="007F5EF2" w:rsidRPr="00B364CB">
        <w:t xml:space="preserve"> </w:t>
      </w:r>
      <w:r w:rsidRPr="00B364CB">
        <w:t xml:space="preserve">and sustainability. Furthermore, securing the supply of critical raw materials in parallel to material reduction, substitution, reuse, and recycling needs to become a core part of the value chain to foster a more circular economy. Critical </w:t>
      </w:r>
      <w:r w:rsidR="006D3FBB">
        <w:t>(</w:t>
      </w:r>
      <w:r w:rsidRPr="00B364CB">
        <w:t>raw</w:t>
      </w:r>
      <w:r w:rsidR="006D3FBB">
        <w:t>)</w:t>
      </w:r>
      <w:r w:rsidRPr="00B364CB">
        <w:t xml:space="preserve"> materials present in hydrogen-based technologies need be looked at framed in the context of the Critical Raw </w:t>
      </w:r>
      <w:r w:rsidRPr="00B364CB">
        <w:lastRenderedPageBreak/>
        <w:t>Materials Action Plan</w:t>
      </w:r>
      <w:r w:rsidRPr="00B364CB">
        <w:rPr>
          <w:rStyle w:val="FootnoteReference"/>
        </w:rPr>
        <w:footnoteReference w:id="140"/>
      </w:r>
      <w:r w:rsidRPr="00B364CB">
        <w:t>, the implementation of the new Circular Economy Action Plan</w:t>
      </w:r>
      <w:r w:rsidRPr="00B364CB">
        <w:rPr>
          <w:rStyle w:val="FootnoteReference"/>
        </w:rPr>
        <w:footnoteReference w:id="141"/>
      </w:r>
      <w:r w:rsidRPr="00B364CB">
        <w:t xml:space="preserve"> and EU’s trade policy approach with due account being paid to ensuring the security of supply and high levels of sustainability in Europe. As part of the holistic approach on sustainability-related aspects, eco-design and eco-efficiency are effective tools for improving the sustainability of products and processes, contributing to eliminating the least performing products (and/or processes) from the market, and significantly contributing to the industrial competitiveness and innovation by promoting the better environmental performance of products and processes. </w:t>
      </w:r>
    </w:p>
    <w:p w14:paraId="3AF70029" w14:textId="6FC9E96F" w:rsidR="0023767B" w:rsidRPr="00B364CB" w:rsidRDefault="0023767B" w:rsidP="00733699">
      <w:pPr>
        <w:pStyle w:val="MAWP-Bodytext"/>
      </w:pPr>
      <w:r w:rsidRPr="00B364CB">
        <w:t xml:space="preserve">Sustainability, LCSA, recycling and eco-design activities will be strategically important by 2030. </w:t>
      </w:r>
      <w:r w:rsidR="00481C4E" w:rsidRPr="004F76CD">
        <w:t xml:space="preserve">Indeed, </w:t>
      </w:r>
      <w:r w:rsidR="00FA3BEA">
        <w:t>“</w:t>
      </w:r>
      <w:r w:rsidR="00481C4E" w:rsidRPr="004F76CD">
        <w:t>sustainability and circularity by design</w:t>
      </w:r>
      <w:r w:rsidR="00FA3BEA">
        <w:t>”</w:t>
      </w:r>
      <w:r w:rsidR="00481C4E" w:rsidRPr="004F76CD">
        <w:t xml:space="preserve"> will become one of the underpinning issues across the Clean Hydrogen JU Programme, guiding and supporting the activities undertaken within.</w:t>
      </w:r>
      <w:r w:rsidR="00481C4E">
        <w:t xml:space="preserve"> </w:t>
      </w:r>
      <w:r w:rsidRPr="00B364CB">
        <w:t xml:space="preserve">To </w:t>
      </w:r>
      <w:r w:rsidR="00481C4E">
        <w:t xml:space="preserve">contribute to </w:t>
      </w:r>
      <w:r w:rsidRPr="00B364CB">
        <w:t>address these issues, a number of actions targeting research and innovation, and coordination and support</w:t>
      </w:r>
      <w:r w:rsidR="00481C4E">
        <w:t xml:space="preserve"> </w:t>
      </w:r>
      <w:r w:rsidR="00481C4E" w:rsidRPr="00B364CB">
        <w:t xml:space="preserve">will </w:t>
      </w:r>
      <w:r w:rsidR="00481C4E">
        <w:t xml:space="preserve">be </w:t>
      </w:r>
      <w:r w:rsidR="00481C4E" w:rsidRPr="00B364CB">
        <w:t>carr</w:t>
      </w:r>
      <w:r w:rsidR="00481C4E">
        <w:t>ied</w:t>
      </w:r>
      <w:r w:rsidR="00481C4E" w:rsidRPr="00B364CB">
        <w:t xml:space="preserve"> out</w:t>
      </w:r>
      <w:r w:rsidR="00481C4E">
        <w:t xml:space="preserve"> within this focus are</w:t>
      </w:r>
      <w:r w:rsidR="00FA3BEA">
        <w:t>a</w:t>
      </w:r>
      <w:r w:rsidRPr="00B364CB">
        <w:t>. The following list some of the potential actions envisaged:</w:t>
      </w:r>
    </w:p>
    <w:p w14:paraId="11AD482F" w14:textId="7F613F64" w:rsidR="00167FEC" w:rsidRPr="00B364CB" w:rsidRDefault="00167FEC" w:rsidP="00167FEC">
      <w:pPr>
        <w:pStyle w:val="MAWPHeadingStyleLevel4"/>
      </w:pPr>
      <w:r w:rsidRPr="00B364CB">
        <w:t xml:space="preserve">R&amp;D Priorities - Early </w:t>
      </w:r>
      <w:r w:rsidR="008839B3" w:rsidRPr="00B364CB">
        <w:t xml:space="preserve">Stage </w:t>
      </w:r>
      <w:r w:rsidRPr="00B364CB">
        <w:t>Research Act</w:t>
      </w:r>
      <w:r w:rsidR="00934B6D" w:rsidRPr="00B364CB">
        <w:t>ions</w:t>
      </w:r>
    </w:p>
    <w:p w14:paraId="45C59A7F" w14:textId="300D49B3" w:rsidR="0023767B" w:rsidRPr="00B364CB" w:rsidRDefault="0023767B" w:rsidP="00733699">
      <w:pPr>
        <w:pStyle w:val="MAWP-Bodytext"/>
      </w:pPr>
      <w:r w:rsidRPr="00B364CB">
        <w:t xml:space="preserve">Further research to </w:t>
      </w:r>
      <w:r w:rsidR="001F3B60" w:rsidRPr="00B364CB">
        <w:t>optimise</w:t>
      </w:r>
      <w:r w:rsidRPr="00B364CB">
        <w:t xml:space="preserve"> the recycling technology for </w:t>
      </w:r>
      <w:r w:rsidR="00481C4E">
        <w:t xml:space="preserve">PEMFC and </w:t>
      </w:r>
      <w:r w:rsidR="00F965B7" w:rsidRPr="00B364CB">
        <w:t>SOFC</w:t>
      </w:r>
      <w:r w:rsidR="00481C4E">
        <w:t>,</w:t>
      </w:r>
      <w:r w:rsidRPr="00B364CB">
        <w:t xml:space="preserve"> and electrolysis processes</w:t>
      </w:r>
      <w:r w:rsidR="0067461D">
        <w:t xml:space="preserve">, such as for </w:t>
      </w:r>
      <w:r w:rsidR="0067461D" w:rsidRPr="0092547E">
        <w:t>noble metals and critical materials</w:t>
      </w:r>
      <w:r w:rsidR="001E5058" w:rsidRPr="0092547E">
        <w:t xml:space="preserve"> including</w:t>
      </w:r>
      <w:r w:rsidR="0067461D" w:rsidRPr="0092547E">
        <w:t xml:space="preserve"> </w:t>
      </w:r>
      <w:r w:rsidR="001E5058" w:rsidRPr="001E5058">
        <w:t xml:space="preserve">perfluorosulfonic acid membranes and </w:t>
      </w:r>
      <w:r w:rsidR="001E5058" w:rsidRPr="00FA3BEA">
        <w:t>ionomers</w:t>
      </w:r>
      <w:r w:rsidR="001E5058" w:rsidRPr="0092547E">
        <w:t xml:space="preserve"> </w:t>
      </w:r>
      <w:r w:rsidR="0067461D" w:rsidRPr="0092547E">
        <w:t>from components used in these processes</w:t>
      </w:r>
      <w:r w:rsidR="00276C9B" w:rsidRPr="0092547E">
        <w:t>.</w:t>
      </w:r>
      <w:r w:rsidR="0067461D" w:rsidRPr="0067461D">
        <w:t xml:space="preserve"> </w:t>
      </w:r>
      <w:r w:rsidRPr="00B364CB">
        <w:t>Learnings from this work should be able to be scaled-up towards market deployment.</w:t>
      </w:r>
    </w:p>
    <w:p w14:paraId="73DB3F96" w14:textId="77777777" w:rsidR="00167FEC" w:rsidRPr="00B364CB" w:rsidRDefault="00167FEC" w:rsidP="00167FEC">
      <w:pPr>
        <w:pStyle w:val="MAWPHeadingStyleLevel4"/>
      </w:pPr>
      <w:r w:rsidRPr="00B364CB">
        <w:t xml:space="preserve">R&amp;D Priorities - Demonstration Actions </w:t>
      </w:r>
    </w:p>
    <w:p w14:paraId="3D2352E8" w14:textId="08D133F8" w:rsidR="00167FEC" w:rsidRPr="00B364CB" w:rsidRDefault="008B0A40" w:rsidP="00733699">
      <w:pPr>
        <w:pStyle w:val="MAWP-Bodytext"/>
      </w:pPr>
      <w:r w:rsidRPr="00B364CB">
        <w:t>PEM</w:t>
      </w:r>
      <w:r w:rsidR="00167FEC" w:rsidRPr="00B364CB">
        <w:t xml:space="preserve"> and Alkaline Electrolysis (PEMEL, AEMEL, and AEL), Polymeric Fuel Cells (PEMFC), and Storage materials recycling processes will be developed by transferring current industrial processes already in place for other different value chains than hydrogen. In this regards, the recycling of the different components of the hydrogen value chain will need to be addressed to </w:t>
      </w:r>
      <w:r w:rsidR="001F3B60" w:rsidRPr="00B364CB">
        <w:t>optimise</w:t>
      </w:r>
      <w:r w:rsidR="00167FEC" w:rsidRPr="00B364CB">
        <w:t xml:space="preserve"> systems components and</w:t>
      </w:r>
      <w:r w:rsidR="00481C4E" w:rsidRPr="00481C4E">
        <w:t xml:space="preserve"> </w:t>
      </w:r>
      <w:r w:rsidR="00481C4E">
        <w:t>increase sustainability and circularity</w:t>
      </w:r>
      <w:r w:rsidR="00167FEC" w:rsidRPr="00B364CB">
        <w:t>.</w:t>
      </w:r>
    </w:p>
    <w:p w14:paraId="48C4DA1F" w14:textId="77777777" w:rsidR="0023767B" w:rsidRPr="00B364CB" w:rsidRDefault="0023767B" w:rsidP="00167FEC">
      <w:pPr>
        <w:pStyle w:val="MAWPHeadingStyleLevel4"/>
      </w:pPr>
      <w:r w:rsidRPr="00B364CB">
        <w:t xml:space="preserve">Coordination and Support Actions </w:t>
      </w:r>
    </w:p>
    <w:p w14:paraId="24F27933" w14:textId="77777777" w:rsidR="0023767B" w:rsidRPr="00B364CB" w:rsidRDefault="0023767B" w:rsidP="00733699">
      <w:pPr>
        <w:pStyle w:val="MAWP-Bodytext"/>
      </w:pPr>
      <w:r w:rsidRPr="00B364CB">
        <w:t>Building on the previous projects’ activities and results, coordination and support actions will be made throughout the following areas:</w:t>
      </w:r>
    </w:p>
    <w:p w14:paraId="4613F00F" w14:textId="50169BD0" w:rsidR="0023767B" w:rsidRPr="00B364CB" w:rsidRDefault="0023767B" w:rsidP="00733699">
      <w:pPr>
        <w:pStyle w:val="MAWPBodytextbullets"/>
      </w:pPr>
      <w:r w:rsidRPr="00B364CB">
        <w:t>Eco-design/sustainable design guidelines</w:t>
      </w:r>
      <w:r w:rsidR="00AD09BA" w:rsidRPr="00B364CB">
        <w:t>;</w:t>
      </w:r>
    </w:p>
    <w:p w14:paraId="05ED39C8" w14:textId="2B907F26" w:rsidR="0023767B" w:rsidRPr="00B364CB" w:rsidRDefault="0023767B" w:rsidP="00733699">
      <w:pPr>
        <w:pStyle w:val="MAWPBodytextbullets"/>
      </w:pPr>
      <w:r w:rsidRPr="00B364CB">
        <w:t>Eco-efficiency integrated in fuel cells and hydrogen-based technologies manufacturing</w:t>
      </w:r>
      <w:r w:rsidR="007F5EF2" w:rsidRPr="00B364CB">
        <w:t>, complementing the activities undertaken in the supply chain area.</w:t>
      </w:r>
    </w:p>
    <w:p w14:paraId="78CE6852" w14:textId="3A06C517" w:rsidR="0023767B" w:rsidRPr="00B364CB" w:rsidRDefault="0023767B" w:rsidP="00733699">
      <w:pPr>
        <w:pStyle w:val="MAWPBodytextbullets"/>
      </w:pPr>
      <w:r w:rsidRPr="00B364CB">
        <w:t>Development of Product Environmental Footprint Category Rules (PEFCRs</w:t>
      </w:r>
      <w:r w:rsidR="00AD09BA" w:rsidRPr="00B364CB">
        <w:t>);</w:t>
      </w:r>
    </w:p>
    <w:p w14:paraId="21851A9C" w14:textId="30C3DCBF" w:rsidR="0023767B" w:rsidRPr="00B364CB" w:rsidRDefault="0023767B" w:rsidP="00733699">
      <w:pPr>
        <w:pStyle w:val="MAWPBodytextbullets"/>
      </w:pPr>
      <w:r w:rsidRPr="00B364CB">
        <w:t>Regionalised LCSA</w:t>
      </w:r>
      <w:r w:rsidR="00AD09BA" w:rsidRPr="00B364CB">
        <w:t>;</w:t>
      </w:r>
    </w:p>
    <w:p w14:paraId="0A5AA03A" w14:textId="64F8599C" w:rsidR="0023767B" w:rsidRPr="00B364CB" w:rsidRDefault="0023767B" w:rsidP="00733699">
      <w:pPr>
        <w:pStyle w:val="MAWPBodytextbullets"/>
        <w:rPr>
          <w:rStyle w:val="MAWPTitle"/>
          <w:bCs w:val="0"/>
          <w:color w:val="000000"/>
          <w:sz w:val="22"/>
          <w:shd w:val="clear" w:color="auto" w:fill="auto"/>
          <w:lang w:val="en-GB" w:eastAsia="en-GB" w:bidi="en-US"/>
        </w:rPr>
      </w:pPr>
      <w:r w:rsidRPr="00B364CB">
        <w:rPr>
          <w:rStyle w:val="MAWPTitle"/>
          <w:bCs w:val="0"/>
          <w:color w:val="000000"/>
          <w:sz w:val="22"/>
          <w:shd w:val="clear" w:color="auto" w:fill="auto"/>
          <w:lang w:val="en-GB" w:eastAsia="en-GB" w:bidi="en-US"/>
        </w:rPr>
        <w:t>SLCA-LCC on supply chains</w:t>
      </w:r>
      <w:r w:rsidR="00AD09BA" w:rsidRPr="00B364CB">
        <w:rPr>
          <w:rStyle w:val="MAWPTitle"/>
          <w:bCs w:val="0"/>
          <w:color w:val="000000"/>
          <w:sz w:val="22"/>
          <w:shd w:val="clear" w:color="auto" w:fill="auto"/>
          <w:lang w:val="en-GB" w:eastAsia="en-GB" w:bidi="en-US"/>
        </w:rPr>
        <w:t>;</w:t>
      </w:r>
    </w:p>
    <w:p w14:paraId="51C18478" w14:textId="1E333728" w:rsidR="0023767B" w:rsidRPr="00B364CB" w:rsidRDefault="0023767B" w:rsidP="00733699">
      <w:pPr>
        <w:pStyle w:val="MAWPBodytextbullets"/>
        <w:rPr>
          <w:rStyle w:val="MAWPTitle"/>
          <w:bCs w:val="0"/>
          <w:color w:val="000000"/>
          <w:sz w:val="22"/>
          <w:shd w:val="clear" w:color="auto" w:fill="auto"/>
          <w:lang w:val="en-GB" w:eastAsia="en-GB" w:bidi="en-US"/>
        </w:rPr>
      </w:pPr>
      <w:r w:rsidRPr="00B364CB">
        <w:rPr>
          <w:rStyle w:val="MAWPTitle"/>
          <w:bCs w:val="0"/>
          <w:color w:val="000000"/>
          <w:sz w:val="22"/>
          <w:shd w:val="clear" w:color="auto" w:fill="auto"/>
          <w:lang w:val="en-GB" w:eastAsia="en-GB" w:bidi="en-US"/>
        </w:rPr>
        <w:t>Database for LCSA indicators</w:t>
      </w:r>
      <w:r w:rsidR="00AD09BA" w:rsidRPr="00B364CB">
        <w:rPr>
          <w:rStyle w:val="MAWPTitle"/>
          <w:bCs w:val="0"/>
          <w:color w:val="000000"/>
          <w:sz w:val="22"/>
          <w:shd w:val="clear" w:color="auto" w:fill="auto"/>
          <w:lang w:val="en-GB" w:eastAsia="en-GB" w:bidi="en-US"/>
        </w:rPr>
        <w:t>;</w:t>
      </w:r>
    </w:p>
    <w:p w14:paraId="2DA793F8" w14:textId="646D440C" w:rsidR="0023767B" w:rsidRPr="00B364CB" w:rsidRDefault="007A58EA" w:rsidP="006802D3">
      <w:pPr>
        <w:pStyle w:val="MAWPsubtitle2"/>
      </w:pPr>
      <w:bookmarkStart w:id="121" w:name="_Toc64640568"/>
      <w:bookmarkStart w:id="122" w:name="_Toc93907336"/>
      <w:r w:rsidRPr="00B364CB">
        <w:t>Education and p</w:t>
      </w:r>
      <w:r w:rsidR="0023767B" w:rsidRPr="00B364CB">
        <w:t>ublic Awareness</w:t>
      </w:r>
      <w:bookmarkEnd w:id="121"/>
      <w:bookmarkEnd w:id="122"/>
    </w:p>
    <w:p w14:paraId="10E45AAD" w14:textId="77777777" w:rsidR="0023767B" w:rsidRPr="00B364CB" w:rsidRDefault="0023767B" w:rsidP="00167FEC">
      <w:pPr>
        <w:pStyle w:val="MAWPHeadingStyleLevel4"/>
      </w:pPr>
      <w:r w:rsidRPr="00B364CB">
        <w:t>Rationale for support</w:t>
      </w:r>
    </w:p>
    <w:p w14:paraId="01C6D295" w14:textId="607638CC" w:rsidR="002A06C2" w:rsidRPr="00B364CB" w:rsidRDefault="0023767B" w:rsidP="00733699">
      <w:pPr>
        <w:pStyle w:val="MAWP-Bodytext"/>
      </w:pPr>
      <w:r w:rsidRPr="00B364CB">
        <w:t xml:space="preserve">Over the past few years, the European hydrogen industry has made great strides and currently, </w:t>
      </w:r>
      <w:r w:rsidRPr="00B364CB">
        <w:lastRenderedPageBreak/>
        <w:t xml:space="preserve">it is poised to take the next step and achieve significant levels of </w:t>
      </w:r>
      <w:r w:rsidR="001F3B60" w:rsidRPr="00B364CB">
        <w:t>commercialisation.</w:t>
      </w:r>
      <w:r w:rsidRPr="00B364CB">
        <w:t xml:space="preserve"> This will enable significant economic growth to take place primarily within Europe, keeping high value-added jobs, and creating a supply chain of EU companies around a new suite of products based on hydrogen and fuel cell technologies. Combined with EU’s leadership in renewables technologies, the emergence of a European hydrogen value chain serving a multitude of industrial sectors and other end uses will employ millions of people, directly or indirectly. </w:t>
      </w:r>
    </w:p>
    <w:p w14:paraId="35C03341" w14:textId="55B978E8" w:rsidR="0023767B" w:rsidRDefault="0023767B" w:rsidP="00733699">
      <w:pPr>
        <w:pStyle w:val="MAWP-Bodytext"/>
      </w:pPr>
      <w:r w:rsidRPr="00B364CB">
        <w:t>In 2017, the Hydrogen Council</w:t>
      </w:r>
      <w:r w:rsidRPr="00B364CB">
        <w:rPr>
          <w:rStyle w:val="FootnoteReference"/>
        </w:rPr>
        <w:footnoteReference w:id="142"/>
      </w:r>
      <w:r w:rsidRPr="00B364CB">
        <w:rPr>
          <w:vertAlign w:val="superscript"/>
        </w:rPr>
        <w:t xml:space="preserve"> </w:t>
      </w:r>
      <w:r w:rsidRPr="00B364CB">
        <w:t xml:space="preserve">indicated the hydrogen sector could provide sustainable employment for more than 30 million people around the world by 2050. </w:t>
      </w:r>
      <w:r w:rsidR="00481C4E">
        <w:t>Furthermore</w:t>
      </w:r>
      <w:r w:rsidRPr="00B364CB">
        <w:t>, the Hydrogen Roadmap Europe analysis</w:t>
      </w:r>
      <w:r w:rsidRPr="00B364CB">
        <w:rPr>
          <w:rStyle w:val="FootnoteReference"/>
        </w:rPr>
        <w:footnoteReference w:id="143"/>
      </w:r>
      <w:r w:rsidRPr="00B364CB">
        <w:rPr>
          <w:vertAlign w:val="superscript"/>
        </w:rPr>
        <w:t xml:space="preserve"> </w:t>
      </w:r>
      <w:r w:rsidRPr="00B364CB">
        <w:t>pointed a total of 5.4 million direct jobs created by the European industry in 2050</w:t>
      </w:r>
      <w:r w:rsidR="00940EE1" w:rsidRPr="00B364CB">
        <w:t xml:space="preserve"> (‘ambitious’ scenario)</w:t>
      </w:r>
      <w:r w:rsidRPr="00B364CB">
        <w:t>.</w:t>
      </w:r>
    </w:p>
    <w:p w14:paraId="2E75DBCE" w14:textId="77777777" w:rsidR="00481C4E" w:rsidRDefault="00481C4E" w:rsidP="00481C4E">
      <w:pPr>
        <w:pStyle w:val="MAWP-Bodytext"/>
      </w:pPr>
      <w:r w:rsidRPr="004F76CD">
        <w:t xml:space="preserve">In the EU, the Commission is placing skills at the heart of the EU policy agenda, steering investment in people and their skills for a sustainable recovery after the coronavirus pandemic, and </w:t>
      </w:r>
      <w:r>
        <w:t>in</w:t>
      </w:r>
      <w:r w:rsidRPr="004F76CD">
        <w:t xml:space="preserve"> July 2020 presented the European Skills Agenda</w:t>
      </w:r>
      <w:r w:rsidRPr="00B364CB">
        <w:rPr>
          <w:rStyle w:val="FootnoteReference"/>
        </w:rPr>
        <w:footnoteReference w:id="144"/>
      </w:r>
      <w:r w:rsidRPr="004F76CD">
        <w:t xml:space="preserve"> for sustainable competitiveness, social fairness, and resilience. As first of the flagship actions under the European Skills Agenda, in November 2020, the Commission launched the Pact for Skills</w:t>
      </w:r>
      <w:r w:rsidRPr="00B364CB">
        <w:rPr>
          <w:rStyle w:val="FootnoteReference"/>
        </w:rPr>
        <w:footnoteReference w:id="145"/>
      </w:r>
      <w:r w:rsidRPr="004F76CD">
        <w:t xml:space="preserve"> to support a fair and resilient recovery and deliver on the ambitions of the green and digital transitions and of the EU Industrial and SME Strategies.</w:t>
      </w:r>
    </w:p>
    <w:p w14:paraId="2109A804" w14:textId="0689D372" w:rsidR="00481C4E" w:rsidRPr="00B364CB" w:rsidRDefault="00481C4E" w:rsidP="00733699">
      <w:pPr>
        <w:pStyle w:val="MAWP-Bodytext"/>
      </w:pPr>
      <w:r w:rsidRPr="00B364CB">
        <w:t xml:space="preserve">Therefore, </w:t>
      </w:r>
      <w:r>
        <w:t>t</w:t>
      </w:r>
      <w:r w:rsidRPr="00450BE7">
        <w:t>o unlock opportunities for more and better jobs, as well as growth and competitiveness</w:t>
      </w:r>
      <w:r>
        <w:t>,</w:t>
      </w:r>
      <w:r w:rsidRPr="00450BE7">
        <w:t xml:space="preserve"> </w:t>
      </w:r>
      <w:r w:rsidRPr="00B364CB">
        <w:t>the training of skilled educated manpower as the upskill or reskill of current workforce in declining industries are crucial to succeeding in the needed scaling–up of this emerging European industry</w:t>
      </w:r>
      <w:r>
        <w:t>.</w:t>
      </w:r>
    </w:p>
    <w:p w14:paraId="0EE706EC" w14:textId="5E059361" w:rsidR="00FF3229" w:rsidRDefault="00481C4E" w:rsidP="00733699">
      <w:pPr>
        <w:pStyle w:val="MAWP-Bodytext"/>
      </w:pPr>
      <w:r>
        <w:t>On the other hand, m</w:t>
      </w:r>
      <w:r w:rsidR="0023767B" w:rsidRPr="00B364CB">
        <w:t xml:space="preserve">ass deployment requires strong knowledge management and effective dissemination of this knowledge. In this context, further efforts are also required to promote the social awareness and public </w:t>
      </w:r>
      <w:r>
        <w:t>trust</w:t>
      </w:r>
      <w:r w:rsidRPr="00B364CB">
        <w:t xml:space="preserve"> </w:t>
      </w:r>
      <w:r>
        <w:t>in</w:t>
      </w:r>
      <w:r w:rsidRPr="00B364CB">
        <w:t xml:space="preserve"> </w:t>
      </w:r>
      <w:r w:rsidR="0023767B" w:rsidRPr="00B364CB">
        <w:t>hydrogen technology and hydrogen-based products to raise the levels of knowledge about them and to achieve widespread use while fostering sustainable growth and jobs alongside their deployment</w:t>
      </w:r>
      <w:r w:rsidR="00133B99" w:rsidRPr="00B364CB">
        <w:t>.</w:t>
      </w:r>
      <w:r w:rsidR="001E6ED7">
        <w:t xml:space="preserve"> </w:t>
      </w:r>
    </w:p>
    <w:p w14:paraId="297B0E45" w14:textId="16F3DB63" w:rsidR="0023767B" w:rsidRPr="00B364CB" w:rsidRDefault="00481C4E" w:rsidP="00733699">
      <w:pPr>
        <w:pStyle w:val="MAWP-Bodytext"/>
      </w:pPr>
      <w:r>
        <w:t>In this context, t</w:t>
      </w:r>
      <w:r w:rsidR="001E6ED7">
        <w:t xml:space="preserve">here is a need for a generalised market-wise cross-functional expertise across energy carriers, whereby synergies can be detected and exploited amongst all the carriers. Sector coupling will eventually require cross-carrier operational optimisations (and trades with certificates) that will require of this knowledge. Green hydrogen and RFNBOs in general require an understanding of both electricity issues and gaseous molecules potential and about the operation of both markets (and also of heat as an addition). Lack of this knowledge may lead to mono-carrier approaches </w:t>
      </w:r>
      <w:r w:rsidR="002C097E">
        <w:t xml:space="preserve">while </w:t>
      </w:r>
      <w:r w:rsidR="001E6ED7">
        <w:t xml:space="preserve">one-carrier solutions will be less efficient, cost more to the public and lead to higher emissions and lesser penetration and integration of renewables.  </w:t>
      </w:r>
    </w:p>
    <w:p w14:paraId="70DF35BF" w14:textId="09E88A6D" w:rsidR="0023767B" w:rsidRPr="00B364CB" w:rsidRDefault="0023767B" w:rsidP="00167FEC">
      <w:pPr>
        <w:pStyle w:val="MAWPHeadingStyleLevel4"/>
      </w:pPr>
      <w:r w:rsidRPr="00B364CB">
        <w:t>State of the art</w:t>
      </w:r>
    </w:p>
    <w:p w14:paraId="1697C825" w14:textId="01E48753" w:rsidR="0023767B" w:rsidRPr="00B364CB" w:rsidRDefault="0023767B" w:rsidP="00733699">
      <w:pPr>
        <w:pStyle w:val="MAWP-Bodytext"/>
      </w:pPr>
      <w:r w:rsidRPr="00B364CB">
        <w:t xml:space="preserve">Technical knowledge about hydrogen and its technology leads to greater acceptability through increased levels of confidence in the technology. Over the last years, educational and training material and programs on hydrogen technologies have been developed. Projects such as </w:t>
      </w:r>
      <w:r w:rsidRPr="00B364CB">
        <w:lastRenderedPageBreak/>
        <w:t>TRAINHY</w:t>
      </w:r>
      <w:r w:rsidR="001D62F3" w:rsidRPr="00B364CB">
        <w:t>-PROF</w:t>
      </w:r>
      <w:r w:rsidR="002972C0" w:rsidRPr="00B364CB">
        <w:rPr>
          <w:rStyle w:val="FootnoteReference"/>
        </w:rPr>
        <w:footnoteReference w:id="146"/>
      </w:r>
      <w:r w:rsidRPr="00B364CB">
        <w:t>, and more recently KNOWHY</w:t>
      </w:r>
      <w:r w:rsidR="002972C0" w:rsidRPr="00B364CB">
        <w:rPr>
          <w:rStyle w:val="FootnoteReference"/>
        </w:rPr>
        <w:footnoteReference w:id="147"/>
      </w:r>
      <w:r w:rsidRPr="00B364CB">
        <w:t>, NET-TOOLS</w:t>
      </w:r>
      <w:r w:rsidR="002972C0" w:rsidRPr="00B364CB">
        <w:rPr>
          <w:rStyle w:val="FootnoteReference"/>
        </w:rPr>
        <w:footnoteReference w:id="148"/>
      </w:r>
      <w:r w:rsidR="001D62F3" w:rsidRPr="00B364CB">
        <w:t>, TEACHY</w:t>
      </w:r>
      <w:r w:rsidR="002972C0" w:rsidRPr="00B364CB">
        <w:rPr>
          <w:rStyle w:val="FootnoteReference"/>
        </w:rPr>
        <w:footnoteReference w:id="149"/>
      </w:r>
      <w:r w:rsidRPr="00B364CB">
        <w:t xml:space="preserve"> and FCHGO</w:t>
      </w:r>
      <w:r w:rsidR="002972C0" w:rsidRPr="00B364CB">
        <w:rPr>
          <w:rStyle w:val="FootnoteReference"/>
        </w:rPr>
        <w:footnoteReference w:id="150"/>
      </w:r>
      <w:r w:rsidRPr="00B364CB">
        <w:t xml:space="preserve"> project to name but a few have developed educational programs and training initiatives related to hydrogen technologies and fuel cells in Europe. Altogether, these projects have addressed different types of and levels of education (</w:t>
      </w:r>
      <w:r w:rsidR="00133B99" w:rsidRPr="00B364CB">
        <w:t>formal</w:t>
      </w:r>
      <w:r w:rsidRPr="00B364CB">
        <w:t>, vocational,</w:t>
      </w:r>
      <w:r w:rsidR="002F4727" w:rsidRPr="00B364CB">
        <w:t xml:space="preserve"> etc.</w:t>
      </w:r>
      <w:r w:rsidRPr="00B364CB">
        <w:t xml:space="preserve">), different target groups (under/post/graduates, policy makers, technicians, responders), different technologies and applications (PEM, SO, fuel cells, </w:t>
      </w:r>
      <w:r w:rsidR="008B064F" w:rsidRPr="00B364CB">
        <w:t>electrolysers</w:t>
      </w:r>
      <w:r w:rsidRPr="00B364CB">
        <w:t xml:space="preserve">, hydrogen production by different means, purification) along the hydrogen chain, including horizontal aspects </w:t>
      </w:r>
      <w:r w:rsidR="001606E0">
        <w:t>such as</w:t>
      </w:r>
      <w:r w:rsidR="001606E0" w:rsidRPr="00B364CB">
        <w:t xml:space="preserve"> </w:t>
      </w:r>
      <w:r w:rsidRPr="00B364CB">
        <w:t>safety</w:t>
      </w:r>
      <w:r w:rsidR="001606E0">
        <w:t xml:space="preserve"> or life cycle assessment</w:t>
      </w:r>
      <w:r w:rsidR="002F4727" w:rsidRPr="00B364CB">
        <w:t>.</w:t>
      </w:r>
      <w:r w:rsidRPr="00B364CB">
        <w:t xml:space="preserve"> They have covered different pedagogical approaches (“traditional” transmissive approach, collaborative learning, hands-on), different features (serious games, virtual reality, e-learning) and different levels of accreditations and/or certifications (diploma, certificate, official, private)</w:t>
      </w:r>
      <w:r w:rsidR="004A2F85" w:rsidRPr="00B364CB">
        <w:t xml:space="preserve">, </w:t>
      </w:r>
      <w:r w:rsidR="00CA07AF" w:rsidRPr="00B364CB">
        <w:t>in line with the</w:t>
      </w:r>
      <w:r w:rsidR="001B789A">
        <w:t xml:space="preserve"> </w:t>
      </w:r>
      <w:r w:rsidR="001B789A" w:rsidRPr="004F76CD">
        <w:t>European Skills Agenda</w:t>
      </w:r>
      <w:r w:rsidR="001B789A" w:rsidRPr="00B364CB">
        <w:t xml:space="preserve"> </w:t>
      </w:r>
      <w:r w:rsidR="001B789A">
        <w:t>and the</w:t>
      </w:r>
      <w:r w:rsidR="00CA07AF" w:rsidRPr="00B364CB">
        <w:t xml:space="preserve"> Pact for Skills </w:t>
      </w:r>
      <w:r w:rsidR="001B789A">
        <w:t>launched</w:t>
      </w:r>
      <w:r w:rsidR="00CA07AF" w:rsidRPr="00B364CB">
        <w:t xml:space="preserve"> by the European Commission</w:t>
      </w:r>
      <w:r w:rsidR="005465B1" w:rsidRPr="00B364CB">
        <w:t xml:space="preserve"> in 2020</w:t>
      </w:r>
      <w:r w:rsidR="00CA07AF" w:rsidRPr="00B364CB">
        <w:t>.</w:t>
      </w:r>
    </w:p>
    <w:p w14:paraId="57E5FF91" w14:textId="67532FE9" w:rsidR="0023767B" w:rsidRPr="00B364CB" w:rsidRDefault="0023767B" w:rsidP="00733699">
      <w:pPr>
        <w:pStyle w:val="MAWP-Bodytext"/>
      </w:pPr>
      <w:r w:rsidRPr="00B364CB">
        <w:t>Concerning public acceptance, several studies have been conducted on the social recognition and acceptance of hydrogen energy. Projects like HYACINTH</w:t>
      </w:r>
      <w:r w:rsidR="002972C0" w:rsidRPr="00B364CB">
        <w:rPr>
          <w:rStyle w:val="FootnoteReference"/>
        </w:rPr>
        <w:footnoteReference w:id="151"/>
      </w:r>
      <w:r w:rsidRPr="00B364CB">
        <w:t xml:space="preserve"> project ha</w:t>
      </w:r>
      <w:r w:rsidR="001B789A">
        <w:t>ve</w:t>
      </w:r>
      <w:r w:rsidRPr="00B364CB">
        <w:t xml:space="preserve"> provided the base information about the awareness and social </w:t>
      </w:r>
      <w:r w:rsidR="001B789A">
        <w:t>trust in</w:t>
      </w:r>
      <w:r w:rsidRPr="00B364CB">
        <w:t xml:space="preserve"> the hydrogen technologies in Europe, showing a general higher level of confidence in the technology and acceptability of its use, but lower levels of knowledge about hydrogen technology. Moreover, projects have gathered relevant information on administrative, legal and economic barriers to the implementation of hydrogen technologies, but these findings </w:t>
      </w:r>
      <w:r w:rsidR="005465B1" w:rsidRPr="00B364CB">
        <w:t>need to be further</w:t>
      </w:r>
      <w:r w:rsidRPr="00B364CB">
        <w:t xml:space="preserve"> transferred to relevant stakeholders, such as local, regional or national authorities, which are ultimately responsible for integration.</w:t>
      </w:r>
    </w:p>
    <w:p w14:paraId="2D8A4C7F" w14:textId="698C9A27" w:rsidR="0023767B" w:rsidRPr="00B364CB" w:rsidRDefault="008839B3" w:rsidP="00167FEC">
      <w:pPr>
        <w:pStyle w:val="MAWPHeadingStyleLevel4"/>
      </w:pPr>
      <w:r w:rsidRPr="00B364CB">
        <w:t>Objectives</w:t>
      </w:r>
    </w:p>
    <w:p w14:paraId="3ED668E7" w14:textId="7211068E" w:rsidR="0023767B" w:rsidRDefault="0023767B" w:rsidP="00733699">
      <w:pPr>
        <w:pStyle w:val="MAWP-Bodytext"/>
      </w:pPr>
      <w:r w:rsidRPr="00B364CB">
        <w:t xml:space="preserve">The goal of this focus area is twofold: to prepare a well-educated </w:t>
      </w:r>
      <w:r w:rsidR="00B81CE1" w:rsidRPr="00B364CB">
        <w:t>and high-skilled</w:t>
      </w:r>
      <w:r w:rsidR="001F3B60" w:rsidRPr="00B364CB">
        <w:t xml:space="preserve"> </w:t>
      </w:r>
      <w:r w:rsidRPr="00B364CB">
        <w:t>workforce needed for a competitive hydrogen market, safeguarding existing expertise and know-how, while raising public awareness and social acceptance about hydrogen technologies.</w:t>
      </w:r>
      <w:r w:rsidR="001606E0">
        <w:t xml:space="preserve"> To this end, the </w:t>
      </w:r>
      <w:r w:rsidR="009831BD">
        <w:t>specific objectives in</w:t>
      </w:r>
      <w:r w:rsidR="001606E0">
        <w:t xml:space="preserve"> this area are:</w:t>
      </w:r>
    </w:p>
    <w:p w14:paraId="3372FD8D" w14:textId="2B6D7F43" w:rsidR="001606E0" w:rsidRDefault="001606E0" w:rsidP="002256F6">
      <w:pPr>
        <w:pStyle w:val="MAWP-Bodytext"/>
        <w:numPr>
          <w:ilvl w:val="0"/>
          <w:numId w:val="55"/>
        </w:numPr>
      </w:pPr>
      <w:r>
        <w:t>Develop educational and training material and building training programs for professionals and students</w:t>
      </w:r>
      <w:r w:rsidR="009831BD">
        <w:t xml:space="preserve"> on hydrogen and fuel cells</w:t>
      </w:r>
      <w:r>
        <w:t>.</w:t>
      </w:r>
    </w:p>
    <w:p w14:paraId="192EBCFD" w14:textId="2F1BE732" w:rsidR="004A139E" w:rsidRPr="00B364CB" w:rsidRDefault="001606E0" w:rsidP="002256F6">
      <w:pPr>
        <w:pStyle w:val="MAWP-Bodytext"/>
        <w:numPr>
          <w:ilvl w:val="0"/>
          <w:numId w:val="55"/>
        </w:numPr>
      </w:pPr>
      <w:r>
        <w:t xml:space="preserve"> Raise public awareness and trust towards hydrogen technologies</w:t>
      </w:r>
      <w:r w:rsidR="00CE19C3" w:rsidRPr="00CE19C3">
        <w:t xml:space="preserve"> </w:t>
      </w:r>
      <w:r w:rsidR="00CE19C3">
        <w:t>and their system benefits.</w:t>
      </w:r>
      <w:bookmarkStart w:id="123" w:name="_Hlk84275164"/>
    </w:p>
    <w:bookmarkEnd w:id="123"/>
    <w:p w14:paraId="428329F4" w14:textId="34C42D36" w:rsidR="0023767B" w:rsidRPr="00B364CB" w:rsidRDefault="0023767B" w:rsidP="00733699">
      <w:pPr>
        <w:pStyle w:val="MAWP-Bodytext"/>
      </w:pPr>
      <w:r w:rsidRPr="00B364CB">
        <w:t xml:space="preserve">On education, the underlying strategy focus is </w:t>
      </w:r>
      <w:r w:rsidR="00775AD8" w:rsidRPr="00B364CB">
        <w:t>two-fold</w:t>
      </w:r>
      <w:r w:rsidRPr="00B364CB">
        <w:t>. On one hand, activities will focus on updating the educational and training material already in place for the target groups already addressed. On the other hand, to develop new educational and training materials for new targets groups not covered so far. Training programs</w:t>
      </w:r>
      <w:r w:rsidR="005B433B" w:rsidRPr="00B364CB">
        <w:t>,</w:t>
      </w:r>
      <w:r w:rsidRPr="00B364CB">
        <w:t xml:space="preserve"> </w:t>
      </w:r>
      <w:r w:rsidR="00725946" w:rsidRPr="00B364CB">
        <w:t>in particular</w:t>
      </w:r>
      <w:r w:rsidR="005B433B" w:rsidRPr="00B364CB">
        <w:t>,</w:t>
      </w:r>
      <w:r w:rsidR="00725946" w:rsidRPr="00B364CB">
        <w:t xml:space="preserve"> </w:t>
      </w:r>
      <w:r w:rsidRPr="00B364CB">
        <w:t>will need to be designed and capacity building planned</w:t>
      </w:r>
      <w:r w:rsidR="004435C4" w:rsidRPr="00B364CB">
        <w:t xml:space="preserve">, </w:t>
      </w:r>
      <w:r w:rsidR="007A3F15" w:rsidRPr="00B364CB">
        <w:t xml:space="preserve">incorporating </w:t>
      </w:r>
      <w:r w:rsidR="004435C4" w:rsidRPr="00B364CB">
        <w:t>new aspects such as systems modelling</w:t>
      </w:r>
      <w:r w:rsidR="001F3B60" w:rsidRPr="00B364CB">
        <w:t>.</w:t>
      </w:r>
      <w:r w:rsidRPr="00B364CB">
        <w:t xml:space="preserve"> Furthermore, the programs need to be further</w:t>
      </w:r>
      <w:r w:rsidR="0014048F" w:rsidRPr="00B364CB">
        <w:t xml:space="preserve"> </w:t>
      </w:r>
      <w:r w:rsidRPr="00B364CB">
        <w:t>extended and should be rolled out in more languages to further strengthen the access of the public to such material. To this end, all the educational and training material developed in the Programme will be provided publicly available and accessible free of charge</w:t>
      </w:r>
      <w:r w:rsidR="00776950" w:rsidRPr="00B364CB">
        <w:t xml:space="preserve">, in particular on the </w:t>
      </w:r>
      <w:r w:rsidR="001C628E" w:rsidRPr="00B364CB">
        <w:t xml:space="preserve">Fuel Cell and Hydrogen </w:t>
      </w:r>
      <w:r w:rsidR="00776950" w:rsidRPr="00B364CB">
        <w:lastRenderedPageBreak/>
        <w:t xml:space="preserve">Observatory </w:t>
      </w:r>
      <w:r w:rsidR="001C628E" w:rsidRPr="00B364CB">
        <w:t xml:space="preserve">(FCHO) </w:t>
      </w:r>
      <w:r w:rsidR="00776950" w:rsidRPr="00B364CB">
        <w:t>platform</w:t>
      </w:r>
      <w:r w:rsidR="00776950" w:rsidRPr="00B364CB">
        <w:rPr>
          <w:rStyle w:val="FootnoteReference"/>
        </w:rPr>
        <w:footnoteReference w:id="152"/>
      </w:r>
      <w:r w:rsidR="00776950" w:rsidRPr="00B364CB">
        <w:t>.</w:t>
      </w:r>
      <w:r w:rsidRPr="00B364CB">
        <w:t xml:space="preserve"> This will grant widespread access to the knowledge while contributing to developing the necessary talent to support a growing hydrogen industry. </w:t>
      </w:r>
    </w:p>
    <w:p w14:paraId="3CED4CC8" w14:textId="6507345A" w:rsidR="0023767B" w:rsidRPr="00B364CB" w:rsidRDefault="0023767B" w:rsidP="00733699">
      <w:pPr>
        <w:pStyle w:val="MAWP-Bodytext"/>
      </w:pPr>
      <w:r w:rsidRPr="00B364CB">
        <w:t xml:space="preserve">Concerning public awareness, the activities will target not only awareness but also raising trust. Activities will focus on hydrogen technology as a whole and will target specific groups of stakeholders (from technicians to </w:t>
      </w:r>
      <w:r w:rsidR="001C628E" w:rsidRPr="00B364CB">
        <w:t xml:space="preserve">chief executive officers </w:t>
      </w:r>
      <w:r w:rsidRPr="00B364CB">
        <w:t>in public and /or private entities) from sectors</w:t>
      </w:r>
      <w:r w:rsidR="007A3F15" w:rsidRPr="00B364CB">
        <w:t xml:space="preserve"> and territories</w:t>
      </w:r>
      <w:r w:rsidRPr="00B364CB">
        <w:t xml:space="preserve"> for which development and deployment of </w:t>
      </w:r>
      <w:r w:rsidR="00AF3ECF" w:rsidRPr="00B364CB">
        <w:t xml:space="preserve">low-carbon </w:t>
      </w:r>
      <w:r w:rsidRPr="00B364CB">
        <w:t>hydrogen technologies can play an important role. Communication activities targeting the public will not be disregarded but will be carefully addressed on a case-by-case basis, as the deployment evolves</w:t>
      </w:r>
      <w:r w:rsidR="009E7F79" w:rsidRPr="00B364CB">
        <w:t xml:space="preserve"> and mainly at </w:t>
      </w:r>
      <w:r w:rsidR="001D62F3" w:rsidRPr="00B364CB">
        <w:t xml:space="preserve">the </w:t>
      </w:r>
      <w:r w:rsidR="009E7F79" w:rsidRPr="00B364CB">
        <w:t>programme level</w:t>
      </w:r>
      <w:r w:rsidRPr="00B364CB">
        <w:t>.</w:t>
      </w:r>
    </w:p>
    <w:p w14:paraId="76A77802" w14:textId="3945BE13" w:rsidR="0023767B" w:rsidRPr="00B364CB" w:rsidRDefault="0023767B" w:rsidP="00733699">
      <w:pPr>
        <w:pStyle w:val="MAWP-Bodytext"/>
      </w:pPr>
      <w:r w:rsidRPr="00B364CB">
        <w:t>To address these issues, the Programme will carry out a number of actions targeting research and innovation, and coordination and support. The following list some of the potential actions envisaged</w:t>
      </w:r>
      <w:r w:rsidR="00AD09BA" w:rsidRPr="00B364CB">
        <w:t>.</w:t>
      </w:r>
    </w:p>
    <w:p w14:paraId="1E9429D8" w14:textId="744EF8BA" w:rsidR="00167FEC" w:rsidRPr="00B364CB" w:rsidRDefault="00167FEC" w:rsidP="00167FEC">
      <w:pPr>
        <w:pStyle w:val="MAWPHeadingStyleLevel4"/>
      </w:pPr>
      <w:r w:rsidRPr="00B364CB">
        <w:t xml:space="preserve">R&amp;D Priorities - Early </w:t>
      </w:r>
      <w:r w:rsidR="008839B3" w:rsidRPr="00B364CB">
        <w:t xml:space="preserve">Stage </w:t>
      </w:r>
      <w:r w:rsidRPr="00B364CB">
        <w:t xml:space="preserve">Research Actions </w:t>
      </w:r>
    </w:p>
    <w:p w14:paraId="278B41F0" w14:textId="538A558B" w:rsidR="00276C9B" w:rsidRPr="0067461D" w:rsidRDefault="00276C9B" w:rsidP="00276C9B">
      <w:pPr>
        <w:pStyle w:val="MAWPBodytextbullets"/>
      </w:pPr>
      <w:r w:rsidRPr="0067461D">
        <w:t>Further development of innovative education using latest IT technologies and implementation in training processes of stakeholders from children through students to teachers (e.g. digital models, twins, living laboratories, short-term courses)</w:t>
      </w:r>
      <w:r w:rsidR="0059117F">
        <w:t>.</w:t>
      </w:r>
      <w:r w:rsidRPr="0067461D">
        <w:t xml:space="preserve"> </w:t>
      </w:r>
    </w:p>
    <w:p w14:paraId="11DDF8D4" w14:textId="3A0D21C9" w:rsidR="00167FEC" w:rsidRPr="00B364CB" w:rsidRDefault="00167FEC" w:rsidP="00167FEC">
      <w:pPr>
        <w:pStyle w:val="MAWPHeadingStyleLevel4"/>
      </w:pPr>
      <w:r w:rsidRPr="0067461D">
        <w:t>R&amp;D Priorities - Demonstration</w:t>
      </w:r>
      <w:r w:rsidRPr="00B364CB">
        <w:t xml:space="preserve"> Actions</w:t>
      </w:r>
    </w:p>
    <w:p w14:paraId="2F491502" w14:textId="2D2944B4" w:rsidR="001B789A" w:rsidRDefault="001B789A" w:rsidP="00580A4E">
      <w:pPr>
        <w:pStyle w:val="MAWPBodytextbullets"/>
      </w:pPr>
      <w:r w:rsidRPr="0067461D">
        <w:t>Integration aspects with social sciences and develop educational and public understanding and</w:t>
      </w:r>
      <w:r w:rsidRPr="001B789A">
        <w:t xml:space="preserve"> </w:t>
      </w:r>
      <w:r>
        <w:t xml:space="preserve">trust, </w:t>
      </w:r>
      <w:r w:rsidRPr="001758BF">
        <w:t xml:space="preserve">including contributions from </w:t>
      </w:r>
      <w:r w:rsidR="00FA3BEA">
        <w:t>h</w:t>
      </w:r>
      <w:r w:rsidRPr="001758BF">
        <w:t>umanities when releva</w:t>
      </w:r>
      <w:r>
        <w:t>nt.</w:t>
      </w:r>
    </w:p>
    <w:p w14:paraId="3EA171FB" w14:textId="664990E9" w:rsidR="00167FEC" w:rsidRPr="00B364CB" w:rsidRDefault="00167FEC" w:rsidP="00733699">
      <w:pPr>
        <w:pStyle w:val="MAWPBodytextbullets"/>
      </w:pPr>
      <w:r w:rsidRPr="00B364CB">
        <w:t>Development and installation of a virtual European university on hydrogen and fuel cells educational targets including service and specific events e.g. summer and winter schools.</w:t>
      </w:r>
    </w:p>
    <w:p w14:paraId="72DC05E6" w14:textId="77777777" w:rsidR="0023767B" w:rsidRPr="00B364CB" w:rsidRDefault="0023767B" w:rsidP="00167FEC">
      <w:pPr>
        <w:pStyle w:val="MAWPHeadingStyleLevel4"/>
      </w:pPr>
      <w:r w:rsidRPr="00B364CB">
        <w:t xml:space="preserve">Coordination and Support Actions </w:t>
      </w:r>
    </w:p>
    <w:p w14:paraId="5C727B0A" w14:textId="4FE7ECF6" w:rsidR="0023767B" w:rsidRPr="00B364CB" w:rsidRDefault="0023767B" w:rsidP="00733699">
      <w:pPr>
        <w:pStyle w:val="MAWPBodytextbullets"/>
      </w:pPr>
      <w:r w:rsidRPr="00B364CB">
        <w:t>Preparation and dissemination material for education and training at all levels</w:t>
      </w:r>
      <w:r w:rsidR="007A3F15" w:rsidRPr="00B364CB">
        <w:t xml:space="preserve"> </w:t>
      </w:r>
      <w:r w:rsidRPr="00B364CB">
        <w:t>in different languages</w:t>
      </w:r>
      <w:r w:rsidR="001B789A">
        <w:t>.</w:t>
      </w:r>
    </w:p>
    <w:p w14:paraId="709317BF" w14:textId="3739E825" w:rsidR="0023767B" w:rsidRPr="00B364CB" w:rsidRDefault="0023767B" w:rsidP="00733699">
      <w:pPr>
        <w:pStyle w:val="MAWPBodytextbullets"/>
      </w:pPr>
      <w:r w:rsidRPr="00B364CB">
        <w:t xml:space="preserve">Building </w:t>
      </w:r>
      <w:r w:rsidR="00437DE1" w:rsidRPr="00B364CB">
        <w:t>t</w:t>
      </w:r>
      <w:r w:rsidRPr="00B364CB">
        <w:t xml:space="preserve">raining </w:t>
      </w:r>
      <w:r w:rsidR="00437DE1" w:rsidRPr="00B364CB">
        <w:t>p</w:t>
      </w:r>
      <w:r w:rsidRPr="00B364CB">
        <w:t xml:space="preserve">rogrammes for </w:t>
      </w:r>
      <w:r w:rsidR="00437DE1" w:rsidRPr="00B364CB">
        <w:t>y</w:t>
      </w:r>
      <w:r w:rsidRPr="00B364CB">
        <w:t xml:space="preserve">oung </w:t>
      </w:r>
      <w:r w:rsidR="00437DE1" w:rsidRPr="00B364CB">
        <w:t>p</w:t>
      </w:r>
      <w:r w:rsidRPr="00B364CB">
        <w:t>rofessionals in the hydrogen and fuel cell field</w:t>
      </w:r>
      <w:r w:rsidR="000D6FDA" w:rsidRPr="00B364CB">
        <w:t>, including events for training and education to different stakeholders.</w:t>
      </w:r>
    </w:p>
    <w:p w14:paraId="18D7615E" w14:textId="34760022" w:rsidR="0023767B" w:rsidRPr="00B364CB" w:rsidRDefault="0023767B" w:rsidP="006802D3">
      <w:pPr>
        <w:pStyle w:val="MAWPsubtitle2"/>
      </w:pPr>
      <w:bookmarkStart w:id="124" w:name="_Toc64640569"/>
      <w:bookmarkStart w:id="125" w:name="_Toc93907337"/>
      <w:r w:rsidRPr="00B364CB">
        <w:t>Sa</w:t>
      </w:r>
      <w:r w:rsidR="0008295F" w:rsidRPr="00B364CB">
        <w:t>fety, Pre-Normative R</w:t>
      </w:r>
      <w:r w:rsidR="006C4780" w:rsidRPr="00B364CB">
        <w:t xml:space="preserve">esearch and </w:t>
      </w:r>
      <w:r w:rsidR="0008295F" w:rsidRPr="00B364CB">
        <w:t>Regulations, Codes and S</w:t>
      </w:r>
      <w:r w:rsidR="006C4780" w:rsidRPr="00B364CB">
        <w:t>tandards</w:t>
      </w:r>
      <w:bookmarkEnd w:id="124"/>
      <w:bookmarkEnd w:id="125"/>
    </w:p>
    <w:p w14:paraId="19BF0654" w14:textId="77777777" w:rsidR="0023767B" w:rsidRPr="00B364CB" w:rsidRDefault="0023767B" w:rsidP="00167FEC">
      <w:pPr>
        <w:pStyle w:val="MAWPHeadingStyleLevel4"/>
      </w:pPr>
      <w:r w:rsidRPr="00B364CB">
        <w:t>Rationale for support</w:t>
      </w:r>
    </w:p>
    <w:p w14:paraId="6CFB38EF" w14:textId="2D45623D" w:rsidR="0023767B" w:rsidRPr="00B364CB" w:rsidRDefault="0023767B" w:rsidP="00733699">
      <w:pPr>
        <w:pStyle w:val="MAWP-Bodytext"/>
      </w:pPr>
      <w:r w:rsidRPr="00B364CB">
        <w:t xml:space="preserve">The hydrogen industry has </w:t>
      </w:r>
      <w:r w:rsidR="002F7740" w:rsidRPr="00B364CB">
        <w:t xml:space="preserve">accumulated several decades of </w:t>
      </w:r>
      <w:r w:rsidRPr="00B364CB">
        <w:t>experience</w:t>
      </w:r>
      <w:r w:rsidR="002F7740" w:rsidRPr="00B364CB">
        <w:t xml:space="preserve"> and know-how</w:t>
      </w:r>
      <w:r w:rsidRPr="00B364CB">
        <w:t xml:space="preserve">, built up in an industrial setting, in handling large amounts of hydrogen safely. Nevertheless, the relative lack of general experience with introducing hydrogen-based technologies in settings where it was not traditionally located (in people’s cars, buses, homes, </w:t>
      </w:r>
      <w:r w:rsidR="00AD09BA" w:rsidRPr="00B364CB">
        <w:t>fuelling</w:t>
      </w:r>
      <w:r w:rsidRPr="00B364CB">
        <w:t xml:space="preserve"> ships, in </w:t>
      </w:r>
      <w:r w:rsidR="00AD09BA" w:rsidRPr="00B364CB">
        <w:t>refuelling</w:t>
      </w:r>
      <w:r w:rsidRPr="00B364CB">
        <w:t xml:space="preserve"> stations alongside conventional fuels, etc.) increases the risks of incidents or accidents and delays the time necessary for commercial product deployment. </w:t>
      </w:r>
      <w:r w:rsidR="00CF1D11" w:rsidRPr="00B364CB">
        <w:t>A high-level degree of h</w:t>
      </w:r>
      <w:r w:rsidRPr="00B364CB">
        <w:t xml:space="preserve">ydrogen safety is essential to build the confidence needed for widespread take-up and safe </w:t>
      </w:r>
      <w:r w:rsidR="001F3B60" w:rsidRPr="00B364CB">
        <w:t>commercialisation</w:t>
      </w:r>
      <w:r w:rsidR="0014048F" w:rsidRPr="00B364CB">
        <w:t xml:space="preserve"> of hydrogen technologies</w:t>
      </w:r>
      <w:r w:rsidRPr="00B364CB">
        <w:t xml:space="preserve">. Consistent safety approaches along the hydrogen chain should be built on best practices for the implementation of safety principles and procedures facilitating the safe design, operation and management of hydrogen-based technologies in Europe and beyond. Hydrogen safety culture needs to be embedded at all </w:t>
      </w:r>
      <w:r w:rsidRPr="00B364CB">
        <w:lastRenderedPageBreak/>
        <w:t>levels and will become a priority in the Programme.</w:t>
      </w:r>
    </w:p>
    <w:p w14:paraId="7CC41BE9" w14:textId="29E60935" w:rsidR="0023767B" w:rsidRPr="00B364CB" w:rsidRDefault="0023767B" w:rsidP="00733699">
      <w:pPr>
        <w:pStyle w:val="MAWP-Bodytext"/>
      </w:pPr>
      <w:r w:rsidRPr="00B364CB">
        <w:t xml:space="preserve">Furthermore, driving hydrogen development past the tipping point needs an enabling policy and regulatory framework. Beyond policies, which are out of the scope of the objectives of the Programme, there is still a need to </w:t>
      </w:r>
      <w:r w:rsidR="00CF1D11" w:rsidRPr="00B364CB">
        <w:t xml:space="preserve">develop even further </w:t>
      </w:r>
      <w:r w:rsidRPr="00B364CB">
        <w:t xml:space="preserve">comprehensive </w:t>
      </w:r>
      <w:r w:rsidR="006C4780" w:rsidRPr="00B364CB">
        <w:t>regulatory and enabling frameworks</w:t>
      </w:r>
      <w:r w:rsidRPr="00B364CB">
        <w:t xml:space="preserve"> for hydrogen technologies in Europe. In many instances, the lack of clear rules, </w:t>
      </w:r>
      <w:r w:rsidR="002F7740" w:rsidRPr="00B364CB">
        <w:t xml:space="preserve">technical </w:t>
      </w:r>
      <w:r w:rsidRPr="00B364CB">
        <w:t xml:space="preserve">regulations and standards is a core reason why “projects” do not evolve into mass-market “products”. For example, </w:t>
      </w:r>
      <w:r w:rsidR="00C57896" w:rsidRPr="00B364CB">
        <w:t xml:space="preserve">regarding </w:t>
      </w:r>
      <w:r w:rsidRPr="00B364CB">
        <w:t xml:space="preserve">hydrogen </w:t>
      </w:r>
      <w:r w:rsidR="00C57896" w:rsidRPr="00B364CB">
        <w:t xml:space="preserve">injection </w:t>
      </w:r>
      <w:r w:rsidRPr="00B364CB">
        <w:t xml:space="preserve">in natural gas networks, Regulations, Codes and Standards for hydrogen technology will need to be developed at the EU level to ensure </w:t>
      </w:r>
      <w:r w:rsidR="00C57896" w:rsidRPr="00B364CB">
        <w:t xml:space="preserve">these </w:t>
      </w:r>
      <w:r w:rsidRPr="00B364CB">
        <w:t xml:space="preserve">applications are not restricted in their roll-out. </w:t>
      </w:r>
    </w:p>
    <w:p w14:paraId="0A6FB9DA" w14:textId="77777777" w:rsidR="0023767B" w:rsidRPr="00B364CB" w:rsidRDefault="0023767B" w:rsidP="00167FEC">
      <w:pPr>
        <w:pStyle w:val="MAWPHeadingStyleLevel4"/>
      </w:pPr>
      <w:r w:rsidRPr="00B364CB">
        <w:t>State of the art</w:t>
      </w:r>
    </w:p>
    <w:p w14:paraId="69AC8D1F" w14:textId="323FF0A9" w:rsidR="0023767B" w:rsidRPr="00B364CB" w:rsidRDefault="0023767B" w:rsidP="00733699">
      <w:pPr>
        <w:pStyle w:val="MAWP-Bodytext"/>
      </w:pPr>
      <w:r w:rsidRPr="00B364CB">
        <w:t xml:space="preserve">Safety is paramount for </w:t>
      </w:r>
      <w:r w:rsidR="006C4780" w:rsidRPr="00B364CB">
        <w:t>frictionless</w:t>
      </w:r>
      <w:r w:rsidRPr="00B364CB">
        <w:t xml:space="preserve"> development, perception, acceptance of and trust in new technologies in modern society. Over the last decades, hydrogen safety-related activities have advanced the state of the art and fundamental aspects related to hydrogen </w:t>
      </w:r>
      <w:r w:rsidR="00AD09BA" w:rsidRPr="00B364CB">
        <w:t>behaviour</w:t>
      </w:r>
      <w:r w:rsidRPr="00B364CB">
        <w:t xml:space="preserve"> in the event </w:t>
      </w:r>
      <w:r w:rsidR="00C57896" w:rsidRPr="00B364CB">
        <w:t>of accidental (unwanted) releases and their consequences.</w:t>
      </w:r>
      <w:r w:rsidR="0014048F" w:rsidRPr="00B364CB">
        <w:t xml:space="preserve"> </w:t>
      </w:r>
      <w:r w:rsidRPr="00B364CB">
        <w:t>The activities scope has also encompassed progress in the understanding of both, passive and active safety measures to reduce and/or de-risk the use of hydrogen in confined, semi-confined and open-air sites and locations. Recent projects such as HYSEA</w:t>
      </w:r>
      <w:r w:rsidR="0083057A" w:rsidRPr="00B364CB">
        <w:rPr>
          <w:rStyle w:val="FootnoteReference"/>
        </w:rPr>
        <w:footnoteReference w:id="153"/>
      </w:r>
      <w:r w:rsidRPr="00B364CB">
        <w:t>, PRE</w:t>
      </w:r>
      <w:r w:rsidR="000D6FDA" w:rsidRPr="00B364CB">
        <w:t>S</w:t>
      </w:r>
      <w:r w:rsidRPr="00B364CB">
        <w:t>LHY</w:t>
      </w:r>
      <w:r w:rsidR="0083057A" w:rsidRPr="00B364CB">
        <w:rPr>
          <w:rStyle w:val="FootnoteReference"/>
        </w:rPr>
        <w:footnoteReference w:id="154"/>
      </w:r>
      <w:r w:rsidR="00370D24" w:rsidRPr="00B364CB">
        <w:t>, H</w:t>
      </w:r>
      <w:r w:rsidR="00B10441" w:rsidRPr="00B364CB">
        <w:t>YTUNNEL-CS</w:t>
      </w:r>
      <w:r w:rsidR="00370D24" w:rsidRPr="00B364CB">
        <w:rPr>
          <w:rStyle w:val="FootnoteReference"/>
        </w:rPr>
        <w:footnoteReference w:id="155"/>
      </w:r>
      <w:r w:rsidRPr="00B364CB">
        <w:t xml:space="preserve"> or H2SENSE</w:t>
      </w:r>
      <w:r w:rsidR="0083057A" w:rsidRPr="00B364CB">
        <w:rPr>
          <w:rStyle w:val="FootnoteReference"/>
        </w:rPr>
        <w:footnoteReference w:id="156"/>
      </w:r>
      <w:r w:rsidRPr="00B364CB">
        <w:t xml:space="preserve"> to name but a few account for this. Furthermore, education and training programs have also tackled safety aspects, </w:t>
      </w:r>
      <w:r w:rsidR="002F6C34" w:rsidRPr="00B364CB">
        <w:t xml:space="preserve">the </w:t>
      </w:r>
      <w:r w:rsidRPr="00B364CB">
        <w:t>HYRESPONSE</w:t>
      </w:r>
      <w:r w:rsidR="0083057A" w:rsidRPr="00B364CB">
        <w:rPr>
          <w:rStyle w:val="FootnoteReference"/>
        </w:rPr>
        <w:footnoteReference w:id="157"/>
      </w:r>
      <w:r w:rsidRPr="00B364CB">
        <w:t xml:space="preserve"> project </w:t>
      </w:r>
      <w:r w:rsidR="002F6C34" w:rsidRPr="00B364CB">
        <w:t>being</w:t>
      </w:r>
      <w:r w:rsidRPr="00B364CB">
        <w:t xml:space="preserve"> a good example. Nevertheless, recent safety-related events have shown that more efforts are required to embed such a culture within this fast-growing sector.</w:t>
      </w:r>
    </w:p>
    <w:p w14:paraId="1BAECEE2" w14:textId="5F1A0F1A" w:rsidR="0023767B" w:rsidRPr="00B364CB" w:rsidRDefault="0023767B" w:rsidP="00733699">
      <w:pPr>
        <w:pStyle w:val="MAWP-Bodytext"/>
      </w:pPr>
      <w:r w:rsidRPr="00B364CB">
        <w:t xml:space="preserve">EU funded projects also allowed improvement in the understanding of the applicable regulation for boosting the production and </w:t>
      </w:r>
      <w:r w:rsidR="001F3B60" w:rsidRPr="00B364CB">
        <w:t>utilisation</w:t>
      </w:r>
      <w:r w:rsidRPr="00B364CB">
        <w:t xml:space="preserve"> of hydrogen in Europe, while strengthening the European leadership in international fora for technical standards, regulations and definitions on hydrogen. The majority of the projects have encompassed Pre-Normative Research (PNR) activities aiming at providing sound scientifically and technological facts to either filling the existing gaps in RCS </w:t>
      </w:r>
      <w:r w:rsidR="002F6C34" w:rsidRPr="00B364CB">
        <w:t xml:space="preserve">or </w:t>
      </w:r>
      <w:r w:rsidRPr="00B364CB">
        <w:t>progress</w:t>
      </w:r>
      <w:r w:rsidR="002F6C34" w:rsidRPr="00B364CB">
        <w:t>ing</w:t>
      </w:r>
      <w:r w:rsidRPr="00B364CB">
        <w:t xml:space="preserve"> beyond the knowledge available at that point in time. Projects such as HYCORA</w:t>
      </w:r>
      <w:r w:rsidR="0083057A" w:rsidRPr="00B364CB">
        <w:rPr>
          <w:rStyle w:val="FootnoteReference"/>
        </w:rPr>
        <w:footnoteReference w:id="158"/>
      </w:r>
      <w:r w:rsidRPr="00B364CB">
        <w:t>, FIRECOMP</w:t>
      </w:r>
      <w:r w:rsidR="0083057A" w:rsidRPr="00B364CB">
        <w:rPr>
          <w:rStyle w:val="FootnoteReference"/>
        </w:rPr>
        <w:footnoteReference w:id="159"/>
      </w:r>
      <w:r w:rsidRPr="00B364CB">
        <w:t>, HYTUNNEL-CS</w:t>
      </w:r>
      <w:r w:rsidR="00090229" w:rsidRPr="00B364CB">
        <w:rPr>
          <w:rStyle w:val="FootnoteReference"/>
        </w:rPr>
        <w:footnoteReference w:id="160"/>
      </w:r>
      <w:r w:rsidRPr="00B364CB">
        <w:t>, STACKTEST</w:t>
      </w:r>
      <w:r w:rsidR="00090229" w:rsidRPr="00B364CB">
        <w:rPr>
          <w:rStyle w:val="FootnoteReference"/>
        </w:rPr>
        <w:footnoteReference w:id="161"/>
      </w:r>
      <w:r w:rsidRPr="00B364CB">
        <w:t xml:space="preserve"> or SO</w:t>
      </w:r>
      <w:r w:rsidR="000D6FDA" w:rsidRPr="00B364CB">
        <w:t>C</w:t>
      </w:r>
      <w:r w:rsidRPr="00B364CB">
        <w:t>TESTQA</w:t>
      </w:r>
      <w:r w:rsidR="00090229" w:rsidRPr="00B364CB">
        <w:rPr>
          <w:rStyle w:val="FootnoteReference"/>
        </w:rPr>
        <w:footnoteReference w:id="162"/>
      </w:r>
      <w:r w:rsidRPr="00B364CB">
        <w:t xml:space="preserve"> account for this. Moreover, recent projects like HYLAW</w:t>
      </w:r>
      <w:r w:rsidR="00090229" w:rsidRPr="00B364CB">
        <w:rPr>
          <w:rStyle w:val="FootnoteReference"/>
        </w:rPr>
        <w:footnoteReference w:id="163"/>
      </w:r>
      <w:r w:rsidRPr="00B364CB">
        <w:t xml:space="preserve"> have undertaken desk research to understand </w:t>
      </w:r>
      <w:r w:rsidR="002F6C34" w:rsidRPr="00B364CB">
        <w:t xml:space="preserve">the </w:t>
      </w:r>
      <w:r w:rsidRPr="00B364CB">
        <w:t xml:space="preserve">legal and administrative barriers blocking the widespread </w:t>
      </w:r>
      <w:r w:rsidR="001F3B60" w:rsidRPr="00B364CB">
        <w:t>commercialisation</w:t>
      </w:r>
      <w:r w:rsidRPr="00B364CB">
        <w:t xml:space="preserve"> of hydrogen technologies in Europe, while proposing solutions to overcome the challenges. Another relevant initiative has been conducted by the CERTIFHY</w:t>
      </w:r>
      <w:r w:rsidR="00090229" w:rsidRPr="00B364CB">
        <w:rPr>
          <w:rStyle w:val="FootnoteReference"/>
        </w:rPr>
        <w:footnoteReference w:id="164"/>
      </w:r>
      <w:r w:rsidRPr="00B364CB">
        <w:t xml:space="preserve"> </w:t>
      </w:r>
      <w:r w:rsidR="00E61F0D" w:rsidRPr="00B364CB">
        <w:t>project and follow up initiatives</w:t>
      </w:r>
      <w:r w:rsidRPr="00B364CB">
        <w:t xml:space="preserve"> which ha</w:t>
      </w:r>
      <w:r w:rsidR="00776950" w:rsidRPr="00B364CB">
        <w:t>ve</w:t>
      </w:r>
      <w:r w:rsidRPr="00B364CB">
        <w:t xml:space="preserve"> assessed the necessary market and regulatory conditions to develop the complete design and initiate a unique European framework for </w:t>
      </w:r>
      <w:r w:rsidR="001730E4" w:rsidRPr="00B364CB">
        <w:t xml:space="preserve">renewable </w:t>
      </w:r>
      <w:r w:rsidRPr="00B364CB">
        <w:t>and low</w:t>
      </w:r>
      <w:r w:rsidR="001730E4" w:rsidRPr="00B364CB">
        <w:t>-</w:t>
      </w:r>
      <w:r w:rsidRPr="00B364CB">
        <w:t>carbon hydrogen guarantees of origin.</w:t>
      </w:r>
    </w:p>
    <w:p w14:paraId="1C4367CE" w14:textId="3094FD23" w:rsidR="0023767B" w:rsidRPr="00B364CB" w:rsidRDefault="008839B3" w:rsidP="00167FEC">
      <w:pPr>
        <w:pStyle w:val="MAWPHeadingStyleLevel4"/>
      </w:pPr>
      <w:r w:rsidRPr="00B364CB">
        <w:lastRenderedPageBreak/>
        <w:t xml:space="preserve">Objectives </w:t>
      </w:r>
    </w:p>
    <w:p w14:paraId="407861C0" w14:textId="2FCDB51C" w:rsidR="0023767B" w:rsidRDefault="0023767B" w:rsidP="00733699">
      <w:pPr>
        <w:pStyle w:val="MAWP-Bodytext"/>
      </w:pPr>
      <w:r w:rsidRPr="00B364CB">
        <w:t xml:space="preserve">The goal of this focus area is twofold: </w:t>
      </w:r>
      <w:r w:rsidR="00D117EC" w:rsidRPr="00B364CB">
        <w:t>s</w:t>
      </w:r>
      <w:r w:rsidR="001F3B60" w:rsidRPr="00B364CB">
        <w:t>afety</w:t>
      </w:r>
      <w:r w:rsidRPr="00B364CB">
        <w:t xml:space="preserve"> is understood and </w:t>
      </w:r>
      <w:r w:rsidR="002F6C34" w:rsidRPr="00B364CB">
        <w:t>treated</w:t>
      </w:r>
      <w:r w:rsidRPr="00B364CB">
        <w:t xml:space="preserve"> as a holistic, integrated and value-adding approach at each stage of the implementation, and to </w:t>
      </w:r>
      <w:r w:rsidR="00B12166">
        <w:t>ensure</w:t>
      </w:r>
      <w:r w:rsidR="00B12166" w:rsidRPr="00B364CB">
        <w:t xml:space="preserve"> </w:t>
      </w:r>
      <w:r w:rsidRPr="00B364CB">
        <w:t xml:space="preserve">that hydrogen </w:t>
      </w:r>
      <w:r w:rsidR="00D25716" w:rsidRPr="00B364CB">
        <w:t>and fuel cell</w:t>
      </w:r>
      <w:r w:rsidR="001F3B60" w:rsidRPr="00B364CB">
        <w:t xml:space="preserve"> </w:t>
      </w:r>
      <w:r w:rsidRPr="00B364CB">
        <w:t xml:space="preserve">specific </w:t>
      </w:r>
      <w:r w:rsidR="001F3B60" w:rsidRPr="00B364CB">
        <w:t>harmonised</w:t>
      </w:r>
      <w:r w:rsidRPr="00B364CB">
        <w:t xml:space="preserve"> RCS are in place and support the safe and efficient deployment of hydrogen technologies in Europe and beyond.</w:t>
      </w:r>
      <w:r w:rsidR="001606E0">
        <w:t xml:space="preserve"> To this end, the specific objectives in this area are:</w:t>
      </w:r>
    </w:p>
    <w:p w14:paraId="040A1A94" w14:textId="074EB070" w:rsidR="001606E0" w:rsidRDefault="009831BD" w:rsidP="00E4788A">
      <w:pPr>
        <w:pStyle w:val="MAWP-Bodytext"/>
        <w:numPr>
          <w:ilvl w:val="1"/>
          <w:numId w:val="3"/>
        </w:numPr>
        <w:ind w:left="709"/>
      </w:pPr>
      <w:r>
        <w:t>Increase</w:t>
      </w:r>
      <w:r w:rsidR="001606E0">
        <w:t xml:space="preserve"> the level of safety of hydrogen technologies</w:t>
      </w:r>
      <w:r>
        <w:t xml:space="preserve"> and applications</w:t>
      </w:r>
    </w:p>
    <w:p w14:paraId="1E5AC437" w14:textId="25A796D0" w:rsidR="001606E0" w:rsidRPr="00B364CB" w:rsidRDefault="009831BD" w:rsidP="00E4788A">
      <w:pPr>
        <w:pStyle w:val="MAWP-Bodytext"/>
        <w:numPr>
          <w:ilvl w:val="1"/>
          <w:numId w:val="3"/>
        </w:numPr>
        <w:ind w:left="709"/>
      </w:pPr>
      <w:r w:rsidRPr="009831BD">
        <w:t xml:space="preserve">Support </w:t>
      </w:r>
      <w:r>
        <w:t xml:space="preserve">the development of </w:t>
      </w:r>
      <w:r w:rsidRPr="009831BD">
        <w:t>RCS for hydrogen technologies and applications, with the focus on standards</w:t>
      </w:r>
    </w:p>
    <w:p w14:paraId="654AD219" w14:textId="77777777" w:rsidR="0023767B" w:rsidRPr="00B364CB" w:rsidRDefault="0023767B" w:rsidP="00733699">
      <w:pPr>
        <w:pStyle w:val="MAWP-Bodytext"/>
      </w:pPr>
      <w:r w:rsidRPr="00B364CB">
        <w:t>Further research is needed to ensure hydrogen technologies are as safe as competing technologies and to demonstrate that the risks associated with hydrogen technologies are at least equivalent to, if not lower, than for established energy technologies.</w:t>
      </w:r>
    </w:p>
    <w:p w14:paraId="06603F63" w14:textId="11E790E1" w:rsidR="00AD09BA" w:rsidRPr="00B364CB" w:rsidRDefault="0023767B" w:rsidP="00733699">
      <w:pPr>
        <w:pStyle w:val="MAWP-Bodytext"/>
      </w:pPr>
      <w:r w:rsidRPr="00B364CB">
        <w:t xml:space="preserve">Moreover, further research is needed to support policymaking, in particular, to enable improved and </w:t>
      </w:r>
      <w:r w:rsidR="001F3B60" w:rsidRPr="00B364CB">
        <w:t>harmonised</w:t>
      </w:r>
      <w:r w:rsidRPr="00B364CB">
        <w:t xml:space="preserve"> RCS. To this end, the role of PNR activities in supporting technical regulations and standards will become fundamental. PNR activities will encompass research activities and strengthen desk research activities in view of supporting RCS developments.</w:t>
      </w:r>
    </w:p>
    <w:p w14:paraId="7A0E6602" w14:textId="1D47859A" w:rsidR="00B10441" w:rsidRPr="00B364CB" w:rsidRDefault="00B10441" w:rsidP="00733699">
      <w:pPr>
        <w:pStyle w:val="MAWP-Bodytext"/>
      </w:pPr>
      <w:r w:rsidRPr="00B364CB">
        <w:t xml:space="preserve">Furthermore, following up on the activities started in the CERTIFHY project and subsequent FCH 2 JU initiatives, supporting activities are also envisaged to </w:t>
      </w:r>
      <w:r w:rsidR="00E5038A">
        <w:t xml:space="preserve">contribute to </w:t>
      </w:r>
      <w:r w:rsidR="0059117F">
        <w:t xml:space="preserve">the EU effort to introduce </w:t>
      </w:r>
      <w:r w:rsidRPr="00B364CB">
        <w:t xml:space="preserve">a common low-carbon threshold/standard for the promotion of hydrogen production installations based on their full life-cycle GHG performance. Activities would introduce a comprehensive terminology and European-wide criteria (or even international-wide criteria within collaborations with </w:t>
      </w:r>
      <w:r w:rsidR="00393352" w:rsidRPr="00B364CB">
        <w:t xml:space="preserve">International Partnership for Hydrogen and fuel cells in the Economy – </w:t>
      </w:r>
      <w:r w:rsidRPr="00B364CB">
        <w:t>IPHE</w:t>
      </w:r>
      <w:r w:rsidR="00393352" w:rsidRPr="00B364CB">
        <w:t xml:space="preserve"> -</w:t>
      </w:r>
      <w:r w:rsidRPr="00B364CB">
        <w:t xml:space="preserve"> and </w:t>
      </w:r>
      <w:r w:rsidR="00393352" w:rsidRPr="00B364CB">
        <w:t xml:space="preserve">Clean Energy Ministerial - </w:t>
      </w:r>
      <w:r w:rsidRPr="00B364CB">
        <w:t>CEM) for guarantees of origins and the certification of renewable and low-carbon hydrogen.</w:t>
      </w:r>
    </w:p>
    <w:p w14:paraId="026AF0A3" w14:textId="5BF31FB0" w:rsidR="0023767B" w:rsidRPr="00B364CB" w:rsidRDefault="00F7265B" w:rsidP="00733699">
      <w:pPr>
        <w:pStyle w:val="MAWP-Bodytext"/>
      </w:pPr>
      <w:r w:rsidRPr="00B364CB">
        <w:t>Altogether, i</w:t>
      </w:r>
      <w:r w:rsidR="0023767B" w:rsidRPr="00B364CB">
        <w:t>n light of the 2030 targets recently published by the European Commission, support could contribute to the</w:t>
      </w:r>
      <w:r w:rsidR="00F24C9A" w:rsidRPr="00B364CB">
        <w:t xml:space="preserve"> update of</w:t>
      </w:r>
      <w:r w:rsidR="0023767B" w:rsidRPr="00B364CB">
        <w:t xml:space="preserve"> energy and climate framework, in particular:</w:t>
      </w:r>
    </w:p>
    <w:p w14:paraId="5B9E51BD" w14:textId="649A5303" w:rsidR="0023767B" w:rsidRPr="00B364CB" w:rsidRDefault="00393352" w:rsidP="002256F6">
      <w:pPr>
        <w:pStyle w:val="MAWPBodytextbullets"/>
        <w:numPr>
          <w:ilvl w:val="0"/>
          <w:numId w:val="35"/>
        </w:numPr>
      </w:pPr>
      <w:r w:rsidRPr="00B364CB">
        <w:t xml:space="preserve">EU </w:t>
      </w:r>
      <w:r w:rsidR="0023767B" w:rsidRPr="00B364CB">
        <w:t>ETS directive and Effort Sharing Regulation</w:t>
      </w:r>
      <w:r w:rsidR="00AD09BA" w:rsidRPr="00B364CB">
        <w:t>;</w:t>
      </w:r>
    </w:p>
    <w:p w14:paraId="63B2A62A" w14:textId="6066A3D5" w:rsidR="0023767B" w:rsidRPr="00B364CB" w:rsidRDefault="0023767B" w:rsidP="002256F6">
      <w:pPr>
        <w:pStyle w:val="MAWPBodytextbullets"/>
        <w:numPr>
          <w:ilvl w:val="0"/>
          <w:numId w:val="35"/>
        </w:numPr>
      </w:pPr>
      <w:r w:rsidRPr="00B364CB">
        <w:t>Renewable</w:t>
      </w:r>
      <w:r w:rsidR="003A415B" w:rsidRPr="00B364CB">
        <w:t xml:space="preserve"> Energy</w:t>
      </w:r>
      <w:r w:rsidRPr="00B364CB">
        <w:t xml:space="preserve"> Directive</w:t>
      </w:r>
      <w:r w:rsidR="00AD09BA" w:rsidRPr="00B364CB">
        <w:t>;</w:t>
      </w:r>
    </w:p>
    <w:p w14:paraId="579D7651" w14:textId="222FA5E9" w:rsidR="0023767B" w:rsidRPr="00B364CB" w:rsidRDefault="0023767B" w:rsidP="002256F6">
      <w:pPr>
        <w:pStyle w:val="MAWPBodytextbullets"/>
        <w:numPr>
          <w:ilvl w:val="0"/>
          <w:numId w:val="35"/>
        </w:numPr>
      </w:pPr>
      <w:r w:rsidRPr="00B364CB">
        <w:t>Energy Efficiency Directive</w:t>
      </w:r>
      <w:r w:rsidR="00AD09BA" w:rsidRPr="00B364CB">
        <w:t>;</w:t>
      </w:r>
    </w:p>
    <w:p w14:paraId="4ED0F231" w14:textId="231FA43F" w:rsidR="0023767B" w:rsidRPr="00B364CB" w:rsidRDefault="0023767B" w:rsidP="002256F6">
      <w:pPr>
        <w:pStyle w:val="MAWPBodytextbullets"/>
        <w:numPr>
          <w:ilvl w:val="0"/>
          <w:numId w:val="35"/>
        </w:numPr>
      </w:pPr>
      <w:r w:rsidRPr="00B364CB">
        <w:t>Energy Taxation Directive</w:t>
      </w:r>
      <w:r w:rsidR="00AD09BA" w:rsidRPr="00B364CB">
        <w:t>;</w:t>
      </w:r>
    </w:p>
    <w:p w14:paraId="40E829CD" w14:textId="64C6C3BB" w:rsidR="0023767B" w:rsidRPr="00B364CB" w:rsidRDefault="0023767B" w:rsidP="002256F6">
      <w:pPr>
        <w:pStyle w:val="MAWPBodytextbullets"/>
        <w:numPr>
          <w:ilvl w:val="0"/>
          <w:numId w:val="35"/>
        </w:numPr>
      </w:pPr>
      <w:r w:rsidRPr="00B364CB">
        <w:t>Sustainable Alternative Fuels initiatives</w:t>
      </w:r>
      <w:r w:rsidR="00AD09BA" w:rsidRPr="00B364CB">
        <w:t>;</w:t>
      </w:r>
    </w:p>
    <w:p w14:paraId="25987BCF" w14:textId="61BFA640" w:rsidR="0023767B" w:rsidRPr="00186866" w:rsidRDefault="0023767B" w:rsidP="002256F6">
      <w:pPr>
        <w:pStyle w:val="MAWPBodytextbullets"/>
        <w:numPr>
          <w:ilvl w:val="0"/>
          <w:numId w:val="35"/>
        </w:numPr>
        <w:rPr>
          <w:lang w:val="de-DE"/>
        </w:rPr>
      </w:pPr>
      <w:r w:rsidRPr="00186866">
        <w:rPr>
          <w:lang w:val="de-DE"/>
        </w:rPr>
        <w:t>TEN-E / TEN-T Regulation and Alternative Fuels Directive</w:t>
      </w:r>
      <w:r w:rsidR="00AD09BA" w:rsidRPr="00186866">
        <w:rPr>
          <w:lang w:val="de-DE"/>
        </w:rPr>
        <w:t>;</w:t>
      </w:r>
    </w:p>
    <w:p w14:paraId="65D281F9" w14:textId="444EEAF6" w:rsidR="0023767B" w:rsidRPr="00B364CB" w:rsidRDefault="0023767B" w:rsidP="002256F6">
      <w:pPr>
        <w:pStyle w:val="MAWPBodytextbullets"/>
        <w:numPr>
          <w:ilvl w:val="0"/>
          <w:numId w:val="35"/>
        </w:numPr>
      </w:pPr>
      <w:r w:rsidRPr="00B364CB">
        <w:t>CO</w:t>
      </w:r>
      <w:r w:rsidRPr="00B364CB">
        <w:rPr>
          <w:vertAlign w:val="subscript"/>
        </w:rPr>
        <w:t>2</w:t>
      </w:r>
      <w:r w:rsidRPr="00B364CB">
        <w:t xml:space="preserve"> performance standards</w:t>
      </w:r>
      <w:r w:rsidR="00AD09BA" w:rsidRPr="00B364CB">
        <w:t>.</w:t>
      </w:r>
    </w:p>
    <w:p w14:paraId="390AF460" w14:textId="49616F6B" w:rsidR="00AD09BA" w:rsidRPr="00B364CB" w:rsidRDefault="0023767B" w:rsidP="00733699">
      <w:pPr>
        <w:pStyle w:val="MAWP-Bodytext"/>
      </w:pPr>
      <w:r w:rsidRPr="00B364CB">
        <w:t xml:space="preserve">To address these issues, the Programme will carry out a number of actions targeting research and innovation, and coordination and support. </w:t>
      </w:r>
    </w:p>
    <w:p w14:paraId="0C30DC55" w14:textId="29BA2956" w:rsidR="0023767B" w:rsidRPr="00B364CB" w:rsidRDefault="0023767B" w:rsidP="00733699">
      <w:pPr>
        <w:pStyle w:val="MAWP-Bodytext"/>
      </w:pPr>
      <w:r w:rsidRPr="00B364CB">
        <w:t>The following list some of the potential actions envisaged</w:t>
      </w:r>
      <w:r w:rsidR="00AD09BA" w:rsidRPr="00B364CB">
        <w:t>.</w:t>
      </w:r>
    </w:p>
    <w:p w14:paraId="4AB386D0" w14:textId="50FF64FC" w:rsidR="00167FEC" w:rsidRPr="00B364CB" w:rsidRDefault="00167FEC" w:rsidP="00167FEC">
      <w:pPr>
        <w:pStyle w:val="MAWPHeadingStyleLevel4"/>
      </w:pPr>
      <w:r w:rsidRPr="00B364CB">
        <w:t xml:space="preserve">R&amp;D Priorities - Early </w:t>
      </w:r>
      <w:r w:rsidR="008839B3" w:rsidRPr="00B364CB">
        <w:t xml:space="preserve">Stage </w:t>
      </w:r>
      <w:r w:rsidRPr="00B364CB">
        <w:t xml:space="preserve">Research Actions </w:t>
      </w:r>
    </w:p>
    <w:p w14:paraId="24B37B2D" w14:textId="065D5B88" w:rsidR="004D6C96" w:rsidRPr="00B364CB" w:rsidRDefault="004D6C96" w:rsidP="004D6C96">
      <w:pPr>
        <w:pStyle w:val="MAWPBodytextbullets"/>
      </w:pPr>
      <w:r w:rsidRPr="00B364CB">
        <w:t>Improved understanding of the hydrogen behaviour on both gaseous and liquid form in the event of accidental (unwanted) releases and their consequences to support the development of RCS in heat, maritime, railways, heavy duty and aerospace application;</w:t>
      </w:r>
    </w:p>
    <w:p w14:paraId="0BF02E5C" w14:textId="1B94F927" w:rsidR="0023767B" w:rsidRPr="00B364CB" w:rsidRDefault="0023767B" w:rsidP="00733699">
      <w:pPr>
        <w:pStyle w:val="MAWPBodytextbullets"/>
      </w:pPr>
      <w:r w:rsidRPr="00B364CB">
        <w:lastRenderedPageBreak/>
        <w:t>Improved understanding of hydrogen embrittlement, thermal attacks and effects also in non-metallic materials</w:t>
      </w:r>
      <w:r w:rsidR="00AD09BA" w:rsidRPr="00B364CB">
        <w:t>;</w:t>
      </w:r>
    </w:p>
    <w:p w14:paraId="645C0343" w14:textId="46F10674" w:rsidR="0023767B" w:rsidRPr="00B364CB" w:rsidRDefault="0023767B" w:rsidP="00733699">
      <w:pPr>
        <w:pStyle w:val="MAWPBodytextbullets"/>
      </w:pPr>
      <w:r w:rsidRPr="00B364CB">
        <w:t xml:space="preserve">Safe </w:t>
      </w:r>
      <w:r w:rsidR="00AD09BA" w:rsidRPr="00B364CB">
        <w:t>refuelling</w:t>
      </w:r>
      <w:r w:rsidRPr="00B364CB">
        <w:t>, bunkering and storage protocols; in particular for large inventories and LH</w:t>
      </w:r>
      <w:r w:rsidRPr="00E4788A">
        <w:rPr>
          <w:vertAlign w:val="subscript"/>
        </w:rPr>
        <w:t>2</w:t>
      </w:r>
      <w:r w:rsidRPr="00B364CB">
        <w:t xml:space="preserve"> (Incl. specific aspects associated with the maritime sector</w:t>
      </w:r>
      <w:r w:rsidR="00AD09BA" w:rsidRPr="00B364CB">
        <w:t>);</w:t>
      </w:r>
    </w:p>
    <w:p w14:paraId="38F60705" w14:textId="37E1001F" w:rsidR="0023767B" w:rsidRPr="00B364CB" w:rsidRDefault="0023767B" w:rsidP="00733699">
      <w:pPr>
        <w:pStyle w:val="MAWPBodytextbullets"/>
      </w:pPr>
      <w:r w:rsidRPr="00B364CB">
        <w:t xml:space="preserve">PNR to support heavy duty crash </w:t>
      </w:r>
      <w:r w:rsidR="001F3B60" w:rsidRPr="00B364CB">
        <w:t>standardisation</w:t>
      </w:r>
      <w:r w:rsidRPr="00B364CB">
        <w:t xml:space="preserve">, including recognition of </w:t>
      </w:r>
      <w:r w:rsidR="000E7CDB" w:rsidRPr="00B364CB">
        <w:t>FCEV</w:t>
      </w:r>
      <w:r w:rsidRPr="00B364CB">
        <w:t xml:space="preserve"> and health state of </w:t>
      </w:r>
      <w:r w:rsidR="00AD09BA" w:rsidRPr="00B364CB">
        <w:t>on-board</w:t>
      </w:r>
      <w:r w:rsidRPr="00B364CB">
        <w:t xml:space="preserve"> storage by responders (road, rail, maritime), development of protocols for non-destructive testing of </w:t>
      </w:r>
      <w:r w:rsidR="00BC63E7" w:rsidRPr="00B364CB">
        <w:t>composite overwrapped pressure vessels (</w:t>
      </w:r>
      <w:r w:rsidRPr="00B364CB">
        <w:t>COPVs</w:t>
      </w:r>
      <w:r w:rsidR="00BC63E7" w:rsidRPr="00B364CB">
        <w:t>)</w:t>
      </w:r>
      <w:r w:rsidR="00AD09BA" w:rsidRPr="00B364CB">
        <w:t>;</w:t>
      </w:r>
    </w:p>
    <w:p w14:paraId="517810F3" w14:textId="4C533768" w:rsidR="0023767B" w:rsidRPr="00B364CB" w:rsidRDefault="0023767B" w:rsidP="00733699">
      <w:pPr>
        <w:pStyle w:val="MAWPBodytextbullets"/>
      </w:pPr>
      <w:r w:rsidRPr="00B364CB">
        <w:t xml:space="preserve">Review of </w:t>
      </w:r>
      <w:r w:rsidR="00AD09BA" w:rsidRPr="00B364CB">
        <w:t>refuelling</w:t>
      </w:r>
      <w:r w:rsidRPr="00B364CB">
        <w:t xml:space="preserve"> processes and quantification of over-conservatism in </w:t>
      </w:r>
      <w:r w:rsidR="00AD09BA" w:rsidRPr="00B364CB">
        <w:t>refuelling</w:t>
      </w:r>
      <w:r w:rsidRPr="00B364CB">
        <w:t xml:space="preserve"> and </w:t>
      </w:r>
      <w:r w:rsidR="00AD09BA" w:rsidRPr="00B364CB">
        <w:t>on-board</w:t>
      </w:r>
      <w:r w:rsidRPr="00B364CB">
        <w:t xml:space="preserve"> storage</w:t>
      </w:r>
      <w:r w:rsidR="00AD09BA" w:rsidRPr="00B364CB">
        <w:t>;</w:t>
      </w:r>
    </w:p>
    <w:p w14:paraId="062F14B8" w14:textId="2F816A79" w:rsidR="0023767B" w:rsidRPr="00B364CB" w:rsidRDefault="0023767B" w:rsidP="00733699">
      <w:pPr>
        <w:pStyle w:val="MAWPBodytextbullets"/>
      </w:pPr>
      <w:r w:rsidRPr="00B364CB">
        <w:t>PNR and benchmarking for hydrogen sensor selection, integration, installation and operation</w:t>
      </w:r>
      <w:r w:rsidR="00AD09BA" w:rsidRPr="00B364CB">
        <w:t>;</w:t>
      </w:r>
    </w:p>
    <w:p w14:paraId="573A9389" w14:textId="12DE67B2" w:rsidR="0023767B" w:rsidRPr="00B364CB" w:rsidRDefault="0023767B" w:rsidP="00733699">
      <w:pPr>
        <w:pStyle w:val="MAWPBodytextbullets"/>
      </w:pPr>
      <w:r w:rsidRPr="00B364CB">
        <w:t>Improved understanding of effects of increased hydrogen content on combustion and performance of end-use gas appliances</w:t>
      </w:r>
      <w:r w:rsidR="00AD09BA" w:rsidRPr="00B364CB">
        <w:t>;</w:t>
      </w:r>
    </w:p>
    <w:p w14:paraId="7D3ACD8D" w14:textId="4E74FDEF" w:rsidR="0023767B" w:rsidRPr="00B364CB" w:rsidRDefault="0023767B" w:rsidP="00733699">
      <w:pPr>
        <w:pStyle w:val="MAWPBodytextbullets"/>
      </w:pPr>
      <w:r w:rsidRPr="00B364CB">
        <w:t xml:space="preserve">PNR to support performance testing </w:t>
      </w:r>
      <w:r w:rsidR="001F3B60" w:rsidRPr="00B364CB">
        <w:t>standardisation</w:t>
      </w:r>
      <w:r w:rsidRPr="00B364CB">
        <w:t xml:space="preserve"> (</w:t>
      </w:r>
      <w:r w:rsidR="002F7C48" w:rsidRPr="00B364CB">
        <w:t>hydrogen</w:t>
      </w:r>
      <w:r w:rsidRPr="00B364CB">
        <w:t xml:space="preserve"> production, distribution, storage and usage</w:t>
      </w:r>
      <w:r w:rsidR="00AD09BA" w:rsidRPr="00B364CB">
        <w:t>);</w:t>
      </w:r>
    </w:p>
    <w:p w14:paraId="4EC2E373" w14:textId="509AB980" w:rsidR="0008295F" w:rsidRPr="00B364CB" w:rsidRDefault="0008295F" w:rsidP="00733699">
      <w:pPr>
        <w:pStyle w:val="MAWPBodytextbullets"/>
      </w:pPr>
      <w:r w:rsidRPr="00B364CB">
        <w:t>Valorisation and possibl</w:t>
      </w:r>
      <w:r w:rsidR="002F6C34" w:rsidRPr="00B364CB">
        <w:t>e</w:t>
      </w:r>
      <w:r w:rsidRPr="00B364CB">
        <w:t xml:space="preserve"> development research for metering of hydrogen and hydrogen/methane blends;</w:t>
      </w:r>
    </w:p>
    <w:p w14:paraId="53EC91CF" w14:textId="3A40B1D7" w:rsidR="0023767B" w:rsidRPr="00B364CB" w:rsidRDefault="0023767B" w:rsidP="00733699">
      <w:pPr>
        <w:pStyle w:val="MAWPBodytextbullets"/>
      </w:pPr>
      <w:r w:rsidRPr="00B364CB">
        <w:t xml:space="preserve">Support for development of standards associated with introduction of hydrogen in residential and commercial buildings (incl. measurement systems, information for first respondents, </w:t>
      </w:r>
      <w:r w:rsidR="004962A1" w:rsidRPr="00B364CB">
        <w:t>etc.</w:t>
      </w:r>
      <w:r w:rsidRPr="00B364CB">
        <w:t>).</w:t>
      </w:r>
    </w:p>
    <w:p w14:paraId="35A28825" w14:textId="66C14DA2" w:rsidR="0023767B" w:rsidRPr="00B364CB" w:rsidRDefault="0023767B" w:rsidP="00167FEC">
      <w:pPr>
        <w:pStyle w:val="MAWPHeadingStyleLevel4"/>
      </w:pPr>
      <w:r w:rsidRPr="00B364CB">
        <w:t>Coordination and support actions</w:t>
      </w:r>
    </w:p>
    <w:p w14:paraId="3B006069" w14:textId="598ABFD8" w:rsidR="0023767B" w:rsidRPr="00B364CB" w:rsidRDefault="0008295F" w:rsidP="00733699">
      <w:pPr>
        <w:pStyle w:val="MAWPBodytextbullets"/>
      </w:pPr>
      <w:r w:rsidRPr="00B364CB">
        <w:t>Support the development of fact-</w:t>
      </w:r>
      <w:r w:rsidR="0023767B" w:rsidRPr="00B364CB">
        <w:t>based legal and permitting regulations across Europe</w:t>
      </w:r>
      <w:r w:rsidR="00AD09BA" w:rsidRPr="00B364CB">
        <w:t>;</w:t>
      </w:r>
    </w:p>
    <w:p w14:paraId="187F7D41" w14:textId="28C3A822" w:rsidR="0023767B" w:rsidRPr="00B364CB" w:rsidRDefault="0023767B" w:rsidP="00733699">
      <w:pPr>
        <w:pStyle w:val="MAWPBodytextbullets"/>
      </w:pPr>
      <w:r w:rsidRPr="00B364CB">
        <w:t>Support the trainers of 1st and 2nd responders with regular updates from Early Stage Research, Development Research and Innovation actions</w:t>
      </w:r>
      <w:r w:rsidR="00AD09BA" w:rsidRPr="00B364CB">
        <w:t>;</w:t>
      </w:r>
    </w:p>
    <w:p w14:paraId="6DF4E9AC" w14:textId="7515F564" w:rsidR="0023767B" w:rsidRPr="00B364CB" w:rsidRDefault="0023767B" w:rsidP="00733699">
      <w:pPr>
        <w:pStyle w:val="MAWPBodytextbullets"/>
      </w:pPr>
      <w:r w:rsidRPr="00B364CB">
        <w:t>Development of an open and validated risk assessment toolkit, suitable to serve as a reference in standards</w:t>
      </w:r>
      <w:r w:rsidR="00AD09BA" w:rsidRPr="00B364CB">
        <w:t>;</w:t>
      </w:r>
    </w:p>
    <w:p w14:paraId="3375CD57" w14:textId="77777777" w:rsidR="0023767B" w:rsidRPr="00B364CB" w:rsidRDefault="0023767B" w:rsidP="00733699">
      <w:pPr>
        <w:pStyle w:val="MAWPBodytextbullets"/>
      </w:pPr>
      <w:r w:rsidRPr="00B364CB">
        <w:t>Continuous monitoring of the regulatory barriers.</w:t>
      </w:r>
    </w:p>
    <w:p w14:paraId="049BA50B" w14:textId="1260B494" w:rsidR="00E34C2F" w:rsidRPr="00B364CB" w:rsidRDefault="00AD3E54" w:rsidP="006802D3">
      <w:pPr>
        <w:pStyle w:val="Subtitle"/>
      </w:pPr>
      <w:bookmarkStart w:id="126" w:name="_Ref64056745"/>
      <w:bookmarkStart w:id="127" w:name="_Toc64640571"/>
      <w:bookmarkStart w:id="128" w:name="_Toc93907338"/>
      <w:r w:rsidRPr="00B364CB">
        <w:t>Hydrogen</w:t>
      </w:r>
      <w:r w:rsidR="00E34C2F" w:rsidRPr="00B364CB">
        <w:t xml:space="preserve"> valleys</w:t>
      </w:r>
      <w:bookmarkEnd w:id="126"/>
      <w:bookmarkEnd w:id="127"/>
      <w:bookmarkEnd w:id="128"/>
    </w:p>
    <w:p w14:paraId="1F673818" w14:textId="77777777" w:rsidR="00314F2A" w:rsidRPr="00B364CB" w:rsidRDefault="00314F2A" w:rsidP="00314F2A">
      <w:pPr>
        <w:pStyle w:val="MAWPHeadingStyleLevel4"/>
      </w:pPr>
      <w:r w:rsidRPr="00B364CB">
        <w:t>Rationale for support</w:t>
      </w:r>
    </w:p>
    <w:p w14:paraId="1C580349" w14:textId="0F28BF3F" w:rsidR="006F7C0F" w:rsidRPr="00B364CB" w:rsidRDefault="006F7C0F" w:rsidP="006F7C0F">
      <w:pPr>
        <w:pStyle w:val="MAWP-Bodytext"/>
      </w:pPr>
      <w:r w:rsidRPr="00B364CB">
        <w:t xml:space="preserve">Since 2014, FCH JU has pursued the concept of hydrogen territories, </w:t>
      </w:r>
      <w:r w:rsidR="00FB02CF" w:rsidRPr="00B364CB">
        <w:t xml:space="preserve">which </w:t>
      </w:r>
      <w:r w:rsidR="001F3B60" w:rsidRPr="00B364CB">
        <w:t>have</w:t>
      </w:r>
      <w:r w:rsidR="00FB02CF" w:rsidRPr="00B364CB">
        <w:t xml:space="preserve"> evolved in</w:t>
      </w:r>
      <w:r w:rsidR="008A58AC" w:rsidRPr="00B364CB">
        <w:t>to</w:t>
      </w:r>
      <w:r w:rsidR="00FB02CF" w:rsidRPr="00B364CB">
        <w:t xml:space="preserve"> the </w:t>
      </w:r>
      <w:r w:rsidR="001F3B60" w:rsidRPr="00B364CB">
        <w:t>most</w:t>
      </w:r>
      <w:r w:rsidR="00FB02CF" w:rsidRPr="00B364CB">
        <w:t xml:space="preserve"> recent</w:t>
      </w:r>
      <w:r w:rsidRPr="00B364CB">
        <w:t xml:space="preserve"> </w:t>
      </w:r>
      <w:r w:rsidR="008A58AC" w:rsidRPr="00B364CB">
        <w:t xml:space="preserve">concept of </w:t>
      </w:r>
      <w:r w:rsidRPr="00B364CB">
        <w:t>H</w:t>
      </w:r>
      <w:r w:rsidR="0069234F" w:rsidRPr="00B364CB">
        <w:t>ydrogen</w:t>
      </w:r>
      <w:r w:rsidRPr="00B364CB">
        <w:t xml:space="preserve"> Valleys. </w:t>
      </w:r>
      <w:r w:rsidR="008A58AC" w:rsidRPr="00B364CB">
        <w:t>A</w:t>
      </w:r>
      <w:r w:rsidRPr="00B364CB">
        <w:t xml:space="preserve"> </w:t>
      </w:r>
      <w:r w:rsidR="0069234F" w:rsidRPr="00B364CB">
        <w:t xml:space="preserve">Hydrogen Valley is a defined geographical area, city, region or industrial area where several hydrogen applications are combined together and integrated within an FCH ecosystem. </w:t>
      </w:r>
      <w:r w:rsidRPr="00B364CB">
        <w:t>The idea is to demonstrate how all the different parts of the use of hydrogen as an energy vector fit together in an integrated system approach. This concept has gained momentum and is now one of the main priorities of industry and the EC for scaling-up hydrogen deployments and creating interconnected hydrogen ecosystems across Europe.</w:t>
      </w:r>
      <w:r w:rsidR="00CA5DC0" w:rsidRPr="00CA5DC0">
        <w:t xml:space="preserve"> Hydrogen Valleys have started to form the first regional "hydrogen economies", as bottom-up steppingstones in the development of the New Hydrogen Economy overall. Now, </w:t>
      </w:r>
      <w:r w:rsidR="00CA5DC0" w:rsidRPr="00CA5DC0">
        <w:lastRenderedPageBreak/>
        <w:t>hydrogen valleys are going global, with new projects emerging worldwide</w:t>
      </w:r>
      <w:r w:rsidR="00CA5DC0">
        <w:rPr>
          <w:rStyle w:val="FootnoteReference"/>
        </w:rPr>
        <w:footnoteReference w:id="165"/>
      </w:r>
      <w:r w:rsidR="00CA5DC0">
        <w:t xml:space="preserve"> and </w:t>
      </w:r>
      <w:r w:rsidR="00CA5DC0" w:rsidRPr="00CA5DC0">
        <w:t>Mission Innovation members having committed to facilitate the delivery of at least 100 large-scale clean hydrogen valleys worldwide by 2030</w:t>
      </w:r>
      <w:r w:rsidR="00CA5DC0">
        <w:rPr>
          <w:rStyle w:val="FootnoteReference"/>
        </w:rPr>
        <w:footnoteReference w:id="166"/>
      </w:r>
      <w:r w:rsidR="00CA5DC0" w:rsidRPr="00CA5DC0">
        <w:t>.</w:t>
      </w:r>
    </w:p>
    <w:p w14:paraId="1ACDD11A" w14:textId="3EA34AC4" w:rsidR="00152D15" w:rsidRPr="00B364CB" w:rsidRDefault="00152D15" w:rsidP="00733699">
      <w:pPr>
        <w:pStyle w:val="MAWP-Bodytext"/>
      </w:pPr>
      <w:r w:rsidRPr="00B364CB">
        <w:t xml:space="preserve">The aim of supporting the creation of Hydrogen Valleys is to </w:t>
      </w:r>
      <w:r w:rsidR="00641BC8">
        <w:t>demonstrate the role of hydrogen in energy system integration</w:t>
      </w:r>
      <w:r w:rsidRPr="00B364CB">
        <w:t xml:space="preserve"> and synergies between the three pillars (production, storage &amp; distribution and end use applications), to identify the best business-cases and showcase the value proposition of hydrogen with emphasis on sectoral-integration</w:t>
      </w:r>
      <w:r w:rsidR="003027AD">
        <w:t>,</w:t>
      </w:r>
      <w:r w:rsidR="00E5038A">
        <w:t xml:space="preserve"> while applying existing regulations</w:t>
      </w:r>
      <w:r w:rsidRPr="00B364CB">
        <w:t xml:space="preserve">. </w:t>
      </w:r>
    </w:p>
    <w:p w14:paraId="64DB9C79" w14:textId="71EE8476" w:rsidR="00152D15" w:rsidRPr="00B364CB" w:rsidRDefault="00152D15" w:rsidP="00733699">
      <w:pPr>
        <w:pStyle w:val="MAWP-Bodytext"/>
      </w:pPr>
      <w:r w:rsidRPr="00B364CB">
        <w:t>The emphasis is not on the technology development of an application</w:t>
      </w:r>
      <w:r w:rsidR="003027AD">
        <w:t>,</w:t>
      </w:r>
      <w:r w:rsidRPr="00B364CB">
        <w:t xml:space="preserve"> but on system integration of hydrogen production, its distribution and storage, and its subsequent valorisation as </w:t>
      </w:r>
      <w:r w:rsidR="008A58AC" w:rsidRPr="00B364CB">
        <w:t>an</w:t>
      </w:r>
      <w:r w:rsidRPr="00B364CB">
        <w:t xml:space="preserve"> energy vector in transport, as industrial feedstock </w:t>
      </w:r>
      <w:r w:rsidR="007379FC" w:rsidRPr="00B364CB">
        <w:t xml:space="preserve">for the production/upgrading of chemicals/fuels </w:t>
      </w:r>
      <w:r w:rsidRPr="00B364CB">
        <w:t xml:space="preserve">and/or in the electricity/gas grid. </w:t>
      </w:r>
    </w:p>
    <w:p w14:paraId="580EB97A" w14:textId="334423F0" w:rsidR="00152D15" w:rsidRPr="00B364CB" w:rsidRDefault="00152D15" w:rsidP="00733699">
      <w:pPr>
        <w:pStyle w:val="MAWP-Bodytext"/>
      </w:pPr>
      <w:r w:rsidRPr="00B364CB">
        <w:t xml:space="preserve">A Hydrogen Valley </w:t>
      </w:r>
      <w:r w:rsidR="00D414C9" w:rsidRPr="00B364CB">
        <w:t>should</w:t>
      </w:r>
      <w:r w:rsidRPr="00B364CB">
        <w:t xml:space="preserve"> </w:t>
      </w:r>
      <w:r w:rsidR="000A29FF">
        <w:t xml:space="preserve">not </w:t>
      </w:r>
      <w:r w:rsidRPr="00B364CB">
        <w:t>only demonstrate how hydrogen technologies work in synerg</w:t>
      </w:r>
      <w:r w:rsidR="008A58AC" w:rsidRPr="00B364CB">
        <w:t>y</w:t>
      </w:r>
      <w:r w:rsidRPr="00B364CB">
        <w:t xml:space="preserve">, </w:t>
      </w:r>
      <w:r w:rsidR="001B4744">
        <w:t xml:space="preserve">but </w:t>
      </w:r>
      <w:r w:rsidRPr="00B364CB">
        <w:t xml:space="preserve">it should also work </w:t>
      </w:r>
      <w:r w:rsidR="00D414C9" w:rsidRPr="00B364CB">
        <w:t>complementary</w:t>
      </w:r>
      <w:r w:rsidRPr="00B364CB">
        <w:t xml:space="preserve"> with (or reuse of) other elements: renewable production, gas infrastructure, electricity grid, batteries, etc.</w:t>
      </w:r>
    </w:p>
    <w:p w14:paraId="47EE7043" w14:textId="21BA5A27" w:rsidR="00152D15" w:rsidRPr="00B364CB" w:rsidRDefault="00152D15" w:rsidP="00733699">
      <w:pPr>
        <w:pStyle w:val="MAWP-Bodytext"/>
      </w:pPr>
      <w:r w:rsidRPr="00B364CB">
        <w:t xml:space="preserve">A key objective is to demonstrate the notion of “system efficiency and resilience”: it is not only the energy efficiency of a single application that matters but the overall energy and economic efficiency and resilience of the integrated system. </w:t>
      </w:r>
    </w:p>
    <w:p w14:paraId="2155863F" w14:textId="49B189AD" w:rsidR="00152D15" w:rsidRPr="00B364CB" w:rsidRDefault="00152D15" w:rsidP="00733699">
      <w:pPr>
        <w:pStyle w:val="MAWP-Bodytext"/>
      </w:pPr>
      <w:r w:rsidRPr="00B364CB">
        <w:t>Although for the sake of these demonstrations it c</w:t>
      </w:r>
      <w:r w:rsidR="00C91E32" w:rsidRPr="00B364CB">
        <w:t>an</w:t>
      </w:r>
      <w:r w:rsidRPr="00B364CB">
        <w:t xml:space="preserve"> be foreseen that in the early stages low carbon </w:t>
      </w:r>
      <w:r w:rsidR="00FE4AA4" w:rsidRPr="00B364CB">
        <w:t xml:space="preserve">hydrogen </w:t>
      </w:r>
      <w:r w:rsidRPr="00B364CB">
        <w:t>could be use</w:t>
      </w:r>
      <w:r w:rsidR="00FE4AA4" w:rsidRPr="00B364CB">
        <w:t>d</w:t>
      </w:r>
      <w:r w:rsidR="00C91E32" w:rsidRPr="00B364CB">
        <w:t>, the objective is to move to renewable hydrogen as an ultimate objective</w:t>
      </w:r>
      <w:r w:rsidR="00EC2612" w:rsidRPr="00B364CB">
        <w:t>.</w:t>
      </w:r>
      <w:r w:rsidRPr="00B364CB">
        <w:t xml:space="preserve"> </w:t>
      </w:r>
      <w:r w:rsidR="00C91E32" w:rsidRPr="00B364CB">
        <w:t>CCS, SMR or</w:t>
      </w:r>
      <w:r w:rsidRPr="00B364CB">
        <w:t xml:space="preserve"> coal gasification</w:t>
      </w:r>
      <w:r w:rsidR="00C91E32" w:rsidRPr="00B364CB">
        <w:t xml:space="preserve"> investments</w:t>
      </w:r>
      <w:r w:rsidRPr="00B364CB">
        <w:t xml:space="preserve"> are excluded from partnership funding.</w:t>
      </w:r>
    </w:p>
    <w:p w14:paraId="690BD26F" w14:textId="61D1E5E0" w:rsidR="00152D15" w:rsidRPr="00B364CB" w:rsidRDefault="00152D15" w:rsidP="00167FEC">
      <w:pPr>
        <w:pStyle w:val="MAWPHeadingStyleLevel4"/>
      </w:pPr>
      <w:r w:rsidRPr="00B364CB">
        <w:t>State of the art</w:t>
      </w:r>
    </w:p>
    <w:p w14:paraId="0594EB55" w14:textId="31617345" w:rsidR="00152D15" w:rsidRPr="00B364CB" w:rsidRDefault="00152D15" w:rsidP="00FF59DB">
      <w:pPr>
        <w:pStyle w:val="MAWP-Bodytext"/>
      </w:pPr>
      <w:r w:rsidRPr="00B364CB">
        <w:t>Currently, the FCH</w:t>
      </w:r>
      <w:r w:rsidR="001F3B60" w:rsidRPr="00B364CB">
        <w:t xml:space="preserve"> </w:t>
      </w:r>
      <w:r w:rsidR="00295087" w:rsidRPr="00B364CB">
        <w:t>2</w:t>
      </w:r>
      <w:r w:rsidRPr="00B364CB">
        <w:t xml:space="preserve"> JU supports three hydrogen territories</w:t>
      </w:r>
      <w:r w:rsidR="006F7C0F" w:rsidRPr="00B364CB">
        <w:t>,</w:t>
      </w:r>
      <w:r w:rsidR="006F7C0F" w:rsidRPr="00B364CB">
        <w:rPr>
          <w:rStyle w:val="FootnoteReference"/>
        </w:rPr>
        <w:footnoteReference w:id="167"/>
      </w:r>
      <w:r w:rsidR="00F46AF1" w:rsidRPr="00B364CB">
        <w:t xml:space="preserve"> in the norther Scottish islands of Orkney, the northern regions of </w:t>
      </w:r>
      <w:r w:rsidR="006F7C0F" w:rsidRPr="00B364CB">
        <w:t>t</w:t>
      </w:r>
      <w:r w:rsidR="00F46AF1" w:rsidRPr="00B364CB">
        <w:t>he Netherlands an</w:t>
      </w:r>
      <w:r w:rsidR="006F7C0F" w:rsidRPr="00B364CB">
        <w:t>d the island of Majorca (Spain)</w:t>
      </w:r>
      <w:r w:rsidRPr="00B364CB">
        <w:t>. Although they vary significantly in size, they all have in common integrating hydrogen production from renewable electricity. In some cases, this electricity would have been curtailed and the integration of hydrogen into the energy system is avoiding this</w:t>
      </w:r>
      <w:r w:rsidR="005F72BA">
        <w:t>, defying the common metrics for energy efficiency</w:t>
      </w:r>
      <w:r w:rsidRPr="00B364CB">
        <w:t xml:space="preserve">. Also common to all of them is the search for various storage and distribution solutions that </w:t>
      </w:r>
      <w:r w:rsidR="008A58AC" w:rsidRPr="00B364CB">
        <w:t xml:space="preserve">are </w:t>
      </w:r>
      <w:r w:rsidRPr="00B364CB">
        <w:t xml:space="preserve">really specific </w:t>
      </w:r>
      <w:r w:rsidR="005F72BA">
        <w:t xml:space="preserve">to each </w:t>
      </w:r>
      <w:r w:rsidRPr="00B364CB">
        <w:t>territory, the amount of hydrogen produced</w:t>
      </w:r>
      <w:r w:rsidR="00FE4AA4" w:rsidRPr="00B364CB">
        <w:t>, the type of end</w:t>
      </w:r>
      <w:r w:rsidR="00A92BE8">
        <w:t xml:space="preserve"> </w:t>
      </w:r>
      <w:r w:rsidR="00FE4AA4" w:rsidRPr="00B364CB">
        <w:t>use</w:t>
      </w:r>
      <w:r w:rsidRPr="00B364CB">
        <w:t xml:space="preserve"> and the distance to the end uses. And finally, in the three supported cases, different end uses from various sectors are represented. The main difference between the projects lays in the size/amount of hydrogen used. But it is clear that in all cases, the</w:t>
      </w:r>
      <w:r w:rsidR="008A58AC" w:rsidRPr="00B364CB">
        <w:t xml:space="preserve">re are </w:t>
      </w:r>
      <w:r w:rsidRPr="00B364CB">
        <w:t xml:space="preserve">synergies between the different applications and the holistic virtues of the </w:t>
      </w:r>
      <w:r w:rsidR="008643E6" w:rsidRPr="00B364CB">
        <w:t>overall</w:t>
      </w:r>
      <w:r w:rsidRPr="00B364CB">
        <w:t xml:space="preserve"> system. </w:t>
      </w:r>
    </w:p>
    <w:p w14:paraId="2A5F5BE4" w14:textId="0F620109" w:rsidR="00F46AF1" w:rsidRPr="00B364CB" w:rsidRDefault="00F46AF1" w:rsidP="00FF59DB">
      <w:pPr>
        <w:pStyle w:val="MAWP-Bodytext"/>
      </w:pPr>
      <w:r w:rsidRPr="00B364CB">
        <w:t xml:space="preserve">Additionally the </w:t>
      </w:r>
      <w:r w:rsidR="007D6E3E">
        <w:t xml:space="preserve">Mission Innovation </w:t>
      </w:r>
      <w:r w:rsidRPr="00B364CB">
        <w:t>Hy</w:t>
      </w:r>
      <w:r w:rsidRPr="00734CF7">
        <w:t>drogen Valley Platform</w:t>
      </w:r>
      <w:r w:rsidR="00736FF5" w:rsidRPr="00734CF7">
        <w:t>,</w:t>
      </w:r>
      <w:r w:rsidR="00403AA5" w:rsidRPr="00734CF7">
        <w:t xml:space="preserve"> </w:t>
      </w:r>
      <w:r w:rsidR="00734CF7" w:rsidRPr="00734CF7">
        <w:t xml:space="preserve">developed by the Fuel Cells and </w:t>
      </w:r>
      <w:r w:rsidR="00734CF7" w:rsidRPr="00734CF7">
        <w:lastRenderedPageBreak/>
        <w:t>Hydrogen Joint Undertaking</w:t>
      </w:r>
      <w:r w:rsidR="00FB07E4" w:rsidRPr="00734CF7">
        <w:t>,</w:t>
      </w:r>
      <w:r w:rsidRPr="00734CF7">
        <w:t xml:space="preserve"> aims to create a global collaboration and go-to-platform for all information on large-scale hydrogen flagship projects</w:t>
      </w:r>
      <w:r w:rsidR="007D6E3E">
        <w:t xml:space="preserve"> around the world</w:t>
      </w:r>
      <w:r w:rsidRPr="00734CF7">
        <w:t>. By promoting the emergence and implementation of value chain integrating</w:t>
      </w:r>
      <w:r w:rsidRPr="00B364CB">
        <w:t xml:space="preserve"> hydrogen projects, as well as raising awareness among policy makers, it aims to facilitate the clean energy transition. Dedicated to all current and future hydrogen project developers, it will help them to gather meaningful information from experienced peers and will promote collaboration among </w:t>
      </w:r>
      <w:r w:rsidR="00B025AF" w:rsidRPr="00B364CB">
        <w:t>them</w:t>
      </w:r>
      <w:r w:rsidRPr="00B364CB">
        <w:t>.</w:t>
      </w:r>
    </w:p>
    <w:p w14:paraId="3D14CAC9" w14:textId="66B16EBC" w:rsidR="00152D15" w:rsidRPr="00B364CB" w:rsidRDefault="008839B3" w:rsidP="00167FEC">
      <w:pPr>
        <w:pStyle w:val="MAWPHeadingStyleLevel4"/>
        <w:rPr>
          <w:lang w:eastAsia="en-GB"/>
        </w:rPr>
      </w:pPr>
      <w:r w:rsidRPr="00B364CB">
        <w:rPr>
          <w:lang w:eastAsia="en-GB"/>
        </w:rPr>
        <w:t>Objectives</w:t>
      </w:r>
    </w:p>
    <w:p w14:paraId="61B44F9E" w14:textId="77777777" w:rsidR="00152D15" w:rsidRPr="00B364CB" w:rsidRDefault="00152D15" w:rsidP="00FF59DB">
      <w:pPr>
        <w:pStyle w:val="MAWP-Bodytext"/>
      </w:pPr>
      <w:r w:rsidRPr="00B364CB">
        <w:t xml:space="preserve">In terms of innovation the projects to be developed should seek: </w:t>
      </w:r>
    </w:p>
    <w:p w14:paraId="5D5F4EFE" w14:textId="423E04FF" w:rsidR="00152D15" w:rsidRPr="00B364CB" w:rsidRDefault="00152D15" w:rsidP="002256F6">
      <w:pPr>
        <w:pStyle w:val="MAWPBodyTextNumbered"/>
        <w:numPr>
          <w:ilvl w:val="0"/>
          <w:numId w:val="36"/>
        </w:numPr>
      </w:pPr>
      <w:r w:rsidRPr="00B364CB">
        <w:t xml:space="preserve">System integration: what is expected is not innovation in developing one technology but in integrating several elements together to </w:t>
      </w:r>
      <w:r w:rsidR="00FE4AA4" w:rsidRPr="00B364CB">
        <w:t xml:space="preserve">improve </w:t>
      </w:r>
      <w:r w:rsidRPr="00B364CB">
        <w:t xml:space="preserve">overall </w:t>
      </w:r>
      <w:r w:rsidR="00B025AF" w:rsidRPr="00B364CB">
        <w:t>synergies</w:t>
      </w:r>
      <w:r w:rsidR="00554A52">
        <w:t xml:space="preserve"> and facilitate sector coupling</w:t>
      </w:r>
      <w:r w:rsidR="00AD09BA" w:rsidRPr="00B364CB">
        <w:t>;</w:t>
      </w:r>
    </w:p>
    <w:p w14:paraId="2C664403" w14:textId="424B2FC0" w:rsidR="00152D15" w:rsidRDefault="00152D15" w:rsidP="002256F6">
      <w:pPr>
        <w:pStyle w:val="MAWPBodyTextNumbered"/>
        <w:numPr>
          <w:ilvl w:val="0"/>
          <w:numId w:val="36"/>
        </w:numPr>
      </w:pPr>
      <w:r w:rsidRPr="00B364CB">
        <w:t xml:space="preserve">System efficiency: what is expected is the </w:t>
      </w:r>
      <w:r w:rsidR="00DF7359" w:rsidRPr="00B364CB">
        <w:t xml:space="preserve">improvement of </w:t>
      </w:r>
      <w:r w:rsidRPr="00B364CB">
        <w:t>overall energy and economic efficiency of the integrated system</w:t>
      </w:r>
      <w:r w:rsidR="00AD09BA" w:rsidRPr="00B364CB">
        <w:t xml:space="preserve">; </w:t>
      </w:r>
    </w:p>
    <w:p w14:paraId="5973B536" w14:textId="270A0688" w:rsidR="00641BC8" w:rsidRPr="00B364CB" w:rsidRDefault="00641BC8" w:rsidP="002256F6">
      <w:pPr>
        <w:pStyle w:val="MAWPBodyTextNumbered"/>
        <w:numPr>
          <w:ilvl w:val="0"/>
          <w:numId w:val="36"/>
        </w:numPr>
      </w:pPr>
      <w:r>
        <w:t xml:space="preserve">Improved security and resilience of the energy system, </w:t>
      </w:r>
      <w:r w:rsidR="00F305E9">
        <w:t>e.g.</w:t>
      </w:r>
      <w:r>
        <w:t xml:space="preserve"> via hydrogen production using locally available renewable energy sources</w:t>
      </w:r>
      <w:r w:rsidR="007D6E3E">
        <w:t>;</w:t>
      </w:r>
    </w:p>
    <w:p w14:paraId="6A4BE37B" w14:textId="459F5C79" w:rsidR="00152D15" w:rsidRPr="00B364CB" w:rsidRDefault="00152D15" w:rsidP="002256F6">
      <w:pPr>
        <w:pStyle w:val="MAWPBodyTextNumbered"/>
        <w:numPr>
          <w:ilvl w:val="0"/>
          <w:numId w:val="36"/>
        </w:numPr>
      </w:pPr>
      <w:r w:rsidRPr="00B364CB">
        <w:t>Market creation: demonstration of new market for hydrogen, especially when applications are used in synergies</w:t>
      </w:r>
      <w:r w:rsidR="00AD09BA" w:rsidRPr="00B364CB">
        <w:t xml:space="preserve">; </w:t>
      </w:r>
    </w:p>
    <w:p w14:paraId="7C62CEF4" w14:textId="5AB236E6" w:rsidR="00152D15" w:rsidRPr="00B364CB" w:rsidRDefault="00152D15" w:rsidP="002256F6">
      <w:pPr>
        <w:pStyle w:val="MAWPBodyTextNumbered"/>
        <w:numPr>
          <w:ilvl w:val="0"/>
          <w:numId w:val="36"/>
        </w:numPr>
      </w:pPr>
      <w:r w:rsidRPr="00B364CB">
        <w:t xml:space="preserve">Complementarity </w:t>
      </w:r>
      <w:r w:rsidR="00AD09BA" w:rsidRPr="00B364CB">
        <w:t xml:space="preserve">of </w:t>
      </w:r>
      <w:r w:rsidR="009650CC" w:rsidRPr="00B364CB">
        <w:t xml:space="preserve">hydrogen </w:t>
      </w:r>
      <w:r w:rsidRPr="00B364CB">
        <w:t>with RES</w:t>
      </w:r>
      <w:r w:rsidR="009650CC" w:rsidRPr="00B364CB">
        <w:t xml:space="preserve">, </w:t>
      </w:r>
      <w:r w:rsidRPr="00B364CB">
        <w:t>integration with other technologies, existing infrastructure, etc</w:t>
      </w:r>
      <w:r w:rsidR="009650CC" w:rsidRPr="00B364CB">
        <w:t>;</w:t>
      </w:r>
    </w:p>
    <w:p w14:paraId="3592ADA1" w14:textId="46A94940" w:rsidR="0043733D" w:rsidRPr="002F0A8F" w:rsidRDefault="0043733D" w:rsidP="002256F6">
      <w:pPr>
        <w:pStyle w:val="MAWPBodyTextNumbered"/>
        <w:numPr>
          <w:ilvl w:val="0"/>
          <w:numId w:val="36"/>
        </w:numPr>
      </w:pPr>
      <w:r>
        <w:t>Assessment</w:t>
      </w:r>
      <w:r w:rsidRPr="00641BC8">
        <w:t xml:space="preserve"> of </w:t>
      </w:r>
      <w:r>
        <w:t xml:space="preserve">the </w:t>
      </w:r>
      <w:r w:rsidRPr="00641BC8">
        <w:t xml:space="preserve">availability and affordability of </w:t>
      </w:r>
      <w:r>
        <w:t xml:space="preserve">clean </w:t>
      </w:r>
      <w:r w:rsidR="00F305E9">
        <w:t xml:space="preserve">(pollution free) </w:t>
      </w:r>
      <w:r w:rsidRPr="00641BC8">
        <w:t>energy</w:t>
      </w:r>
      <w:r>
        <w:t xml:space="preserve"> provision </w:t>
      </w:r>
      <w:r w:rsidRPr="00641BC8">
        <w:t xml:space="preserve"> for industry and cities uses</w:t>
      </w:r>
      <w:r w:rsidR="007D6E3E">
        <w:t>;</w:t>
      </w:r>
      <w:r w:rsidRPr="00641BC8">
        <w:t xml:space="preserve">  </w:t>
      </w:r>
    </w:p>
    <w:p w14:paraId="75AA6EB5" w14:textId="662B8E01" w:rsidR="00152D15" w:rsidRPr="00B364CB" w:rsidRDefault="00152D15" w:rsidP="002256F6">
      <w:pPr>
        <w:pStyle w:val="MAWPBodyTextNumbered"/>
        <w:numPr>
          <w:ilvl w:val="0"/>
          <w:numId w:val="36"/>
        </w:numPr>
      </w:pPr>
      <w:r w:rsidRPr="00B364CB">
        <w:t>Mutualisation of production or distribution and storage, assuming decentralisation as key parameter</w:t>
      </w:r>
      <w:r w:rsidR="009650CC" w:rsidRPr="00B364CB">
        <w:t>;</w:t>
      </w:r>
    </w:p>
    <w:p w14:paraId="26661090" w14:textId="056A75BA" w:rsidR="00152D15" w:rsidRPr="00B364CB" w:rsidRDefault="00B025AF" w:rsidP="002256F6">
      <w:pPr>
        <w:pStyle w:val="MAWPBodyTextNumbered"/>
        <w:numPr>
          <w:ilvl w:val="0"/>
          <w:numId w:val="36"/>
        </w:numPr>
      </w:pPr>
      <w:r w:rsidRPr="00B364CB">
        <w:t xml:space="preserve">Help set or test </w:t>
      </w:r>
      <w:r w:rsidR="00FB02CF" w:rsidRPr="00B364CB">
        <w:t xml:space="preserve">(local?) </w:t>
      </w:r>
      <w:r w:rsidRPr="00B364CB">
        <w:t>regulation requirements</w:t>
      </w:r>
      <w:r w:rsidR="007D6E3E">
        <w:t>;</w:t>
      </w:r>
    </w:p>
    <w:p w14:paraId="4627815B" w14:textId="60331864" w:rsidR="00F73D4F" w:rsidRPr="00554A52" w:rsidRDefault="00F73D4F" w:rsidP="002256F6">
      <w:pPr>
        <w:pStyle w:val="MAWPBodyTextNumbered"/>
        <w:numPr>
          <w:ilvl w:val="0"/>
          <w:numId w:val="36"/>
        </w:numPr>
      </w:pPr>
      <w:r w:rsidRPr="00B364CB">
        <w:t xml:space="preserve">Increase the </w:t>
      </w:r>
      <w:r w:rsidR="009F26B9">
        <w:t>k</w:t>
      </w:r>
      <w:r w:rsidRPr="00B364CB">
        <w:t xml:space="preserve">nowledge </w:t>
      </w:r>
      <w:r w:rsidR="009F26B9" w:rsidRPr="00554A52">
        <w:t>m</w:t>
      </w:r>
      <w:r w:rsidRPr="00554A52">
        <w:t>anagement with assessment of the socio-economic and environmental impacts</w:t>
      </w:r>
      <w:r w:rsidR="0067461D" w:rsidRPr="00554A52">
        <w:t xml:space="preserve">, including </w:t>
      </w:r>
      <w:r w:rsidR="0067461D" w:rsidRPr="003027AD">
        <w:t>the concept of digital twin assuring an effective monitor and optimization strategy for the operation and further development of the valley</w:t>
      </w:r>
      <w:r w:rsidR="007545E3">
        <w:t>;</w:t>
      </w:r>
    </w:p>
    <w:p w14:paraId="0216F7A7" w14:textId="74042B98" w:rsidR="00F73D4F" w:rsidRPr="00641BC8" w:rsidRDefault="00F73D4F" w:rsidP="002256F6">
      <w:pPr>
        <w:pStyle w:val="MAWPBodyTextNumbered"/>
        <w:numPr>
          <w:ilvl w:val="0"/>
          <w:numId w:val="26"/>
        </w:numPr>
      </w:pPr>
      <w:r w:rsidRPr="00B364CB">
        <w:rPr>
          <w:rFonts w:cstheme="minorHAnsi"/>
        </w:rPr>
        <w:t xml:space="preserve">Development of public awareness of hydrogen technologies </w:t>
      </w:r>
      <w:r w:rsidR="0043733D">
        <w:rPr>
          <w:rFonts w:cstheme="minorHAnsi"/>
        </w:rPr>
        <w:t>in</w:t>
      </w:r>
      <w:r w:rsidR="00F305E9">
        <w:rPr>
          <w:rFonts w:cstheme="minorHAnsi"/>
        </w:rPr>
        <w:t xml:space="preserve">cluding contributions from </w:t>
      </w:r>
      <w:r w:rsidR="00F305E9" w:rsidRPr="00F305E9">
        <w:rPr>
          <w:rFonts w:cstheme="minorHAnsi"/>
        </w:rPr>
        <w:t>Social Science and Humanities</w:t>
      </w:r>
      <w:r w:rsidR="007545E3">
        <w:rPr>
          <w:rFonts w:cstheme="minorHAnsi"/>
        </w:rPr>
        <w:t xml:space="preserve"> when</w:t>
      </w:r>
      <w:r w:rsidR="00F305E9">
        <w:rPr>
          <w:rFonts w:cstheme="minorHAnsi"/>
        </w:rPr>
        <w:t xml:space="preserve"> relevant</w:t>
      </w:r>
      <w:r w:rsidR="007545E3">
        <w:rPr>
          <w:rFonts w:cstheme="minorHAnsi"/>
        </w:rPr>
        <w:t>.</w:t>
      </w:r>
    </w:p>
    <w:p w14:paraId="52946418" w14:textId="55912A21" w:rsidR="000A73E7" w:rsidRPr="00B364CB" w:rsidRDefault="000A73E7" w:rsidP="009D707B">
      <w:pPr>
        <w:pStyle w:val="MAWPHeadingStyleLevel4"/>
      </w:pPr>
      <w:r w:rsidRPr="00B364CB">
        <w:t xml:space="preserve">R&amp;D </w:t>
      </w:r>
      <w:r w:rsidRPr="00B364CB">
        <w:rPr>
          <w:lang w:eastAsia="en-GB"/>
        </w:rPr>
        <w:t>Priorities</w:t>
      </w:r>
      <w:r w:rsidRPr="00B364CB">
        <w:t xml:space="preserve"> </w:t>
      </w:r>
    </w:p>
    <w:p w14:paraId="34963310" w14:textId="63241DD2" w:rsidR="00152D15" w:rsidRPr="00B364CB" w:rsidRDefault="00152D15" w:rsidP="00FF59DB">
      <w:pPr>
        <w:pStyle w:val="MAWP-Bodytext"/>
      </w:pPr>
      <w:r w:rsidRPr="00B364CB">
        <w:t xml:space="preserve">When defining </w:t>
      </w:r>
      <w:r w:rsidR="007545E3">
        <w:t xml:space="preserve">the scope of </w:t>
      </w:r>
      <w:r w:rsidRPr="00B364CB">
        <w:t xml:space="preserve">a valley, these should combine </w:t>
      </w:r>
      <w:r w:rsidR="00B025AF" w:rsidRPr="00B364CB">
        <w:t>production, hydrogen logistics or distribution and</w:t>
      </w:r>
      <w:r w:rsidR="003027AD" w:rsidRPr="00B364CB">
        <w:t xml:space="preserve"> its use </w:t>
      </w:r>
      <w:r w:rsidR="003027AD">
        <w:t>in several sectors, like</w:t>
      </w:r>
      <w:r w:rsidR="003027AD" w:rsidRPr="00B364CB">
        <w:t xml:space="preserve"> in transport and/or stationary/industrial applications</w:t>
      </w:r>
      <w:r w:rsidR="001F3B60" w:rsidRPr="00B364CB">
        <w:t xml:space="preserve">. </w:t>
      </w:r>
      <w:r w:rsidR="00260264" w:rsidRPr="00B364CB">
        <w:t>Systems modelling and simulation can generate different integration scenarios to support decision-making, including the integration with renewables, existing infrastructures, etc.</w:t>
      </w:r>
      <w:r w:rsidR="00B025AF" w:rsidRPr="00B364CB">
        <w:t xml:space="preserve"> </w:t>
      </w:r>
      <w:r w:rsidR="00641BC8">
        <w:t>Some of t</w:t>
      </w:r>
      <w:r w:rsidR="00641BC8" w:rsidRPr="00B364CB">
        <w:t xml:space="preserve">he </w:t>
      </w:r>
      <w:r w:rsidR="00641BC8">
        <w:t xml:space="preserve">larger </w:t>
      </w:r>
      <w:r w:rsidRPr="00B364CB">
        <w:t>projects are expected to be</w:t>
      </w:r>
      <w:r w:rsidR="004D51EA" w:rsidRPr="00B364CB">
        <w:t xml:space="preserve"> r</w:t>
      </w:r>
      <w:r w:rsidR="006F7C0F" w:rsidRPr="00B364CB">
        <w:t>eaching</w:t>
      </w:r>
      <w:r w:rsidR="004D51EA" w:rsidRPr="00B364CB">
        <w:t xml:space="preserve"> the €</w:t>
      </w:r>
      <w:r w:rsidRPr="00B364CB">
        <w:t>100 million or more</w:t>
      </w:r>
      <w:r w:rsidR="004D51EA" w:rsidRPr="00B364CB">
        <w:t xml:space="preserve"> total costs</w:t>
      </w:r>
      <w:r w:rsidRPr="00B364CB">
        <w:t xml:space="preserve">. However, the financial contribution requested from the </w:t>
      </w:r>
      <w:r w:rsidR="00831A2C">
        <w:t xml:space="preserve">Clean Hydrogen </w:t>
      </w:r>
      <w:r w:rsidR="00F52C11" w:rsidRPr="00B364CB">
        <w:t>JU</w:t>
      </w:r>
      <w:r w:rsidRPr="00B364CB">
        <w:t xml:space="preserve"> should be limited to 20-30%, with the additional expenditure coming from the project promoters or from other sources. An important element of these hydrogen valleys would be the regional and national political support. </w:t>
      </w:r>
    </w:p>
    <w:p w14:paraId="0131C2FC" w14:textId="5068758E" w:rsidR="00152D15" w:rsidRPr="00B364CB" w:rsidRDefault="00152D15" w:rsidP="00FF59DB">
      <w:pPr>
        <w:pStyle w:val="MAWP-Bodytext"/>
      </w:pPr>
      <w:r w:rsidRPr="00B364CB">
        <w:t xml:space="preserve">A very important aspect to be expected of the valleys is their replicability and continuity/future expansion. Already in the previous </w:t>
      </w:r>
      <w:r w:rsidR="008B064F" w:rsidRPr="00B364CB">
        <w:t>FCH 2 JU Programme</w:t>
      </w:r>
      <w:r w:rsidRPr="00B364CB">
        <w:t xml:space="preserve">, this aspect has been key in the </w:t>
      </w:r>
      <w:r w:rsidRPr="00B364CB">
        <w:lastRenderedPageBreak/>
        <w:t xml:space="preserve">selection of the appropriate projects and they have been requested to show initiatives and activities to facilitate the replication of their concept in other territories. </w:t>
      </w:r>
      <w:r w:rsidR="00C00920" w:rsidRPr="00B364CB">
        <w:t>The availability of modelling tools and the different scenarios developed in previous project will ease the replicability assessment.</w:t>
      </w:r>
      <w:r w:rsidR="001F3B60" w:rsidRPr="00B364CB">
        <w:t xml:space="preserve"> </w:t>
      </w:r>
      <w:r w:rsidRPr="00B364CB">
        <w:t xml:space="preserve">In the current </w:t>
      </w:r>
      <w:r w:rsidR="008643E6" w:rsidRPr="00B364CB">
        <w:t>Programme</w:t>
      </w:r>
      <w:r w:rsidRPr="00B364CB">
        <w:t>, the valleys should be defined such that it is technically and economically feasible to reproduce them across Europe</w:t>
      </w:r>
      <w:r w:rsidR="00EA3131" w:rsidRPr="00B364CB">
        <w:t xml:space="preserve"> (spill-over effect)</w:t>
      </w:r>
      <w:r w:rsidR="001F3B60" w:rsidRPr="00B364CB">
        <w:t>.</w:t>
      </w:r>
      <w:r w:rsidRPr="00B364CB">
        <w:t xml:space="preserve"> As for their continuity and expansion, these projects should be defined such that they will not be dismantled once the </w:t>
      </w:r>
      <w:r w:rsidR="00DF7359" w:rsidRPr="00B364CB">
        <w:t>funding ends</w:t>
      </w:r>
      <w:r w:rsidRPr="00B364CB">
        <w:t>, but rather that they will be just the seed for further developments.</w:t>
      </w:r>
    </w:p>
    <w:p w14:paraId="6D11ECAD" w14:textId="44918560" w:rsidR="00152D15" w:rsidRPr="00B364CB" w:rsidRDefault="00152D15" w:rsidP="00FF59DB">
      <w:pPr>
        <w:pStyle w:val="MAWP-Bodytext"/>
      </w:pPr>
      <w:r w:rsidRPr="00B364CB">
        <w:t xml:space="preserve">Some examples of </w:t>
      </w:r>
      <w:r w:rsidR="002F7C48" w:rsidRPr="00B364CB">
        <w:t>hydrogen</w:t>
      </w:r>
      <w:r w:rsidRPr="00B364CB">
        <w:t xml:space="preserve"> valleys could be: </w:t>
      </w:r>
    </w:p>
    <w:p w14:paraId="63B18C5A" w14:textId="200F08C9" w:rsidR="00152D15" w:rsidRPr="00B364CB" w:rsidRDefault="00152D15" w:rsidP="00FF59DB">
      <w:pPr>
        <w:pStyle w:val="MAWPBodytextbullets"/>
      </w:pPr>
      <w:r w:rsidRPr="00B364CB">
        <w:rPr>
          <w:bCs/>
        </w:rPr>
        <w:t xml:space="preserve">Ports with combined production, transport and use of hydrogen for various applications such as </w:t>
      </w:r>
      <w:r w:rsidRPr="00B364CB">
        <w:t>ship fuel, port operation (material handling/power use at berth</w:t>
      </w:r>
      <w:r w:rsidR="00A14D06" w:rsidRPr="00B364CB">
        <w:t>, etc</w:t>
      </w:r>
      <w:r w:rsidRPr="00B364CB">
        <w:t>), transport (possibly import/export) and storage, the port industrial hinterland and/or logistical hub (truck or trains</w:t>
      </w:r>
      <w:r w:rsidR="009650CC" w:rsidRPr="00B364CB">
        <w:t>);</w:t>
      </w:r>
    </w:p>
    <w:p w14:paraId="3F710D41" w14:textId="3EFDD89A" w:rsidR="00B577BB" w:rsidRPr="00B577BB" w:rsidRDefault="000A29FF" w:rsidP="00B577BB">
      <w:pPr>
        <w:pStyle w:val="MAWPBodytextbullets"/>
        <w:spacing w:after="0"/>
      </w:pPr>
      <w:r w:rsidRPr="00B364CB">
        <w:rPr>
          <w:bCs/>
        </w:rPr>
        <w:t>Airports with combined production, transport</w:t>
      </w:r>
      <w:r>
        <w:rPr>
          <w:bCs/>
        </w:rPr>
        <w:t>, liquefaction, storage, distribution</w:t>
      </w:r>
      <w:r w:rsidRPr="00B364CB">
        <w:rPr>
          <w:bCs/>
        </w:rPr>
        <w:t xml:space="preserve"> and use of hydrogen</w:t>
      </w:r>
      <w:r w:rsidR="00B577BB">
        <w:rPr>
          <w:bCs/>
        </w:rPr>
        <w:t>:</w:t>
      </w:r>
      <w:r w:rsidRPr="00B364CB">
        <w:rPr>
          <w:bCs/>
        </w:rPr>
        <w:t xml:space="preserve"> </w:t>
      </w:r>
    </w:p>
    <w:p w14:paraId="0D32AE63" w14:textId="77777777" w:rsidR="00B577BB" w:rsidRDefault="000A29FF" w:rsidP="002256F6">
      <w:pPr>
        <w:pStyle w:val="MAWPBodytextbullets"/>
        <w:numPr>
          <w:ilvl w:val="1"/>
          <w:numId w:val="24"/>
        </w:numPr>
        <w:spacing w:after="0"/>
        <w:ind w:left="1434" w:hanging="357"/>
      </w:pPr>
      <w:r w:rsidRPr="00B364CB">
        <w:rPr>
          <w:bCs/>
        </w:rPr>
        <w:t>for</w:t>
      </w:r>
      <w:r w:rsidRPr="00B364CB">
        <w:rPr>
          <w:b/>
          <w:bCs/>
        </w:rPr>
        <w:t xml:space="preserve"> </w:t>
      </w:r>
      <w:r w:rsidRPr="00B364CB">
        <w:t>aviation fuel (hydrogen as a fuel</w:t>
      </w:r>
      <w:r>
        <w:t>;</w:t>
      </w:r>
      <w:r w:rsidRPr="00B364CB">
        <w:t xml:space="preserve"> hydrogen made fuels</w:t>
      </w:r>
      <w:r>
        <w:t>; hydrogen fuel cells</w:t>
      </w:r>
      <w:r w:rsidRPr="00B364CB">
        <w:t xml:space="preserve">), </w:t>
      </w:r>
    </w:p>
    <w:p w14:paraId="2AEEC2FA" w14:textId="393A476A" w:rsidR="00B577BB" w:rsidRDefault="000A29FF" w:rsidP="002256F6">
      <w:pPr>
        <w:pStyle w:val="MAWPBodytextbullets"/>
        <w:numPr>
          <w:ilvl w:val="1"/>
          <w:numId w:val="24"/>
        </w:numPr>
        <w:spacing w:after="0"/>
        <w:ind w:left="1434" w:hanging="357"/>
      </w:pPr>
      <w:r>
        <w:t>for mobility uses</w:t>
      </w:r>
      <w:r w:rsidR="00B577BB">
        <w:t>: (a)</w:t>
      </w:r>
      <w:r>
        <w:t xml:space="preserve"> </w:t>
      </w:r>
      <w:r w:rsidRPr="00B364CB">
        <w:t>airport operation (</w:t>
      </w:r>
      <w:r>
        <w:t>ground support equipment</w:t>
      </w:r>
      <w:r w:rsidRPr="00B364CB">
        <w:t>/</w:t>
      </w:r>
      <w:r>
        <w:t>ground power units</w:t>
      </w:r>
      <w:r w:rsidRPr="00B364CB">
        <w:t xml:space="preserve"> at airport)</w:t>
      </w:r>
      <w:r w:rsidR="00B577BB">
        <w:t>, (b)</w:t>
      </w:r>
      <w:r w:rsidRPr="00B364CB">
        <w:t xml:space="preserve"> </w:t>
      </w:r>
      <w:r>
        <w:t xml:space="preserve">intramodality </w:t>
      </w:r>
      <w:r w:rsidRPr="00B364CB">
        <w:t xml:space="preserve">hub (buses, cars, </w:t>
      </w:r>
      <w:r>
        <w:t>and/</w:t>
      </w:r>
      <w:r w:rsidRPr="00B364CB">
        <w:t>or trains)</w:t>
      </w:r>
      <w:r w:rsidR="00B577BB">
        <w:t>, and (c)</w:t>
      </w:r>
      <w:r>
        <w:t xml:space="preserve"> logistical hub (trucks, heavy handling equipment), </w:t>
      </w:r>
    </w:p>
    <w:p w14:paraId="0659B907" w14:textId="77777777" w:rsidR="00B577BB" w:rsidRDefault="000A29FF" w:rsidP="002256F6">
      <w:pPr>
        <w:pStyle w:val="MAWPBodytextbullets"/>
        <w:numPr>
          <w:ilvl w:val="1"/>
          <w:numId w:val="24"/>
        </w:numPr>
        <w:spacing w:after="0"/>
        <w:ind w:left="1434" w:hanging="357"/>
      </w:pPr>
      <w:r>
        <w:t>for stationary uses (energy and heat for airport and surrounding territory buildings)</w:t>
      </w:r>
      <w:r w:rsidR="00B577BB">
        <w:t>,</w:t>
      </w:r>
      <w:r>
        <w:t xml:space="preserve"> </w:t>
      </w:r>
    </w:p>
    <w:p w14:paraId="4D6F0596" w14:textId="5BF2A2BB" w:rsidR="000A29FF" w:rsidRPr="00B364CB" w:rsidRDefault="000A29FF" w:rsidP="002256F6">
      <w:pPr>
        <w:pStyle w:val="MAWPBodytextbullets"/>
        <w:numPr>
          <w:ilvl w:val="1"/>
          <w:numId w:val="24"/>
        </w:numPr>
        <w:spacing w:after="0"/>
        <w:ind w:left="1434" w:hanging="357"/>
      </w:pPr>
      <w:r>
        <w:t>and for industrial uses in the airport vicinity.</w:t>
      </w:r>
    </w:p>
    <w:p w14:paraId="2E36210B" w14:textId="7BD0BC71" w:rsidR="00152D15" w:rsidRPr="00B364CB" w:rsidRDefault="00152D15" w:rsidP="00DE32D8">
      <w:pPr>
        <w:pStyle w:val="MAWPBodytextbullets"/>
        <w:spacing w:before="120"/>
        <w:ind w:left="714" w:hanging="357"/>
      </w:pPr>
      <w:r w:rsidRPr="00B364CB">
        <w:rPr>
          <w:bCs/>
        </w:rPr>
        <w:t>Industrial hubs with m</w:t>
      </w:r>
      <w:r w:rsidRPr="00B364CB">
        <w:t xml:space="preserve">utualised </w:t>
      </w:r>
      <w:r w:rsidR="002F7C48" w:rsidRPr="00B364CB">
        <w:t>hydrogen</w:t>
      </w:r>
      <w:r w:rsidRPr="00B364CB">
        <w:t xml:space="preserve"> production and transport and/or storage with multiple </w:t>
      </w:r>
      <w:r w:rsidR="002F7C48" w:rsidRPr="00B364CB">
        <w:t>hydrogen</w:t>
      </w:r>
      <w:r w:rsidRPr="00B364CB">
        <w:t xml:space="preserve"> uses (steel, refineries, chemicals, glass, industrial heat and power</w:t>
      </w:r>
      <w:r w:rsidR="00A14D06" w:rsidRPr="00B364CB">
        <w:t>, etc</w:t>
      </w:r>
      <w:r w:rsidR="009650CC" w:rsidRPr="00B364CB">
        <w:t>);</w:t>
      </w:r>
    </w:p>
    <w:p w14:paraId="6D9E665B" w14:textId="228FCB30" w:rsidR="00152D15" w:rsidRPr="00B364CB" w:rsidRDefault="00152D15" w:rsidP="00FF59DB">
      <w:pPr>
        <w:pStyle w:val="MAWPBodytextbullets"/>
        <w:rPr>
          <w:bCs/>
        </w:rPr>
      </w:pPr>
      <w:r w:rsidRPr="00B364CB">
        <w:rPr>
          <w:bCs/>
        </w:rPr>
        <w:t xml:space="preserve">Logistical hubs with combined production and use of hydrogen for </w:t>
      </w:r>
      <w:r w:rsidRPr="00B364CB">
        <w:t>mutualised and decentralised production</w:t>
      </w:r>
      <w:r w:rsidRPr="00B364CB">
        <w:rPr>
          <w:bCs/>
        </w:rPr>
        <w:t xml:space="preserve">, </w:t>
      </w:r>
      <w:r w:rsidRPr="00B364CB">
        <w:t>mobility uses (trains, HDVs, last mile, forklifts, etc.) and uses in</w:t>
      </w:r>
      <w:r w:rsidRPr="00B364CB">
        <w:rPr>
          <w:bCs/>
        </w:rPr>
        <w:t xml:space="preserve"> </w:t>
      </w:r>
      <w:r w:rsidRPr="00B364CB">
        <w:t>buildings and industrial heat and power</w:t>
      </w:r>
      <w:r w:rsidR="009650CC" w:rsidRPr="00B364CB">
        <w:t>;</w:t>
      </w:r>
    </w:p>
    <w:p w14:paraId="70C99636" w14:textId="3DAA1A09" w:rsidR="005B6C36" w:rsidRPr="00B364CB" w:rsidRDefault="00152D15" w:rsidP="00FE28B2">
      <w:pPr>
        <w:pStyle w:val="MAWP-Bodytext"/>
        <w:numPr>
          <w:ilvl w:val="0"/>
          <w:numId w:val="4"/>
        </w:numPr>
      </w:pPr>
      <w:r w:rsidRPr="00B364CB">
        <w:rPr>
          <w:bCs/>
        </w:rPr>
        <w:t xml:space="preserve">A </w:t>
      </w:r>
      <w:r w:rsidR="00B025AF" w:rsidRPr="00B364CB">
        <w:rPr>
          <w:bCs/>
        </w:rPr>
        <w:t xml:space="preserve">Hydrogen island </w:t>
      </w:r>
      <w:r w:rsidRPr="00B364CB">
        <w:rPr>
          <w:bCs/>
        </w:rPr>
        <w:t xml:space="preserve">(or area) combining </w:t>
      </w:r>
      <w:r w:rsidRPr="00B364CB">
        <w:t xml:space="preserve">production, distribution and </w:t>
      </w:r>
      <w:r w:rsidR="00A05BEF">
        <w:t xml:space="preserve">different </w:t>
      </w:r>
      <w:r w:rsidR="00DE32D8">
        <w:t xml:space="preserve">end </w:t>
      </w:r>
      <w:r w:rsidRPr="00B364CB">
        <w:t>uses in buildings</w:t>
      </w:r>
      <w:r w:rsidR="00A05BEF">
        <w:t>,</w:t>
      </w:r>
      <w:r w:rsidR="00DE32D8">
        <w:t xml:space="preserve"> </w:t>
      </w:r>
      <w:r w:rsidRPr="00B364CB">
        <w:t>transport</w:t>
      </w:r>
      <w:r w:rsidR="00A05BEF">
        <w:t>, industry</w:t>
      </w:r>
      <w:r w:rsidR="00DE32D8">
        <w:t xml:space="preserve"> and agriculture.</w:t>
      </w:r>
    </w:p>
    <w:p w14:paraId="26AADBE1" w14:textId="5C1791BC" w:rsidR="00AD3E54" w:rsidRPr="00B364CB" w:rsidRDefault="00AD3E54" w:rsidP="006802D3">
      <w:pPr>
        <w:pStyle w:val="Subtitle"/>
      </w:pPr>
      <w:bookmarkStart w:id="129" w:name="_Ref64056755"/>
      <w:bookmarkStart w:id="130" w:name="_Toc64640572"/>
      <w:bookmarkStart w:id="131" w:name="_Toc93907339"/>
      <w:r w:rsidRPr="00B364CB">
        <w:t>Supply chain</w:t>
      </w:r>
      <w:bookmarkEnd w:id="129"/>
      <w:bookmarkEnd w:id="130"/>
      <w:bookmarkEnd w:id="131"/>
    </w:p>
    <w:p w14:paraId="1D820C65" w14:textId="59396C04" w:rsidR="005A3BA0" w:rsidRPr="00B364CB" w:rsidRDefault="005A3BA0" w:rsidP="00167FEC">
      <w:pPr>
        <w:pStyle w:val="MAWPHeadingStyleLevel4"/>
      </w:pPr>
      <w:r w:rsidRPr="00B364CB">
        <w:t>Rational</w:t>
      </w:r>
      <w:r w:rsidR="0059714B" w:rsidRPr="00B364CB">
        <w:t>e</w:t>
      </w:r>
      <w:r w:rsidRPr="00B364CB">
        <w:t xml:space="preserve"> for support</w:t>
      </w:r>
    </w:p>
    <w:p w14:paraId="65D8C1B1" w14:textId="77777777" w:rsidR="00891391" w:rsidRPr="00B364CB" w:rsidRDefault="00891391" w:rsidP="00891391">
      <w:pPr>
        <w:pStyle w:val="MAWP-Bodytext"/>
      </w:pPr>
      <w:r w:rsidRPr="00B364CB">
        <w:t>A typical supply chain comprises a series of steps, from the manufacture of materials and components to production of assemblies and systems for various end-uses. These steps are similar to those involved in the value chain concept. While the supply chain focuses on integrating suppliers and manufacturing, the value chain approach takes into account additional aspects such as increasing value to the customer, the socio-economic aspects or creating competitive advantage against other players.</w:t>
      </w:r>
    </w:p>
    <w:p w14:paraId="478BA17B" w14:textId="0E73DFCB" w:rsidR="00891391" w:rsidRPr="00B364CB" w:rsidRDefault="00891391" w:rsidP="00891391">
      <w:pPr>
        <w:pStyle w:val="MAWP-Bodytext"/>
      </w:pPr>
      <w:r w:rsidRPr="00B364CB">
        <w:t xml:space="preserve">This section proposes a set of actions for the next decade aiming at strengthening the overall supply chain of hydrogen technologies, from processing the raw materials into specialised materials (e.g. electro-catalysts), production of components and sub-system to system integration. The supply chain is complemented by the wider view of the value chain approach vis-à-vis creation of jobs, added value to economy and industry competitiveness. </w:t>
      </w:r>
    </w:p>
    <w:p w14:paraId="5B112611" w14:textId="5D227489" w:rsidR="00046576" w:rsidRPr="00B364CB" w:rsidRDefault="004479A7" w:rsidP="00FF59DB">
      <w:pPr>
        <w:pStyle w:val="MAWP-Bodytext"/>
      </w:pPr>
      <w:r w:rsidRPr="00B364CB">
        <w:lastRenderedPageBreak/>
        <w:t>H</w:t>
      </w:r>
      <w:r w:rsidR="005A3BA0" w:rsidRPr="00B364CB">
        <w:t>ydrogen technologies and systems have been</w:t>
      </w:r>
      <w:r w:rsidR="00B85A85" w:rsidRPr="00B364CB">
        <w:t xml:space="preserve"> recently</w:t>
      </w:r>
      <w:r w:rsidR="005A3BA0" w:rsidRPr="00B364CB">
        <w:t xml:space="preserve"> identified </w:t>
      </w:r>
      <w:r w:rsidR="00046576" w:rsidRPr="00B364CB">
        <w:t xml:space="preserve">by the European Commission </w:t>
      </w:r>
      <w:r w:rsidR="005A3BA0" w:rsidRPr="00B364CB">
        <w:t>as</w:t>
      </w:r>
      <w:r w:rsidR="00046576" w:rsidRPr="00B364CB">
        <w:t xml:space="preserve"> </w:t>
      </w:r>
      <w:r w:rsidR="005A3BA0" w:rsidRPr="00B364CB">
        <w:t>an emerging and strategic value chain for Europe.</w:t>
      </w:r>
      <w:r w:rsidR="005A3BA0" w:rsidRPr="00B364CB">
        <w:rPr>
          <w:rStyle w:val="FootnoteReference"/>
        </w:rPr>
        <w:footnoteReference w:id="168"/>
      </w:r>
      <w:r w:rsidR="005A3BA0" w:rsidRPr="00B364CB">
        <w:t xml:space="preserve"> A strong and sustainable </w:t>
      </w:r>
      <w:r w:rsidR="001577D7">
        <w:t xml:space="preserve">European </w:t>
      </w:r>
      <w:r w:rsidR="005A3BA0" w:rsidRPr="00B364CB">
        <w:t>supply chain of hydrogen</w:t>
      </w:r>
      <w:r w:rsidR="00BD2835" w:rsidRPr="00B364CB">
        <w:t xml:space="preserve"> </w:t>
      </w:r>
      <w:r w:rsidR="005A3BA0" w:rsidRPr="00B364CB">
        <w:t xml:space="preserve">technologies will avoid that the manufacturing capacity becomes a limiting factor to technology uptake, improve the competitiveness and innovation </w:t>
      </w:r>
      <w:r w:rsidR="00BD2835" w:rsidRPr="00B364CB">
        <w:t>of</w:t>
      </w:r>
      <w:r w:rsidR="005A3BA0" w:rsidRPr="00B364CB">
        <w:t xml:space="preserve"> industries, support the decarbonisation of the economy and reduce dependence on fossil fuels</w:t>
      </w:r>
      <w:r w:rsidR="00DE32D8">
        <w:t xml:space="preserve">, </w:t>
      </w:r>
      <w:r w:rsidR="00A22C7D" w:rsidRPr="00B364CB">
        <w:t>CRMs</w:t>
      </w:r>
      <w:r w:rsidR="001577D7">
        <w:t xml:space="preserve"> and components imports</w:t>
      </w:r>
      <w:r w:rsidR="005A3BA0" w:rsidRPr="00B364CB">
        <w:t>.</w:t>
      </w:r>
      <w:r w:rsidR="00B85A85" w:rsidRPr="00B364CB">
        <w:t xml:space="preserve"> </w:t>
      </w:r>
    </w:p>
    <w:p w14:paraId="100D368B" w14:textId="4F5FC672" w:rsidR="00B85A85" w:rsidRPr="00B364CB" w:rsidRDefault="00046576" w:rsidP="00FF59DB">
      <w:pPr>
        <w:pStyle w:val="MAWP-Bodytext"/>
      </w:pPr>
      <w:r w:rsidRPr="00B364CB">
        <w:t xml:space="preserve">To ensure a sustainable, innovative and competitive industry in the future, a </w:t>
      </w:r>
      <w:r w:rsidR="00B526AE" w:rsidRPr="00B364CB">
        <w:t>greater</w:t>
      </w:r>
      <w:r w:rsidRPr="00B364CB">
        <w:t xml:space="preserve"> number of qualified companies is required </w:t>
      </w:r>
      <w:r w:rsidR="001B54F0" w:rsidRPr="00B364CB">
        <w:t xml:space="preserve">along the whole </w:t>
      </w:r>
      <w:r w:rsidR="00EC5949" w:rsidRPr="00B364CB">
        <w:t xml:space="preserve">hydrogen </w:t>
      </w:r>
      <w:r w:rsidR="001B54F0" w:rsidRPr="00B364CB">
        <w:t>supply chain (materials, machines, systems</w:t>
      </w:r>
      <w:r w:rsidR="00A14D06" w:rsidRPr="00B364CB">
        <w:t>, etc</w:t>
      </w:r>
      <w:r w:rsidR="001B54F0" w:rsidRPr="00B364CB">
        <w:t>)</w:t>
      </w:r>
      <w:r w:rsidR="001F3B60" w:rsidRPr="00B364CB">
        <w:t>.</w:t>
      </w:r>
      <w:r w:rsidRPr="00B364CB">
        <w:t xml:space="preserve"> </w:t>
      </w:r>
      <w:r w:rsidR="00B85A85" w:rsidRPr="00B364CB">
        <w:t xml:space="preserve">Otherwise, the long-term value will go elsewhere as other countries will develop more mature capabilities and supply chain clusters. </w:t>
      </w:r>
    </w:p>
    <w:p w14:paraId="1C1201A4" w14:textId="0436ECAB" w:rsidR="00980CD0" w:rsidRPr="00B364CB" w:rsidRDefault="00980CD0" w:rsidP="00FF59DB">
      <w:pPr>
        <w:pStyle w:val="MAWP-Bodytext"/>
      </w:pPr>
      <w:r w:rsidRPr="00B364CB">
        <w:t xml:space="preserve">Moreover, </w:t>
      </w:r>
      <w:r w:rsidR="00C83825" w:rsidRPr="00B364CB">
        <w:t xml:space="preserve">Europe will have to increase </w:t>
      </w:r>
      <w:r w:rsidR="001577D7">
        <w:t>its</w:t>
      </w:r>
      <w:r w:rsidR="00C83825" w:rsidRPr="00B364CB">
        <w:t xml:space="preserve"> production capacity for hydrogen technologies and raise private investments from EU organisations, including creation of partnerships between small and large companies, </w:t>
      </w:r>
      <w:r w:rsidR="00DC0B48" w:rsidRPr="00B364CB">
        <w:t>in line with the European Hydrogen Strategy</w:t>
      </w:r>
      <w:r w:rsidR="00B77A11" w:rsidRPr="00B364CB">
        <w:t xml:space="preserve"> goals</w:t>
      </w:r>
      <w:r w:rsidR="00216FE2" w:rsidRPr="00B364CB">
        <w:t>.</w:t>
      </w:r>
    </w:p>
    <w:p w14:paraId="3AA30DFF" w14:textId="0BD90F57" w:rsidR="005A3BA0" w:rsidRPr="00B364CB" w:rsidRDefault="00FF4848" w:rsidP="00167FEC">
      <w:pPr>
        <w:pStyle w:val="MAWPHeadingStyleLevel4"/>
      </w:pPr>
      <w:r w:rsidRPr="00B364CB">
        <w:t>State of the art</w:t>
      </w:r>
    </w:p>
    <w:p w14:paraId="23FC3C74" w14:textId="099BA735" w:rsidR="008B552F" w:rsidRPr="00B364CB" w:rsidRDefault="008B552F" w:rsidP="00FF59DB">
      <w:pPr>
        <w:pStyle w:val="MAWP-Bodytext"/>
      </w:pPr>
      <w:r w:rsidRPr="00B364CB">
        <w:t>In t</w:t>
      </w:r>
      <w:r w:rsidR="00C310AA" w:rsidRPr="00B364CB">
        <w:t>he recent years, the FCH 2 JU</w:t>
      </w:r>
      <w:r w:rsidRPr="00B364CB">
        <w:t xml:space="preserve"> concluded several studies to map the EU supply/value chain for hydrogen and fuel cell technologies to identify weaknesses and find appropriate </w:t>
      </w:r>
      <w:r w:rsidR="00C310AA" w:rsidRPr="00B364CB">
        <w:t>solutions</w:t>
      </w:r>
      <w:r w:rsidRPr="00B364CB">
        <w:t>.</w:t>
      </w:r>
      <w:r w:rsidRPr="00B364CB">
        <w:rPr>
          <w:rStyle w:val="FootnoteReference"/>
        </w:rPr>
        <w:footnoteReference w:id="169"/>
      </w:r>
      <w:r w:rsidR="000D4780" w:rsidRPr="00B364CB">
        <w:t xml:space="preserve"> </w:t>
      </w:r>
      <w:r w:rsidR="009357CF" w:rsidRPr="00B364CB">
        <w:t xml:space="preserve">A list of </w:t>
      </w:r>
      <w:r w:rsidR="00627FEC" w:rsidRPr="00B364CB">
        <w:t xml:space="preserve">suppliers of </w:t>
      </w:r>
      <w:r w:rsidR="009357CF" w:rsidRPr="00B364CB">
        <w:t xml:space="preserve">fuel cell systems and components </w:t>
      </w:r>
      <w:r w:rsidR="00B86FE3" w:rsidRPr="00B364CB">
        <w:t>a</w:t>
      </w:r>
      <w:r w:rsidR="009357CF" w:rsidRPr="00B364CB">
        <w:t xml:space="preserve">nd service providers is currently available </w:t>
      </w:r>
      <w:r w:rsidR="006A68B9" w:rsidRPr="00B364CB">
        <w:t>through</w:t>
      </w:r>
      <w:r w:rsidR="009357CF" w:rsidRPr="00B364CB">
        <w:t xml:space="preserve"> the FCHO</w:t>
      </w:r>
      <w:r w:rsidR="006A68B9" w:rsidRPr="00B364CB">
        <w:t xml:space="preserve">. </w:t>
      </w:r>
    </w:p>
    <w:p w14:paraId="1C5CC92E" w14:textId="1854BA1B" w:rsidR="005A3BA0" w:rsidRPr="00B364CB" w:rsidRDefault="008D6381" w:rsidP="00FF59DB">
      <w:pPr>
        <w:pStyle w:val="MAWP-Bodytext"/>
      </w:pPr>
      <w:r w:rsidRPr="00B364CB">
        <w:t>T</w:t>
      </w:r>
      <w:r w:rsidR="005A3BA0" w:rsidRPr="00B364CB">
        <w:t xml:space="preserve">he supply chain </w:t>
      </w:r>
      <w:r w:rsidRPr="00B364CB">
        <w:t>of</w:t>
      </w:r>
      <w:r w:rsidR="005A3BA0" w:rsidRPr="00B364CB">
        <w:t xml:space="preserve"> hydrogen-based technologies is </w:t>
      </w:r>
      <w:r w:rsidRPr="00B364CB">
        <w:t xml:space="preserve">still </w:t>
      </w:r>
      <w:r w:rsidR="005A3BA0" w:rsidRPr="00B364CB">
        <w:t xml:space="preserve">under development and consists mainly of relatively small organisations. European companies and research organisations are </w:t>
      </w:r>
      <w:r w:rsidRPr="00B364CB">
        <w:t xml:space="preserve">frontrunners </w:t>
      </w:r>
      <w:r w:rsidR="005A3BA0" w:rsidRPr="00B364CB">
        <w:t xml:space="preserve">in many </w:t>
      </w:r>
      <w:r w:rsidR="00067B36" w:rsidRPr="00B364CB">
        <w:t>segments</w:t>
      </w:r>
      <w:r w:rsidR="005A3BA0" w:rsidRPr="00B364CB">
        <w:t xml:space="preserve"> </w:t>
      </w:r>
      <w:r w:rsidRPr="00B364CB">
        <w:t>along the</w:t>
      </w:r>
      <w:r w:rsidR="005A3BA0" w:rsidRPr="00B364CB">
        <w:t xml:space="preserve"> hydrogen supply chain. This should give an advantage to the EU countries in the upcoming race for market capture and competitive advantage with other key player</w:t>
      </w:r>
      <w:r w:rsidRPr="00B364CB">
        <w:t>s</w:t>
      </w:r>
      <w:r w:rsidR="005A3BA0" w:rsidRPr="00B364CB">
        <w:t xml:space="preserve"> such as Japan, South Korea, US</w:t>
      </w:r>
      <w:r w:rsidR="001577D7">
        <w:t>A</w:t>
      </w:r>
      <w:r w:rsidR="005A3BA0" w:rsidRPr="00B364CB">
        <w:t xml:space="preserve"> and more recently China.</w:t>
      </w:r>
    </w:p>
    <w:p w14:paraId="2E9E9F83" w14:textId="343B23A3" w:rsidR="005A3BA0" w:rsidRPr="00B364CB" w:rsidRDefault="008D6381" w:rsidP="00FF59DB">
      <w:pPr>
        <w:pStyle w:val="MAWP-Bodytext"/>
      </w:pPr>
      <w:r w:rsidRPr="00B364CB">
        <w:t xml:space="preserve">About </w:t>
      </w:r>
      <w:r w:rsidR="005A3BA0" w:rsidRPr="00B364CB">
        <w:t xml:space="preserve">300 European companies </w:t>
      </w:r>
      <w:r w:rsidRPr="00B364CB">
        <w:t>contribute to the development of</w:t>
      </w:r>
      <w:r w:rsidR="005A3BA0" w:rsidRPr="00B364CB">
        <w:t xml:space="preserve"> hydrogen technologies and many more are involved in various steps of the hydrogen supply chain. These providers are sustained by over 250 knowledge-based European universities and research institutes across different domains of expertise. </w:t>
      </w:r>
    </w:p>
    <w:p w14:paraId="4E693864" w14:textId="0B9938B3" w:rsidR="000A6BD4" w:rsidRPr="00B364CB" w:rsidRDefault="005A3BA0" w:rsidP="00FF59DB">
      <w:pPr>
        <w:pStyle w:val="MAWP-Bodytext"/>
      </w:pPr>
      <w:r w:rsidRPr="00B364CB">
        <w:t>The European suppliers consist mainly of SMEs that are eager to increase t</w:t>
      </w:r>
      <w:r w:rsidR="00B81CFD" w:rsidRPr="00B364CB">
        <w:t>heir manufacturing capacities to</w:t>
      </w:r>
      <w:r w:rsidRPr="00B364CB">
        <w:t xml:space="preserve"> enabl</w:t>
      </w:r>
      <w:r w:rsidR="00B81CFD" w:rsidRPr="00B364CB">
        <w:t xml:space="preserve">e </w:t>
      </w:r>
      <w:r w:rsidRPr="00B364CB">
        <w:t>cost reductions</w:t>
      </w:r>
      <w:r w:rsidR="00B81CFD" w:rsidRPr="00B364CB">
        <w:t xml:space="preserve"> of their products. These organisations </w:t>
      </w:r>
      <w:r w:rsidRPr="00B364CB">
        <w:t>must</w:t>
      </w:r>
      <w:r w:rsidR="00B81CFD" w:rsidRPr="00B364CB">
        <w:t xml:space="preserve"> focus for instance </w:t>
      </w:r>
      <w:r w:rsidRPr="00B364CB">
        <w:t xml:space="preserve">on </w:t>
      </w:r>
      <w:r w:rsidR="00067B36" w:rsidRPr="00B364CB">
        <w:t>R&amp;I</w:t>
      </w:r>
      <w:r w:rsidR="0093494B" w:rsidRPr="00B364CB">
        <w:t xml:space="preserve"> platforms</w:t>
      </w:r>
      <w:r w:rsidR="00475881" w:rsidRPr="00B364CB">
        <w:t>,</w:t>
      </w:r>
      <w:r w:rsidR="00067B36" w:rsidRPr="00B364CB">
        <w:t xml:space="preserve"> </w:t>
      </w:r>
      <w:r w:rsidRPr="00B364CB">
        <w:t xml:space="preserve">development of new machines and more efficient manufacturing processes, </w:t>
      </w:r>
      <w:r w:rsidR="0063065D">
        <w:t xml:space="preserve">which should also facilitate the implementation of the circular economy principles. All these will </w:t>
      </w:r>
      <w:r w:rsidRPr="00B364CB">
        <w:t xml:space="preserve">allow them </w:t>
      </w:r>
      <w:r w:rsidR="00475881" w:rsidRPr="00B364CB">
        <w:t xml:space="preserve">to </w:t>
      </w:r>
      <w:r w:rsidRPr="00B364CB">
        <w:t xml:space="preserve">reach a </w:t>
      </w:r>
      <w:r w:rsidR="004479A7" w:rsidRPr="00B364CB">
        <w:t>greater</w:t>
      </w:r>
      <w:r w:rsidRPr="00B364CB">
        <w:t xml:space="preserve"> market penetration and expand their businesses also to overseas markets.</w:t>
      </w:r>
      <w:r w:rsidR="000A6BD4" w:rsidRPr="00B364CB">
        <w:t xml:space="preserve"> </w:t>
      </w:r>
    </w:p>
    <w:p w14:paraId="376C46BB" w14:textId="590E7789" w:rsidR="000A6BD4" w:rsidRPr="00B364CB" w:rsidRDefault="000A6BD4" w:rsidP="00FF59DB">
      <w:pPr>
        <w:pStyle w:val="MAWP-Bodytext"/>
      </w:pPr>
      <w:r w:rsidRPr="00B364CB">
        <w:t>As regards hydrogen production, Europe is a global leader of various electrolyser technologies covering the entire hydrogen supply chain. For many years, European manufacturers have developed innovative electrolyser technologies and now they are ready to scale up their products. About 20 European companies offer various electrolysis systems to the market. Further development of the electrolyser technologies, the integration with renewable sources and increasing mass production will significantly reduce the total hydrogen production cost in the next 10 years and beyond.</w:t>
      </w:r>
      <w:r w:rsidR="00E96FFB">
        <w:t xml:space="preserve"> It is essential to ensure Europe will have enough electrolyser manufacturing capacity to meet its local hydrogen production targets.</w:t>
      </w:r>
    </w:p>
    <w:p w14:paraId="38DF8A51" w14:textId="5326752F" w:rsidR="000A6BD4" w:rsidRPr="00B364CB" w:rsidRDefault="000A6BD4" w:rsidP="00FF59DB">
      <w:pPr>
        <w:pStyle w:val="MAWP-Bodytext"/>
      </w:pPr>
      <w:r w:rsidRPr="00B364CB">
        <w:t xml:space="preserve">Europe has further strengths in hydrogen storage and distribution infrastructure, with </w:t>
      </w:r>
      <w:r w:rsidRPr="00B364CB">
        <w:lastRenderedPageBreak/>
        <w:t>indigenous developers and suppliers in relevant areas, though some weaknesses exist in the supply chain. For example, high-pressure hydrogen storage is one of the existing solution</w:t>
      </w:r>
      <w:r w:rsidR="004479A7" w:rsidRPr="00B364CB">
        <w:t>s</w:t>
      </w:r>
      <w:r w:rsidRPr="00B364CB">
        <w:t xml:space="preserve"> for on-board transport applications. However, Europe lacks production of high-quality carbon fibre, an important material used in the manufacture of compressed hydrogen tanks, which is mainly imported from Asia. </w:t>
      </w:r>
      <w:r w:rsidR="00D72447">
        <w:t>In addition</w:t>
      </w:r>
      <w:r w:rsidRPr="00B364CB">
        <w:t xml:space="preserve">, Europe should increase its efforts to develop other cost competitive solutions (e.g. </w:t>
      </w:r>
      <w:r w:rsidR="00A22C7D" w:rsidRPr="00B364CB">
        <w:t>LOHCs</w:t>
      </w:r>
      <w:r w:rsidRPr="00B364CB">
        <w:t>, metal hydrides, ammonia, etc.)</w:t>
      </w:r>
      <w:r w:rsidR="00EF0A4A" w:rsidRPr="00B364CB">
        <w:t>, optimise the roundtrip efficiency of the hydrogenation-dehydrogenation cycle</w:t>
      </w:r>
      <w:r w:rsidRPr="00B364CB">
        <w:t xml:space="preserve"> and support their industrial deployment. In the long-term, large-scale storage facilities need also to be created close to the MW scale electrolysers</w:t>
      </w:r>
      <w:r w:rsidR="00D72447">
        <w:t xml:space="preserve">, including underground hydrogen storage </w:t>
      </w:r>
      <w:r w:rsidR="00C5256D">
        <w:t xml:space="preserve">in reconverted salt caverns </w:t>
      </w:r>
      <w:r w:rsidR="00D72447">
        <w:t xml:space="preserve">and depleted gas fields. </w:t>
      </w:r>
    </w:p>
    <w:p w14:paraId="72CA16F2" w14:textId="36884AA6" w:rsidR="000A6BD4" w:rsidRPr="00B364CB" w:rsidRDefault="00AF037F" w:rsidP="00FF59DB">
      <w:pPr>
        <w:pStyle w:val="MAWP-Bodytext"/>
      </w:pPr>
      <w:r>
        <w:t>In</w:t>
      </w:r>
      <w:r w:rsidR="008819F9" w:rsidRPr="00B364CB">
        <w:t xml:space="preserve"> the medium and long-term</w:t>
      </w:r>
      <w:r w:rsidR="008A117F" w:rsidRPr="00B364CB">
        <w:t xml:space="preserve"> an integrated transportation system and infrastructure </w:t>
      </w:r>
      <w:r w:rsidR="008644D5" w:rsidRPr="00B364CB">
        <w:t>must be created</w:t>
      </w:r>
      <w:r w:rsidR="008A117F" w:rsidRPr="00B364CB">
        <w:t xml:space="preserve"> </w:t>
      </w:r>
      <w:r w:rsidR="001E0341" w:rsidRPr="00B364CB">
        <w:t>to allow</w:t>
      </w:r>
      <w:r w:rsidR="008A117F" w:rsidRPr="00B364CB">
        <w:t xml:space="preserve"> clean hydrogen </w:t>
      </w:r>
      <w:r w:rsidR="008644D5" w:rsidRPr="00B364CB">
        <w:t xml:space="preserve">to reach </w:t>
      </w:r>
      <w:r w:rsidR="00F06DDF" w:rsidRPr="00B364CB">
        <w:t>various</w:t>
      </w:r>
      <w:r w:rsidR="008A117F" w:rsidRPr="00B364CB">
        <w:t xml:space="preserve"> industrial sectors</w:t>
      </w:r>
      <w:r w:rsidR="001E0341" w:rsidRPr="00B364CB">
        <w:t>,</w:t>
      </w:r>
      <w:r w:rsidR="008A117F" w:rsidRPr="00B364CB">
        <w:t xml:space="preserve"> </w:t>
      </w:r>
      <w:r w:rsidR="008644D5" w:rsidRPr="00B364CB">
        <w:t>thus helping to establish a global hydrogen market</w:t>
      </w:r>
      <w:r w:rsidR="008A117F" w:rsidRPr="00B364CB">
        <w:t>.</w:t>
      </w:r>
    </w:p>
    <w:p w14:paraId="4DDF33BB" w14:textId="77777777" w:rsidR="000A6BD4" w:rsidRPr="00B364CB" w:rsidRDefault="000A6BD4" w:rsidP="00FF59DB">
      <w:pPr>
        <w:pStyle w:val="MAWP-Bodytext"/>
      </w:pPr>
      <w:r w:rsidRPr="00B364CB">
        <w:t xml:space="preserve">Regarding the end-use of hydrogen, Europe is well positioned for competitive fuel cell materials, components and stacks for both transport and small-scale stationary applications. This includes quality control and manufacturing techniques as well as a well-established knowledge transfer between academia/research centres and industry. </w:t>
      </w:r>
    </w:p>
    <w:p w14:paraId="1BC13A2D" w14:textId="02EA9AD4" w:rsidR="005A3BA0" w:rsidRPr="00B364CB" w:rsidRDefault="008839B3" w:rsidP="00167FEC">
      <w:pPr>
        <w:pStyle w:val="MAWPHeadingStyleLevel4"/>
      </w:pPr>
      <w:r w:rsidRPr="00B364CB">
        <w:t>Objectives</w:t>
      </w:r>
    </w:p>
    <w:p w14:paraId="0C8B0754" w14:textId="14524A34" w:rsidR="005A3BA0" w:rsidRPr="00B364CB" w:rsidRDefault="002C30C7" w:rsidP="00FF59DB">
      <w:pPr>
        <w:pStyle w:val="MAWP-Bodytext"/>
      </w:pPr>
      <w:r w:rsidRPr="00B364CB">
        <w:t>European manufacturers must cover the main segments of the supply chain, including the production of very specialised materials</w:t>
      </w:r>
      <w:r w:rsidR="001B4B0A" w:rsidRPr="00B364CB">
        <w:t>,</w:t>
      </w:r>
      <w:r w:rsidRPr="00B364CB">
        <w:t xml:space="preserve"> components</w:t>
      </w:r>
      <w:r w:rsidR="00EC48B9" w:rsidRPr="00B364CB">
        <w:t xml:space="preserve"> and equipment</w:t>
      </w:r>
      <w:r w:rsidR="005A01F9">
        <w:t>, and should consider the recovery and recycling of by-products and wastes</w:t>
      </w:r>
      <w:r w:rsidR="001F3B60" w:rsidRPr="00B364CB">
        <w:t>.</w:t>
      </w:r>
      <w:r w:rsidRPr="00B364CB">
        <w:t xml:space="preserve"> </w:t>
      </w:r>
      <w:r w:rsidR="0010479A" w:rsidRPr="00B364CB">
        <w:t xml:space="preserve">The </w:t>
      </w:r>
      <w:r w:rsidR="00E55005" w:rsidRPr="00B364CB">
        <w:t>component</w:t>
      </w:r>
      <w:r w:rsidRPr="00B364CB">
        <w:t>s</w:t>
      </w:r>
      <w:r w:rsidR="00E55005" w:rsidRPr="00B364CB">
        <w:t xml:space="preserve"> </w:t>
      </w:r>
      <w:r w:rsidR="0010479A" w:rsidRPr="00B364CB">
        <w:t xml:space="preserve">manufacture and their scale-up </w:t>
      </w:r>
      <w:r w:rsidR="005A01F9">
        <w:t xml:space="preserve">based on a circular approach </w:t>
      </w:r>
      <w:r w:rsidRPr="00B364CB">
        <w:t>will</w:t>
      </w:r>
      <w:r w:rsidR="00E55005" w:rsidRPr="00B364CB">
        <w:t xml:space="preserve"> be</w:t>
      </w:r>
      <w:r w:rsidR="0010479A" w:rsidRPr="00B364CB">
        <w:t xml:space="preserve"> the central part of the </w:t>
      </w:r>
      <w:r w:rsidR="00E55005" w:rsidRPr="00B364CB">
        <w:t xml:space="preserve">hydrogen </w:t>
      </w:r>
      <w:r w:rsidR="0010479A" w:rsidRPr="00B364CB">
        <w:t xml:space="preserve">supply chain. </w:t>
      </w:r>
      <w:r w:rsidR="00DB6B15" w:rsidRPr="00B364CB">
        <w:t>T</w:t>
      </w:r>
      <w:r w:rsidR="00746017" w:rsidRPr="00B364CB">
        <w:t xml:space="preserve">he </w:t>
      </w:r>
      <w:r w:rsidR="00831A2C">
        <w:t xml:space="preserve">Clean Hydrogen </w:t>
      </w:r>
      <w:r w:rsidR="00F16F20" w:rsidRPr="00B364CB">
        <w:t>JU</w:t>
      </w:r>
      <w:r w:rsidR="00DB6B15" w:rsidRPr="00B364CB">
        <w:t xml:space="preserve"> </w:t>
      </w:r>
      <w:r w:rsidR="00383D19" w:rsidRPr="00B364CB">
        <w:t>activities</w:t>
      </w:r>
      <w:r w:rsidR="00DB6B15" w:rsidRPr="00B364CB">
        <w:t xml:space="preserve"> </w:t>
      </w:r>
      <w:r w:rsidR="005E4CFC" w:rsidRPr="00B364CB">
        <w:t>will</w:t>
      </w:r>
      <w:r w:rsidR="001167DC" w:rsidRPr="00B364CB">
        <w:t xml:space="preserve"> contribute to </w:t>
      </w:r>
      <w:r w:rsidR="005E4CFC" w:rsidRPr="00B364CB">
        <w:t>reinforce</w:t>
      </w:r>
      <w:r w:rsidR="00746017" w:rsidRPr="00B364CB">
        <w:t xml:space="preserve"> </w:t>
      </w:r>
      <w:r w:rsidR="005A3BA0" w:rsidRPr="00B364CB">
        <w:t>the EU leadership on advanced materials and components</w:t>
      </w:r>
      <w:r w:rsidR="001167DC" w:rsidRPr="00B364CB">
        <w:t xml:space="preserve"> used in hydrogen technologies</w:t>
      </w:r>
      <w:r w:rsidR="005A3BA0" w:rsidRPr="00B364CB">
        <w:t xml:space="preserve"> </w:t>
      </w:r>
      <w:r w:rsidR="00E55005" w:rsidRPr="00B364CB">
        <w:t>by optimisation of</w:t>
      </w:r>
      <w:r w:rsidR="005A3BA0" w:rsidRPr="00B364CB">
        <w:t xml:space="preserve"> </w:t>
      </w:r>
      <w:r w:rsidR="005E4CFC" w:rsidRPr="00B364CB">
        <w:t>the</w:t>
      </w:r>
      <w:r w:rsidR="005A3BA0" w:rsidRPr="00B364CB">
        <w:t xml:space="preserve"> manufacturing processes, </w:t>
      </w:r>
      <w:r w:rsidR="005A01F9">
        <w:t xml:space="preserve">using abundant natural resources, </w:t>
      </w:r>
      <w:r w:rsidR="00E55005" w:rsidRPr="00B364CB">
        <w:t>improving</w:t>
      </w:r>
      <w:r w:rsidR="005A3BA0" w:rsidRPr="00B364CB">
        <w:t xml:space="preserve"> </w:t>
      </w:r>
      <w:r w:rsidR="005E4CFC" w:rsidRPr="00B364CB">
        <w:t xml:space="preserve">the </w:t>
      </w:r>
      <w:r w:rsidR="00D940D9" w:rsidRPr="00B364CB">
        <w:t xml:space="preserve">products </w:t>
      </w:r>
      <w:r w:rsidR="005E4CFC" w:rsidRPr="00B364CB">
        <w:t xml:space="preserve">quality (targeting </w:t>
      </w:r>
      <w:r w:rsidR="005A3BA0" w:rsidRPr="00B364CB">
        <w:t>zero defect products</w:t>
      </w:r>
      <w:r w:rsidR="00E55005" w:rsidRPr="00B364CB">
        <w:t xml:space="preserve">), </w:t>
      </w:r>
      <w:r w:rsidR="005E4CFC" w:rsidRPr="00B364CB">
        <w:t>develop</w:t>
      </w:r>
      <w:r w:rsidR="00E55005" w:rsidRPr="00B364CB">
        <w:t>ing</w:t>
      </w:r>
      <w:r w:rsidR="001167DC" w:rsidRPr="00B364CB">
        <w:t xml:space="preserve"> </w:t>
      </w:r>
      <w:r w:rsidR="005A3BA0" w:rsidRPr="00B364CB">
        <w:t>new architecture</w:t>
      </w:r>
      <w:r w:rsidR="00746017" w:rsidRPr="00B364CB">
        <w:t xml:space="preserve">, </w:t>
      </w:r>
      <w:r w:rsidR="00604BCA" w:rsidRPr="00B364CB">
        <w:t>reducing the time to market through technological/research platforms</w:t>
      </w:r>
      <w:r w:rsidR="00892350" w:rsidRPr="00B364CB">
        <w:t>,</w:t>
      </w:r>
      <w:r w:rsidR="001F3B60" w:rsidRPr="00B364CB">
        <w:t xml:space="preserve"> etc.</w:t>
      </w:r>
      <w:r w:rsidR="005A3BA0" w:rsidRPr="00B364CB">
        <w:t xml:space="preserve"> </w:t>
      </w:r>
      <w:r w:rsidR="00487E7C" w:rsidRPr="00B364CB">
        <w:t xml:space="preserve">Alongside the manufacture of components for FCH products, it will </w:t>
      </w:r>
      <w:r w:rsidR="0099428A" w:rsidRPr="00B364CB">
        <w:t xml:space="preserve">also </w:t>
      </w:r>
      <w:r w:rsidR="00487E7C" w:rsidRPr="00B364CB">
        <w:t xml:space="preserve">be worth looking at the production of machines/robotics needed for the automation of manufacture processes. </w:t>
      </w:r>
      <w:r w:rsidR="005A3BA0" w:rsidRPr="00B364CB">
        <w:t xml:space="preserve">All these </w:t>
      </w:r>
      <w:r w:rsidR="00FC0E31" w:rsidRPr="00B364CB">
        <w:t xml:space="preserve">activities </w:t>
      </w:r>
      <w:r w:rsidR="005A3BA0" w:rsidRPr="00B364CB">
        <w:t xml:space="preserve">will allow </w:t>
      </w:r>
      <w:r w:rsidR="00FC0E31" w:rsidRPr="00B364CB">
        <w:t xml:space="preserve">the </w:t>
      </w:r>
      <w:r w:rsidR="005A3BA0" w:rsidRPr="00B364CB">
        <w:t>cost reduction and scaling up of components and</w:t>
      </w:r>
      <w:r w:rsidR="00746017" w:rsidRPr="00B364CB">
        <w:t xml:space="preserve"> product</w:t>
      </w:r>
      <w:r w:rsidR="0020765F" w:rsidRPr="00B364CB">
        <w:t xml:space="preserve"> equipment for hydrogen</w:t>
      </w:r>
      <w:r w:rsidR="0010479A" w:rsidRPr="00B364CB">
        <w:t xml:space="preserve"> and fuel cell</w:t>
      </w:r>
      <w:r w:rsidR="0020765F" w:rsidRPr="00B364CB">
        <w:t xml:space="preserve"> technologies.</w:t>
      </w:r>
    </w:p>
    <w:p w14:paraId="67DC93D3" w14:textId="6C66D9AC" w:rsidR="00B7336E" w:rsidRPr="00B364CB" w:rsidRDefault="005A3BA0" w:rsidP="00FF59DB">
      <w:pPr>
        <w:pStyle w:val="MAWP-Bodytext"/>
      </w:pPr>
      <w:r w:rsidRPr="00B364CB">
        <w:t xml:space="preserve">A particular attention </w:t>
      </w:r>
      <w:r w:rsidR="00AD2E0D" w:rsidRPr="00B364CB">
        <w:t>will</w:t>
      </w:r>
      <w:r w:rsidR="00FC0E31" w:rsidRPr="00B364CB">
        <w:t xml:space="preserve"> be</w:t>
      </w:r>
      <w:r w:rsidRPr="00B364CB">
        <w:t xml:space="preserve"> paid </w:t>
      </w:r>
      <w:r w:rsidR="0099428A" w:rsidRPr="00B364CB">
        <w:t>to</w:t>
      </w:r>
      <w:r w:rsidRPr="00B364CB">
        <w:t xml:space="preserve"> </w:t>
      </w:r>
      <w:r w:rsidR="00AD2E0D" w:rsidRPr="00B364CB">
        <w:t xml:space="preserve">continuously </w:t>
      </w:r>
      <w:r w:rsidR="0099428A" w:rsidRPr="00B364CB">
        <w:t xml:space="preserve">monitor </w:t>
      </w:r>
      <w:r w:rsidR="00AD2E0D" w:rsidRPr="00B364CB">
        <w:t>the</w:t>
      </w:r>
      <w:r w:rsidR="00FC0E31" w:rsidRPr="00B364CB">
        <w:t xml:space="preserve"> hydrogen supply chain, including mapping the EU suppliers in each step</w:t>
      </w:r>
      <w:r w:rsidR="00AC2E4B" w:rsidRPr="00B364CB">
        <w:t xml:space="preserve"> </w:t>
      </w:r>
      <w:r w:rsidR="00487E7C" w:rsidRPr="00B364CB">
        <w:t xml:space="preserve">of production as well as </w:t>
      </w:r>
      <w:r w:rsidR="00AC2E4B" w:rsidRPr="00B364CB">
        <w:t xml:space="preserve">the refuelling infrastructure in Europe. </w:t>
      </w:r>
      <w:r w:rsidR="000E792A">
        <w:t>This monitoring exercise will be complemented by a</w:t>
      </w:r>
      <w:r w:rsidR="00AC2E4B" w:rsidRPr="00B364CB">
        <w:t xml:space="preserve"> gap analysis </w:t>
      </w:r>
      <w:r w:rsidR="000E792A">
        <w:t>aiming at</w:t>
      </w:r>
      <w:r w:rsidR="00AC2E4B" w:rsidRPr="00B364CB">
        <w:t xml:space="preserve"> </w:t>
      </w:r>
      <w:r w:rsidR="000E792A">
        <w:t xml:space="preserve">identifying </w:t>
      </w:r>
      <w:r w:rsidR="00487E7C" w:rsidRPr="00B364CB">
        <w:t xml:space="preserve">potential </w:t>
      </w:r>
      <w:r w:rsidR="00AC2E4B" w:rsidRPr="00B364CB">
        <w:t xml:space="preserve">vulnerabilities in the domestic supply and </w:t>
      </w:r>
      <w:r w:rsidR="007E6051" w:rsidRPr="00B364CB">
        <w:t xml:space="preserve">define </w:t>
      </w:r>
      <w:r w:rsidR="00AC2E4B" w:rsidRPr="00B364CB">
        <w:t xml:space="preserve">R&amp;I actions to mitigate </w:t>
      </w:r>
      <w:r w:rsidR="007E6051" w:rsidRPr="00B364CB">
        <w:t>such weaknesses</w:t>
      </w:r>
      <w:r w:rsidR="00FC0E31" w:rsidRPr="00B364CB">
        <w:t xml:space="preserve">. </w:t>
      </w:r>
      <w:r w:rsidR="003F14DC" w:rsidRPr="00B364CB">
        <w:t xml:space="preserve">While the study will focus primarily on the </w:t>
      </w:r>
      <w:r w:rsidR="00487E7C" w:rsidRPr="00B364CB">
        <w:t xml:space="preserve">market </w:t>
      </w:r>
      <w:r w:rsidR="003F14DC" w:rsidRPr="00B364CB">
        <w:t xml:space="preserve">supply side, the economic aspects should be also captured through </w:t>
      </w:r>
      <w:r w:rsidR="0010479A" w:rsidRPr="00B364CB">
        <w:t>a</w:t>
      </w:r>
      <w:r w:rsidR="003F14DC" w:rsidRPr="00B364CB">
        <w:t xml:space="preserve"> value chain analysis. </w:t>
      </w:r>
    </w:p>
    <w:p w14:paraId="197F7310" w14:textId="2871A4E6" w:rsidR="00B805A4" w:rsidRPr="00B364CB" w:rsidRDefault="009B0756" w:rsidP="00FF59DB">
      <w:pPr>
        <w:pStyle w:val="MAWP-Bodytext"/>
      </w:pPr>
      <w:r w:rsidRPr="00B364CB">
        <w:t xml:space="preserve">Another </w:t>
      </w:r>
      <w:r w:rsidR="0058308F" w:rsidRPr="00B364CB">
        <w:t xml:space="preserve">key </w:t>
      </w:r>
      <w:r w:rsidR="003B718B" w:rsidRPr="00B364CB">
        <w:t>objective</w:t>
      </w:r>
      <w:r w:rsidR="00072763" w:rsidRPr="00B364CB">
        <w:t xml:space="preserve"> </w:t>
      </w:r>
      <w:r w:rsidRPr="00B364CB">
        <w:t xml:space="preserve">is to </w:t>
      </w:r>
      <w:r w:rsidR="0058308F" w:rsidRPr="00B364CB">
        <w:t xml:space="preserve">bring relevant hydrogen technologies close to commercialisation and </w:t>
      </w:r>
      <w:r w:rsidRPr="00B364CB">
        <w:t>support</w:t>
      </w:r>
      <w:r w:rsidR="00B74992" w:rsidRPr="00B364CB">
        <w:t>,</w:t>
      </w:r>
      <w:r w:rsidRPr="00B364CB">
        <w:t xml:space="preserve"> </w:t>
      </w:r>
      <w:r w:rsidR="0058308F" w:rsidRPr="00B364CB">
        <w:t xml:space="preserve">from </w:t>
      </w:r>
      <w:r w:rsidR="0099428A" w:rsidRPr="00B364CB">
        <w:t xml:space="preserve">a </w:t>
      </w:r>
      <w:r w:rsidR="0058308F" w:rsidRPr="00B364CB">
        <w:t>technological point of view</w:t>
      </w:r>
      <w:r w:rsidR="00B74992" w:rsidRPr="00B364CB">
        <w:t>,</w:t>
      </w:r>
      <w:r w:rsidR="0058308F" w:rsidRPr="00B364CB">
        <w:t xml:space="preserve"> the</w:t>
      </w:r>
      <w:r w:rsidR="00E07278" w:rsidRPr="00B364CB">
        <w:t xml:space="preserve"> </w:t>
      </w:r>
      <w:r w:rsidR="00036AD0" w:rsidRPr="00B364CB">
        <w:t>increas</w:t>
      </w:r>
      <w:r w:rsidR="00432473" w:rsidRPr="00B364CB">
        <w:t>e</w:t>
      </w:r>
      <w:r w:rsidRPr="00B364CB">
        <w:t xml:space="preserve"> of </w:t>
      </w:r>
      <w:r w:rsidR="00D816C5" w:rsidRPr="00B364CB">
        <w:t>production</w:t>
      </w:r>
      <w:r w:rsidRPr="00B364CB">
        <w:t xml:space="preserve"> capacity in Europe. </w:t>
      </w:r>
      <w:r w:rsidR="002C30C7" w:rsidRPr="00B364CB">
        <w:t xml:space="preserve">Cross-border cooperation, </w:t>
      </w:r>
      <w:r w:rsidR="00F63C45" w:rsidRPr="00B364CB">
        <w:rPr>
          <w:rFonts w:cstheme="minorHAnsi"/>
          <w:color w:val="000000" w:themeColor="dark1"/>
          <w:kern w:val="24"/>
        </w:rPr>
        <w:t xml:space="preserve">pan European research and technology infrastructures with </w:t>
      </w:r>
      <w:r w:rsidR="001F3B60" w:rsidRPr="00B364CB">
        <w:t>leverage</w:t>
      </w:r>
      <w:r w:rsidR="00A77DD6" w:rsidRPr="00B364CB">
        <w:t>d</w:t>
      </w:r>
      <w:r w:rsidR="001F3B60" w:rsidRPr="00B364CB">
        <w:t xml:space="preserve"> </w:t>
      </w:r>
      <w:r w:rsidR="002C30C7" w:rsidRPr="00B364CB">
        <w:t>R&amp;I investments</w:t>
      </w:r>
      <w:r w:rsidR="00503E54" w:rsidRPr="00B364CB">
        <w:t>, skills for cross-cutting activities</w:t>
      </w:r>
      <w:r w:rsidR="002C30C7" w:rsidRPr="00B364CB">
        <w:t xml:space="preserve"> and synergies with other </w:t>
      </w:r>
      <w:r w:rsidR="00135FC3" w:rsidRPr="00B364CB">
        <w:t xml:space="preserve">EU </w:t>
      </w:r>
      <w:r w:rsidR="002C30C7" w:rsidRPr="00B364CB">
        <w:t>initiatives</w:t>
      </w:r>
      <w:r w:rsidR="00135FC3" w:rsidRPr="00B364CB">
        <w:t xml:space="preserve"> </w:t>
      </w:r>
      <w:r w:rsidR="00487E7C" w:rsidRPr="00B364CB">
        <w:t xml:space="preserve">and </w:t>
      </w:r>
      <w:r w:rsidR="002C30C7" w:rsidRPr="00B364CB">
        <w:t xml:space="preserve">funding </w:t>
      </w:r>
      <w:r w:rsidR="00135FC3" w:rsidRPr="00B364CB">
        <w:t xml:space="preserve">programmes </w:t>
      </w:r>
      <w:r w:rsidR="002C30C7" w:rsidRPr="00B364CB">
        <w:t>will promote further the industrialisation</w:t>
      </w:r>
      <w:r w:rsidR="00632104" w:rsidRPr="00B364CB">
        <w:t xml:space="preserve"> and commercialisation of hydrogen</w:t>
      </w:r>
      <w:r w:rsidR="00487E7C" w:rsidRPr="00B364CB">
        <w:t>-based</w:t>
      </w:r>
      <w:r w:rsidR="00632104" w:rsidRPr="00B364CB">
        <w:t xml:space="preserve"> technologies. </w:t>
      </w:r>
      <w:r w:rsidR="00432473" w:rsidRPr="00B364CB">
        <w:t>In addition, a greater participation of major European manufacturers is n</w:t>
      </w:r>
      <w:r w:rsidR="00B805A4" w:rsidRPr="00B364CB">
        <w:t>eeded in the whole supply chain, which can be stimulated by raising public and industry awareness.</w:t>
      </w:r>
    </w:p>
    <w:p w14:paraId="3DE88767" w14:textId="48E91566" w:rsidR="00E22A0D" w:rsidRPr="00B364CB" w:rsidRDefault="00E22A0D" w:rsidP="001F3B60">
      <w:pPr>
        <w:pStyle w:val="MAWP-Bodytext"/>
      </w:pPr>
      <w:r w:rsidRPr="00B364CB">
        <w:t xml:space="preserve">A common understanding of the impact of materials in contact with hydrogen is needed not </w:t>
      </w:r>
      <w:r w:rsidRPr="00B364CB">
        <w:lastRenderedPageBreak/>
        <w:t>only for structural and safety reasons</w:t>
      </w:r>
      <w:r w:rsidR="00503E54" w:rsidRPr="00B364CB">
        <w:t>,</w:t>
      </w:r>
      <w:r w:rsidRPr="00B364CB">
        <w:t xml:space="preserve"> but also on the quality</w:t>
      </w:r>
      <w:r w:rsidR="00793213" w:rsidRPr="00B364CB">
        <w:t xml:space="preserve"> </w:t>
      </w:r>
      <w:r w:rsidRPr="00B364CB">
        <w:t>of hydrogen for vari</w:t>
      </w:r>
      <w:r w:rsidR="00D25B34">
        <w:t>ous applications. As an example</w:t>
      </w:r>
      <w:r w:rsidRPr="00B364CB">
        <w:t xml:space="preserve"> </w:t>
      </w:r>
      <w:r w:rsidR="00503E54" w:rsidRPr="00B364CB">
        <w:t>w</w:t>
      </w:r>
      <w:r w:rsidRPr="00B364CB">
        <w:t xml:space="preserve">hile fuel cells are reacting quite sensitive to minor outgassing of sulphur containing species, </w:t>
      </w:r>
      <w:r w:rsidR="00503E54" w:rsidRPr="00B364CB">
        <w:t>s</w:t>
      </w:r>
      <w:r w:rsidRPr="00B364CB">
        <w:t xml:space="preserve">uch traces are irrelevant in combustion engines, turbines of steel production. </w:t>
      </w:r>
    </w:p>
    <w:p w14:paraId="4CA4D48B" w14:textId="784DF316" w:rsidR="005A3BA0" w:rsidRDefault="00AA213F" w:rsidP="00FF59DB">
      <w:pPr>
        <w:pStyle w:val="MAWP-Bodytext"/>
      </w:pPr>
      <w:r w:rsidRPr="00B364CB">
        <w:t>R</w:t>
      </w:r>
      <w:r w:rsidR="001167DC" w:rsidRPr="00B364CB">
        <w:t xml:space="preserve">educing the use of </w:t>
      </w:r>
      <w:r w:rsidR="003C2464" w:rsidRPr="00B364CB">
        <w:t>CRMs</w:t>
      </w:r>
      <w:r w:rsidR="00B805A4" w:rsidRPr="00B364CB">
        <w:t xml:space="preserve"> in hydrogen</w:t>
      </w:r>
      <w:r w:rsidR="004948C7" w:rsidRPr="00B364CB">
        <w:t xml:space="preserve"> electrolysers and fuel cell</w:t>
      </w:r>
      <w:r w:rsidR="0099428A" w:rsidRPr="00B364CB">
        <w:t>s</w:t>
      </w:r>
      <w:r w:rsidR="005A3BA0" w:rsidRPr="00B364CB">
        <w:t xml:space="preserve">, </w:t>
      </w:r>
      <w:r w:rsidR="0079209E" w:rsidRPr="00B364CB">
        <w:t>sustaining</w:t>
      </w:r>
      <w:r w:rsidR="001167DC" w:rsidRPr="00B364CB">
        <w:t xml:space="preserve"> </w:t>
      </w:r>
      <w:r w:rsidR="005A01F9">
        <w:t xml:space="preserve">the recovery and </w:t>
      </w:r>
      <w:r w:rsidR="005A3BA0" w:rsidRPr="00B364CB">
        <w:t>recycling</w:t>
      </w:r>
      <w:r w:rsidR="006512EF" w:rsidRPr="00B364CB">
        <w:t xml:space="preserve"> </w:t>
      </w:r>
      <w:r w:rsidR="005A01F9">
        <w:t xml:space="preserve">of by-products and wastes, </w:t>
      </w:r>
      <w:r w:rsidR="006512EF" w:rsidRPr="00B364CB">
        <w:t xml:space="preserve">and circularity of </w:t>
      </w:r>
      <w:r w:rsidR="005A01F9">
        <w:t xml:space="preserve">end-of-life </w:t>
      </w:r>
      <w:r w:rsidR="006512EF" w:rsidRPr="00B364CB">
        <w:t xml:space="preserve">products will </w:t>
      </w:r>
      <w:r w:rsidR="005A3BA0" w:rsidRPr="00B364CB">
        <w:t xml:space="preserve">reinforce </w:t>
      </w:r>
      <w:r w:rsidR="006512EF" w:rsidRPr="00B364CB">
        <w:t>the</w:t>
      </w:r>
      <w:r w:rsidR="00B805A4" w:rsidRPr="00B364CB">
        <w:t xml:space="preserve"> upstream part of the </w:t>
      </w:r>
      <w:r w:rsidR="005A3BA0" w:rsidRPr="00B364CB">
        <w:t xml:space="preserve">supply chain. </w:t>
      </w:r>
    </w:p>
    <w:p w14:paraId="4DFDDDED" w14:textId="6A233EDF" w:rsidR="00734CF7" w:rsidRPr="00D25B34" w:rsidRDefault="00734CF7" w:rsidP="00FF59DB">
      <w:pPr>
        <w:pStyle w:val="MAWP-Bodytext"/>
      </w:pPr>
      <w:r w:rsidRPr="00D25B34">
        <w:t>Overall, the main objective</w:t>
      </w:r>
      <w:r w:rsidR="00D25B34">
        <w:t>s</w:t>
      </w:r>
      <w:r w:rsidRPr="00D25B34">
        <w:t xml:space="preserve"> </w:t>
      </w:r>
      <w:r w:rsidR="00D25B34">
        <w:t>of</w:t>
      </w:r>
      <w:r w:rsidRPr="00D25B34">
        <w:t xml:space="preserve"> this pillar can be summarised to:</w:t>
      </w:r>
    </w:p>
    <w:p w14:paraId="24083A59" w14:textId="31DE7D2C" w:rsidR="00734CF7" w:rsidRPr="00D25B34" w:rsidRDefault="00734CF7" w:rsidP="002256F6">
      <w:pPr>
        <w:pStyle w:val="MAWP-Bodytext"/>
        <w:numPr>
          <w:ilvl w:val="0"/>
          <w:numId w:val="62"/>
        </w:numPr>
      </w:pPr>
      <w:r w:rsidRPr="00D25B34">
        <w:t xml:space="preserve">Identification of potential vulnerabilities in EUs hydrogen </w:t>
      </w:r>
      <w:r w:rsidR="00D25B34">
        <w:t>supply</w:t>
      </w:r>
      <w:r w:rsidRPr="00D25B34">
        <w:t xml:space="preserve"> chain;</w:t>
      </w:r>
    </w:p>
    <w:p w14:paraId="46AE0100" w14:textId="208AE5A9" w:rsidR="00734CF7" w:rsidRPr="00D25B34" w:rsidRDefault="00734CF7" w:rsidP="002256F6">
      <w:pPr>
        <w:pStyle w:val="MAWP-Bodytext"/>
        <w:numPr>
          <w:ilvl w:val="0"/>
          <w:numId w:val="62"/>
        </w:numPr>
      </w:pPr>
      <w:r w:rsidRPr="00D25B34">
        <w:t>Development of new and improved manufacturing technologies and production processes</w:t>
      </w:r>
      <w:r w:rsidR="008322D9">
        <w:t xml:space="preserve"> that facilitate the safe</w:t>
      </w:r>
      <w:r w:rsidR="0016734E">
        <w:t xml:space="preserve"> and sustainable use of non-critical (raw) materials as well as facilitate the adoption of the circular economy principles</w:t>
      </w:r>
      <w:r w:rsidRPr="00D25B34">
        <w:t>;</w:t>
      </w:r>
    </w:p>
    <w:p w14:paraId="7A5CE619" w14:textId="2B453504" w:rsidR="00734CF7" w:rsidRPr="00D25B34" w:rsidRDefault="00734CF7" w:rsidP="002256F6">
      <w:pPr>
        <w:pStyle w:val="MAWPBodyTextNumbered"/>
        <w:numPr>
          <w:ilvl w:val="0"/>
          <w:numId w:val="62"/>
        </w:numPr>
      </w:pPr>
      <w:r w:rsidRPr="00D25B34">
        <w:t xml:space="preserve">Reducing the use of critical </w:t>
      </w:r>
      <w:r w:rsidR="001577D7">
        <w:t>(</w:t>
      </w:r>
      <w:r w:rsidRPr="00D25B34">
        <w:t>raw</w:t>
      </w:r>
      <w:r w:rsidR="001577D7">
        <w:t>)</w:t>
      </w:r>
      <w:r w:rsidRPr="00D25B34">
        <w:t xml:space="preserve"> materials.</w:t>
      </w:r>
      <w:r w:rsidR="001E1177" w:rsidRPr="001E1177">
        <w:t xml:space="preserve"> with sustainability or environmental concerns, such as for instance those deriving from poly/perfluoroalkyls</w:t>
      </w:r>
      <w:r w:rsidR="00A74BAF">
        <w:t>.</w:t>
      </w:r>
    </w:p>
    <w:p w14:paraId="4A4F4C00" w14:textId="6E37CA11" w:rsidR="002C6416" w:rsidRPr="00CE70C1" w:rsidRDefault="002C6416" w:rsidP="002C6416">
      <w:pPr>
        <w:pStyle w:val="MAWP-Bodytext"/>
      </w:pPr>
      <w:r w:rsidRPr="00CE70C1">
        <w:t xml:space="preserve">In order to contribute towards achieving the above objectives, the following areas of research and development appear as good candidates for the support by the </w:t>
      </w:r>
      <w:r w:rsidR="00831A2C">
        <w:t xml:space="preserve">Clean Hydrogen </w:t>
      </w:r>
      <w:r w:rsidRPr="00CE70C1">
        <w:t>JU.</w:t>
      </w:r>
    </w:p>
    <w:p w14:paraId="66B0B6B1" w14:textId="3B461133" w:rsidR="00F13A59" w:rsidRPr="00B364CB" w:rsidRDefault="00167FEC" w:rsidP="00167FEC">
      <w:pPr>
        <w:pStyle w:val="MAWPHeadingStyleLevel4"/>
        <w:rPr>
          <w:rFonts w:cs="Arial"/>
          <w:b/>
        </w:rPr>
      </w:pPr>
      <w:r w:rsidRPr="00B364CB">
        <w:t xml:space="preserve">R&amp;D Priorities - Early </w:t>
      </w:r>
      <w:r w:rsidR="008839B3" w:rsidRPr="00B364CB">
        <w:t xml:space="preserve">Stage </w:t>
      </w:r>
      <w:r w:rsidRPr="00B364CB">
        <w:t>Research Actions</w:t>
      </w:r>
    </w:p>
    <w:p w14:paraId="2603D183" w14:textId="37024BDA" w:rsidR="005A3BA0" w:rsidRPr="00B364CB" w:rsidRDefault="005A3BA0" w:rsidP="00FF59DB">
      <w:pPr>
        <w:pStyle w:val="MAWPBodytextbullets"/>
      </w:pPr>
      <w:r w:rsidRPr="00B364CB">
        <w:t>Develop</w:t>
      </w:r>
      <w:r w:rsidR="000F41E0" w:rsidRPr="00B364CB">
        <w:t>ment of</w:t>
      </w:r>
      <w:r w:rsidRPr="00B364CB">
        <w:t xml:space="preserve"> new manufacturing technologies and production processes, including innovative sensors and actuators for semi-automation and automation of </w:t>
      </w:r>
      <w:r w:rsidR="00D93808" w:rsidRPr="00B364CB">
        <w:t>equipment production</w:t>
      </w:r>
      <w:r w:rsidR="00B66A42" w:rsidRPr="00B364CB">
        <w:t xml:space="preserve"> and real-time quality control</w:t>
      </w:r>
      <w:r w:rsidR="009650CC" w:rsidRPr="00B364CB">
        <w:t>;</w:t>
      </w:r>
    </w:p>
    <w:p w14:paraId="7B8958B1" w14:textId="6B9B77AD" w:rsidR="005A3BA0" w:rsidRPr="00B364CB" w:rsidRDefault="000F41E0" w:rsidP="00FF59DB">
      <w:pPr>
        <w:pStyle w:val="MAWPBodytextbullets"/>
      </w:pPr>
      <w:r w:rsidRPr="00B364CB">
        <w:t xml:space="preserve">Improve production speed, </w:t>
      </w:r>
      <w:r w:rsidR="00DE32D8">
        <w:t>circularity,</w:t>
      </w:r>
      <w:r w:rsidR="00DE32D8" w:rsidRPr="00B364CB">
        <w:t xml:space="preserve"> </w:t>
      </w:r>
      <w:r w:rsidRPr="00B364CB">
        <w:t>process capabilities and production yield through fast detection of defects,</w:t>
      </w:r>
      <w:r w:rsidR="005A3BA0" w:rsidRPr="00B364CB">
        <w:t xml:space="preserve"> technical cleanliness</w:t>
      </w:r>
      <w:r w:rsidRPr="00B364CB">
        <w:t>, etc</w:t>
      </w:r>
      <w:r w:rsidR="009650CC" w:rsidRPr="00B364CB">
        <w:t>;</w:t>
      </w:r>
    </w:p>
    <w:p w14:paraId="611FE433" w14:textId="78A76FC1" w:rsidR="005A3BA0" w:rsidRPr="00B364CB" w:rsidRDefault="00167FEC" w:rsidP="00167FEC">
      <w:pPr>
        <w:pStyle w:val="MAWPHeadingStyleLevel4"/>
      </w:pPr>
      <w:r w:rsidRPr="00B364CB">
        <w:t xml:space="preserve">R&amp;D Priorities - </w:t>
      </w:r>
      <w:r w:rsidR="005A3BA0" w:rsidRPr="00B364CB">
        <w:t xml:space="preserve">Development </w:t>
      </w:r>
      <w:r w:rsidR="008839B3" w:rsidRPr="00B364CB">
        <w:t xml:space="preserve">Research </w:t>
      </w:r>
      <w:r w:rsidRPr="00B364CB">
        <w:t>A</w:t>
      </w:r>
      <w:r w:rsidR="005A3BA0" w:rsidRPr="00B364CB">
        <w:t>ctions</w:t>
      </w:r>
    </w:p>
    <w:p w14:paraId="1F826B2C" w14:textId="3E5F123E" w:rsidR="005A3BA0" w:rsidRPr="00B364CB" w:rsidRDefault="005A3BA0" w:rsidP="00FF59DB">
      <w:pPr>
        <w:pStyle w:val="MAWPBodytextbullets"/>
      </w:pPr>
      <w:r w:rsidRPr="00B364CB">
        <w:t>Continuous mapping</w:t>
      </w:r>
      <w:r w:rsidR="00D25BE3" w:rsidRPr="00B364CB">
        <w:t>, gap analysis</w:t>
      </w:r>
      <w:r w:rsidRPr="00B364CB">
        <w:t xml:space="preserve"> and monitoring </w:t>
      </w:r>
      <w:r w:rsidR="0099428A" w:rsidRPr="00B364CB">
        <w:t xml:space="preserve">of </w:t>
      </w:r>
      <w:r w:rsidR="000F41E0" w:rsidRPr="00B364CB">
        <w:t xml:space="preserve">the </w:t>
      </w:r>
      <w:r w:rsidRPr="00B364CB">
        <w:t>critical components and sub</w:t>
      </w:r>
      <w:r w:rsidR="005F3C96" w:rsidRPr="00B364CB">
        <w:t>-</w:t>
      </w:r>
      <w:r w:rsidRPr="00B364CB">
        <w:t>systems</w:t>
      </w:r>
      <w:r w:rsidR="0049076C" w:rsidRPr="00B364CB">
        <w:t xml:space="preserve"> supply</w:t>
      </w:r>
      <w:r w:rsidRPr="00B364CB">
        <w:t xml:space="preserve">, weaknesses and bottlenecks along the hydrogen supply chain </w:t>
      </w:r>
      <w:r w:rsidR="005F3C96" w:rsidRPr="00B364CB">
        <w:t>through</w:t>
      </w:r>
      <w:r w:rsidRPr="00B364CB">
        <w:t xml:space="preserve"> joint, well-coordinated act</w:t>
      </w:r>
      <w:r w:rsidR="0049076C" w:rsidRPr="00B364CB">
        <w:t>ions</w:t>
      </w:r>
      <w:r w:rsidR="009650CC" w:rsidRPr="00B364CB">
        <w:t xml:space="preserve">; </w:t>
      </w:r>
    </w:p>
    <w:p w14:paraId="69562703" w14:textId="563D45BE" w:rsidR="005A3BA0" w:rsidRPr="00B364CB" w:rsidRDefault="005A3BA0" w:rsidP="00FF59DB">
      <w:pPr>
        <w:pStyle w:val="MAWPBodytextbullets"/>
      </w:pPr>
      <w:r w:rsidRPr="00B364CB">
        <w:t xml:space="preserve">Identifying changes in manufacturing approach that will </w:t>
      </w:r>
      <w:r w:rsidR="00236F95" w:rsidRPr="00B364CB">
        <w:t>improve</w:t>
      </w:r>
      <w:r w:rsidRPr="00B364CB">
        <w:t xml:space="preserve"> production speed</w:t>
      </w:r>
      <w:r w:rsidR="00AF037F">
        <w:t>,</w:t>
      </w:r>
      <w:r w:rsidRPr="00B364CB">
        <w:t xml:space="preserve"> labour costs</w:t>
      </w:r>
      <w:r w:rsidR="00AF037F">
        <w:t xml:space="preserve"> and circularity.</w:t>
      </w:r>
    </w:p>
    <w:p w14:paraId="607FFD71" w14:textId="09B3C40F" w:rsidR="00E76946" w:rsidRPr="00B364CB" w:rsidRDefault="00E76946" w:rsidP="00E76946">
      <w:pPr>
        <w:pStyle w:val="MAWPBodytextbullets"/>
      </w:pPr>
      <w:r w:rsidRPr="00B364CB">
        <w:t xml:space="preserve">Identification of materials in contact with hydrogen for different use cases. </w:t>
      </w:r>
    </w:p>
    <w:p w14:paraId="2593D694" w14:textId="56A41BD4" w:rsidR="005A3BA0" w:rsidRPr="00B364CB" w:rsidRDefault="005A3BA0" w:rsidP="00FF59DB">
      <w:pPr>
        <w:pStyle w:val="MAWPBodytextbullets"/>
      </w:pPr>
      <w:r w:rsidRPr="00B364CB">
        <w:t>Training</w:t>
      </w:r>
      <w:r w:rsidR="007E507D" w:rsidRPr="00B364CB">
        <w:t xml:space="preserve"> and skills</w:t>
      </w:r>
      <w:r w:rsidRPr="00B364CB">
        <w:t xml:space="preserve"> on manufacturing (qualified people, technicians, maintenance and after-sales, etc.), linked with cross-cutting activities</w:t>
      </w:r>
      <w:r w:rsidR="009650CC" w:rsidRPr="00B364CB">
        <w:t>;</w:t>
      </w:r>
    </w:p>
    <w:p w14:paraId="7923E68C" w14:textId="58A9B89A" w:rsidR="005A3BA0" w:rsidRPr="00B364CB" w:rsidRDefault="005A3BA0" w:rsidP="00FF59DB">
      <w:pPr>
        <w:pStyle w:val="MAWPBodytextbullets"/>
      </w:pPr>
      <w:r w:rsidRPr="00B364CB">
        <w:t>Integration of new manufacturing technologies and improv</w:t>
      </w:r>
      <w:r w:rsidR="00236F95" w:rsidRPr="00B364CB">
        <w:t>e the</w:t>
      </w:r>
      <w:r w:rsidRPr="00B364CB">
        <w:t xml:space="preserve"> production speed, </w:t>
      </w:r>
      <w:r w:rsidR="001B2B62">
        <w:t>circularity</w:t>
      </w:r>
      <w:r w:rsidR="00DE32D8">
        <w:t>,</w:t>
      </w:r>
      <w:r w:rsidR="001B2B62">
        <w:t xml:space="preserve"> </w:t>
      </w:r>
      <w:r w:rsidRPr="00B364CB">
        <w:t>process capabilities and yield in parallel with real-time quality control in the manufacturing process</w:t>
      </w:r>
      <w:r w:rsidR="009650CC" w:rsidRPr="00B364CB">
        <w:t xml:space="preserve">; </w:t>
      </w:r>
    </w:p>
    <w:p w14:paraId="71B9587F" w14:textId="72657BFB" w:rsidR="0049076C" w:rsidRPr="00B364CB" w:rsidRDefault="0049076C" w:rsidP="00FF59DB">
      <w:pPr>
        <w:pStyle w:val="MAWPBodytextbullets"/>
      </w:pPr>
      <w:r w:rsidRPr="00B364CB">
        <w:t>I</w:t>
      </w:r>
      <w:r w:rsidR="00D93FEE" w:rsidRPr="00B364CB">
        <w:t>dentification of</w:t>
      </w:r>
      <w:r w:rsidRPr="00B364CB">
        <w:t xml:space="preserve"> synergies between EU suppliers of machines with multiple uses that can contribute to increasing the manufacturing capacity of </w:t>
      </w:r>
      <w:r w:rsidR="00D93FEE" w:rsidRPr="00B364CB">
        <w:t>hydrogen technologies</w:t>
      </w:r>
      <w:r w:rsidR="009650CC" w:rsidRPr="00B364CB">
        <w:t>;</w:t>
      </w:r>
    </w:p>
    <w:p w14:paraId="394B00B3" w14:textId="089BAE65" w:rsidR="005A3BA0" w:rsidRPr="00B364CB" w:rsidRDefault="005A3BA0" w:rsidP="00FF59DB">
      <w:pPr>
        <w:pStyle w:val="MAWPBodytextbullets"/>
      </w:pPr>
      <w:r w:rsidRPr="00B364CB">
        <w:t xml:space="preserve">Exploring the possibility of using </w:t>
      </w:r>
      <w:r w:rsidR="00A14D06" w:rsidRPr="00B364CB">
        <w:t xml:space="preserve">artificial intelligence </w:t>
      </w:r>
      <w:r w:rsidRPr="00B364CB">
        <w:t>and other emerging digital technologies to improve the manufacturing and/or maintenance of fuel cells, electrolyser components or other crucial equipment</w:t>
      </w:r>
      <w:r w:rsidR="009650CC" w:rsidRPr="00B364CB">
        <w:t>;</w:t>
      </w:r>
    </w:p>
    <w:p w14:paraId="0D669DE2" w14:textId="1464EE62" w:rsidR="005A3BA0" w:rsidRPr="00B364CB" w:rsidRDefault="005A3BA0" w:rsidP="00FF59DB">
      <w:pPr>
        <w:pStyle w:val="MAWPBodytextbullets"/>
      </w:pPr>
      <w:r w:rsidRPr="00B364CB">
        <w:t>The creation of Digital Twin tools, for failure and reli</w:t>
      </w:r>
      <w:r w:rsidR="00236F95" w:rsidRPr="00B364CB">
        <w:t xml:space="preserve">ability forecasts, grid stabilisation, </w:t>
      </w:r>
      <w:r w:rsidR="00236F95" w:rsidRPr="00B364CB">
        <w:lastRenderedPageBreak/>
        <w:t>system optimis</w:t>
      </w:r>
      <w:r w:rsidRPr="00B364CB">
        <w:t>ation, risk assessment, rene</w:t>
      </w:r>
      <w:r w:rsidR="00236F95" w:rsidRPr="00B364CB">
        <w:t>wable energy integration impact</w:t>
      </w:r>
      <w:r w:rsidRPr="00B364CB">
        <w:t xml:space="preserve"> as well as virtual testbeds for new business models, and economical feasibility of new concepts</w:t>
      </w:r>
      <w:r w:rsidR="009650CC" w:rsidRPr="00B364CB">
        <w:t>;</w:t>
      </w:r>
    </w:p>
    <w:p w14:paraId="34C3AC30" w14:textId="77777777" w:rsidR="005A3BA0" w:rsidRPr="00B364CB" w:rsidRDefault="005A3BA0" w:rsidP="00FF59DB">
      <w:pPr>
        <w:pStyle w:val="MAWPBodytextbullets"/>
      </w:pPr>
      <w:r w:rsidRPr="00B364CB">
        <w:t>Exploring the Distributed Ledger Technologies to establish a trusted sector coupled co-creating eco-system.</w:t>
      </w:r>
    </w:p>
    <w:p w14:paraId="51B1730C" w14:textId="0D30FE10" w:rsidR="005A3BA0" w:rsidRPr="00B364CB" w:rsidRDefault="00F43A04" w:rsidP="00167FEC">
      <w:pPr>
        <w:pStyle w:val="MAWPHeadingStyleLevel4"/>
      </w:pPr>
      <w:r w:rsidRPr="00B364CB">
        <w:t>R&amp;D Priorities - Demonstration Actions</w:t>
      </w:r>
    </w:p>
    <w:p w14:paraId="1F976363" w14:textId="5401BA08" w:rsidR="005A3BA0" w:rsidRPr="00B364CB" w:rsidRDefault="005A3BA0" w:rsidP="00FF59DB">
      <w:pPr>
        <w:pStyle w:val="MAWPBodytextbullets"/>
      </w:pPr>
      <w:r w:rsidRPr="00B364CB">
        <w:t xml:space="preserve">Supply chain innovation </w:t>
      </w:r>
      <w:r w:rsidR="00D93FEE" w:rsidRPr="00B364CB">
        <w:t>approach</w:t>
      </w:r>
      <w:r w:rsidRPr="00B364CB">
        <w:t xml:space="preserve"> </w:t>
      </w:r>
      <w:r w:rsidR="007E507D" w:rsidRPr="00B364CB">
        <w:t xml:space="preserve">and implementation of quality measures </w:t>
      </w:r>
      <w:r w:rsidRPr="00B364CB">
        <w:t>within medium and large manufacturing capacity</w:t>
      </w:r>
      <w:r w:rsidR="009650CC" w:rsidRPr="00B364CB">
        <w:t>;</w:t>
      </w:r>
    </w:p>
    <w:p w14:paraId="5953A3F4" w14:textId="125B4177" w:rsidR="0068049C" w:rsidRPr="00B364CB" w:rsidRDefault="00C17072" w:rsidP="006A1121">
      <w:pPr>
        <w:pStyle w:val="MAWPBodytextbullets"/>
      </w:pPr>
      <w:r w:rsidRPr="00B364CB">
        <w:rPr>
          <w:rFonts w:cstheme="minorHAnsi"/>
          <w:color w:val="000000" w:themeColor="dark1"/>
          <w:kern w:val="24"/>
        </w:rPr>
        <w:t xml:space="preserve">Development of pan European technology </w:t>
      </w:r>
      <w:r w:rsidR="001577D7">
        <w:rPr>
          <w:rFonts w:cstheme="minorHAnsi"/>
          <w:color w:val="000000" w:themeColor="dark1"/>
          <w:kern w:val="24"/>
        </w:rPr>
        <w:t>(</w:t>
      </w:r>
      <w:r w:rsidR="00AD1A4E">
        <w:rPr>
          <w:rFonts w:cstheme="minorHAnsi"/>
          <w:color w:val="000000" w:themeColor="dark1"/>
          <w:kern w:val="24"/>
        </w:rPr>
        <w:t>testing</w:t>
      </w:r>
      <w:r w:rsidR="001577D7">
        <w:rPr>
          <w:rFonts w:cstheme="minorHAnsi"/>
          <w:color w:val="000000" w:themeColor="dark1"/>
          <w:kern w:val="24"/>
        </w:rPr>
        <w:t>)</w:t>
      </w:r>
      <w:r w:rsidR="00AD1A4E">
        <w:rPr>
          <w:rFonts w:cstheme="minorHAnsi"/>
          <w:color w:val="000000" w:themeColor="dark1"/>
          <w:kern w:val="24"/>
        </w:rPr>
        <w:t xml:space="preserve"> </w:t>
      </w:r>
      <w:r w:rsidRPr="00B364CB">
        <w:rPr>
          <w:rFonts w:cstheme="minorHAnsi"/>
          <w:color w:val="000000" w:themeColor="dark1"/>
          <w:kern w:val="24"/>
        </w:rPr>
        <w:t xml:space="preserve">platforms based on the </w:t>
      </w:r>
      <w:r w:rsidRPr="00B364CB">
        <w:t>gap analysis of the study of the supply and value chains</w:t>
      </w:r>
      <w:r w:rsidR="001B2B62">
        <w:t>.</w:t>
      </w:r>
    </w:p>
    <w:p w14:paraId="57A6CAFF" w14:textId="295175A8" w:rsidR="006A1121" w:rsidRPr="00B364CB" w:rsidRDefault="006A1121" w:rsidP="006802D3">
      <w:pPr>
        <w:pStyle w:val="Subtitle"/>
      </w:pPr>
      <w:bookmarkStart w:id="132" w:name="_Ref71613833"/>
      <w:bookmarkStart w:id="133" w:name="_Toc93907340"/>
      <w:r w:rsidRPr="00B364CB">
        <w:t>Strategic Research Challenges</w:t>
      </w:r>
      <w:bookmarkEnd w:id="132"/>
      <w:bookmarkEnd w:id="133"/>
      <w:r w:rsidRPr="00B364CB">
        <w:t xml:space="preserve"> </w:t>
      </w:r>
    </w:p>
    <w:p w14:paraId="303FF0D5" w14:textId="5FE502F2" w:rsidR="00500038" w:rsidRDefault="007E0E03" w:rsidP="006A1121">
      <w:pPr>
        <w:pStyle w:val="MAWP-Bodytext"/>
      </w:pPr>
      <w:r w:rsidRPr="00B364CB">
        <w:t>T</w:t>
      </w:r>
      <w:r w:rsidR="00773E62" w:rsidRPr="00B364CB">
        <w:t>o ensure a continu</w:t>
      </w:r>
      <w:r w:rsidR="003C3988">
        <w:t>ous</w:t>
      </w:r>
      <w:r w:rsidRPr="00B364CB">
        <w:t xml:space="preserve"> generation</w:t>
      </w:r>
      <w:r w:rsidR="00773E62" w:rsidRPr="00B364CB">
        <w:t xml:space="preserve"> </w:t>
      </w:r>
      <w:r w:rsidRPr="00B364CB">
        <w:t>of</w:t>
      </w:r>
      <w:r w:rsidR="00773E62" w:rsidRPr="00B364CB">
        <w:t xml:space="preserve"> early stage research knowledge, the above actions will be supplemented by </w:t>
      </w:r>
      <w:r w:rsidR="005B1989" w:rsidRPr="00B364CB">
        <w:t>multidisciplinary</w:t>
      </w:r>
      <w:r w:rsidRPr="00B364CB">
        <w:t xml:space="preserve"> </w:t>
      </w:r>
      <w:r w:rsidR="00773E62" w:rsidRPr="00B364CB">
        <w:t>investigations</w:t>
      </w:r>
      <w:r w:rsidRPr="00B364CB">
        <w:t>,</w:t>
      </w:r>
      <w:r w:rsidR="00773E62" w:rsidRPr="00B364CB">
        <w:t xml:space="preserve"> </w:t>
      </w:r>
      <w:r w:rsidRPr="00B364CB">
        <w:t>gathering</w:t>
      </w:r>
      <w:r w:rsidR="005B1989" w:rsidRPr="00B364CB">
        <w:t xml:space="preserve"> </w:t>
      </w:r>
      <w:r w:rsidR="00773E62" w:rsidRPr="00B364CB">
        <w:t xml:space="preserve">expertise at different </w:t>
      </w:r>
      <w:r w:rsidRPr="00B364CB">
        <w:t xml:space="preserve">technology </w:t>
      </w:r>
      <w:r w:rsidR="00773E62" w:rsidRPr="00B364CB">
        <w:t>scale (materials, component, cell, stack</w:t>
      </w:r>
      <w:r w:rsidR="00135843">
        <w:t xml:space="preserve"> and</w:t>
      </w:r>
      <w:r w:rsidR="00773E62" w:rsidRPr="00B364CB">
        <w:t xml:space="preserve"> system). </w:t>
      </w:r>
      <w:r w:rsidR="005B1989" w:rsidRPr="00B364CB">
        <w:t>A</w:t>
      </w:r>
      <w:r w:rsidR="00773E62" w:rsidRPr="00B364CB">
        <w:t>ll the generated knowledge</w:t>
      </w:r>
      <w:r w:rsidR="005B1989" w:rsidRPr="00B364CB">
        <w:t xml:space="preserve"> needs also to be combined </w:t>
      </w:r>
      <w:r w:rsidR="00773E62" w:rsidRPr="00B364CB">
        <w:t xml:space="preserve">in such a way </w:t>
      </w:r>
      <w:r w:rsidR="005B1989" w:rsidRPr="00B364CB">
        <w:t xml:space="preserve">to </w:t>
      </w:r>
      <w:r w:rsidR="00773E62" w:rsidRPr="00B364CB">
        <w:t xml:space="preserve">allow </w:t>
      </w:r>
      <w:r w:rsidR="005B1989" w:rsidRPr="00B364CB">
        <w:t xml:space="preserve">further </w:t>
      </w:r>
      <w:r w:rsidR="00773E62" w:rsidRPr="00B364CB">
        <w:t>comprehensive interpretations. The usual superposition of 3-year research projects does not really appear to be the optimum option to ensure a continuum in early stage research knowledge. The proposed approach considers gathering, with a long-term vision</w:t>
      </w:r>
      <w:r w:rsidR="00DF5838" w:rsidRPr="00B364CB">
        <w:t xml:space="preserve"> and</w:t>
      </w:r>
      <w:r w:rsidR="00773E62" w:rsidRPr="00B364CB">
        <w:t xml:space="preserve"> covering the whole </w:t>
      </w:r>
      <w:r w:rsidR="00831A2C">
        <w:t xml:space="preserve">Clean Hydrogen </w:t>
      </w:r>
      <w:r w:rsidR="00773E62" w:rsidRPr="00B364CB">
        <w:t>JU activities, the needed capabilities and expertise from European Research and Technology Organisations</w:t>
      </w:r>
      <w:r w:rsidR="00DF5838" w:rsidRPr="00B364CB">
        <w:t xml:space="preserve"> (RTO)</w:t>
      </w:r>
      <w:r w:rsidR="00773E62" w:rsidRPr="00B364CB">
        <w:t>.</w:t>
      </w:r>
    </w:p>
    <w:p w14:paraId="5D470FB1" w14:textId="36CA755A" w:rsidR="006A1121" w:rsidRPr="00B364CB" w:rsidRDefault="00500038" w:rsidP="006A1121">
      <w:pPr>
        <w:pStyle w:val="MAWP-Bodytext"/>
      </w:pPr>
      <w:r>
        <w:t>Potential synergies in the field of basic research</w:t>
      </w:r>
      <w:r w:rsidR="007B28BE">
        <w:t xml:space="preserve"> linked to </w:t>
      </w:r>
      <w:r w:rsidR="00913BD2">
        <w:t xml:space="preserve">breakthrough </w:t>
      </w:r>
      <w:r w:rsidR="007B28BE">
        <w:t>hydrogen technologies</w:t>
      </w:r>
      <w:r>
        <w:t xml:space="preserve"> </w:t>
      </w:r>
      <w:r w:rsidR="00913BD2">
        <w:t xml:space="preserve">and innovation </w:t>
      </w:r>
      <w:r w:rsidR="007B28BE">
        <w:t>are</w:t>
      </w:r>
      <w:r>
        <w:t xml:space="preserve"> emphasised with the European Innovation Council (EIC), for example on the other routes of renewable hydrogen production through the EIC Pathfinder Challenge </w:t>
      </w:r>
      <w:r w:rsidR="007B28BE">
        <w:t>and</w:t>
      </w:r>
      <w:r>
        <w:t xml:space="preserve"> the </w:t>
      </w:r>
      <w:r w:rsidR="00F27831">
        <w:t>research areas</w:t>
      </w:r>
      <w:r w:rsidR="00A16611">
        <w:t xml:space="preserve"> on hydrogen</w:t>
      </w:r>
      <w:r w:rsidR="00F27831">
        <w:t xml:space="preserve"> </w:t>
      </w:r>
      <w:r w:rsidRPr="00500038">
        <w:t xml:space="preserve">proposed </w:t>
      </w:r>
      <w:r w:rsidR="00F27831">
        <w:t>by</w:t>
      </w:r>
      <w:r w:rsidR="00F27831" w:rsidRPr="00500038">
        <w:t xml:space="preserve"> </w:t>
      </w:r>
      <w:r w:rsidRPr="00500038">
        <w:t>the European Energy Research Alliance (EERA)</w:t>
      </w:r>
      <w:r>
        <w:t>.</w:t>
      </w:r>
    </w:p>
    <w:p w14:paraId="0A31E7AC" w14:textId="1F90F33D" w:rsidR="006A1121" w:rsidRPr="00B364CB" w:rsidRDefault="006A1121" w:rsidP="006A1121">
      <w:pPr>
        <w:pStyle w:val="MAWP-Bodytext"/>
      </w:pPr>
      <w:r w:rsidRPr="00B364CB">
        <w:t xml:space="preserve">The alignment of European RTOs’ efforts in critical </w:t>
      </w:r>
      <w:r w:rsidR="00DF5838" w:rsidRPr="00B364CB">
        <w:t xml:space="preserve">research </w:t>
      </w:r>
      <w:r w:rsidRPr="00B364CB">
        <w:t xml:space="preserve">areas enables to complement the strengths of each </w:t>
      </w:r>
      <w:r w:rsidR="00DF5838" w:rsidRPr="00B364CB">
        <w:t xml:space="preserve">organisation </w:t>
      </w:r>
      <w:r w:rsidRPr="00B364CB">
        <w:t xml:space="preserve">by streamlining access to unique research tools, developing missing strategic capabilities, and </w:t>
      </w:r>
      <w:r w:rsidR="00DF5838" w:rsidRPr="00B364CB">
        <w:t xml:space="preserve">developing </w:t>
      </w:r>
      <w:r w:rsidRPr="00B364CB">
        <w:t>a public database of information. The result will lead to a generally compr</w:t>
      </w:r>
      <w:r w:rsidR="003C3988">
        <w:t>ehensive strategy investigating</w:t>
      </w:r>
      <w:r w:rsidR="00DF5838" w:rsidRPr="00B364CB">
        <w:t xml:space="preserve"> new design</w:t>
      </w:r>
      <w:r w:rsidRPr="00B364CB">
        <w:t>, characterisation and testing</w:t>
      </w:r>
      <w:r w:rsidR="00DF5838" w:rsidRPr="00B364CB">
        <w:t>, thus</w:t>
      </w:r>
      <w:r w:rsidRPr="00B364CB">
        <w:t xml:space="preserve"> accelerating the developments in </w:t>
      </w:r>
      <w:r w:rsidR="00DF5838" w:rsidRPr="00B364CB">
        <w:t xml:space="preserve">basic low-TRL </w:t>
      </w:r>
      <w:r w:rsidRPr="00B364CB">
        <w:t xml:space="preserve">research and innovation actions. </w:t>
      </w:r>
      <w:r w:rsidR="00DF5838" w:rsidRPr="00B364CB">
        <w:t xml:space="preserve">Based on </w:t>
      </w:r>
      <w:r w:rsidRPr="00B364CB">
        <w:t>the early stage research action</w:t>
      </w:r>
      <w:r w:rsidR="00DF5838" w:rsidRPr="00B364CB">
        <w:t>s</w:t>
      </w:r>
      <w:r w:rsidRPr="00B364CB">
        <w:t xml:space="preserve"> </w:t>
      </w:r>
      <w:r w:rsidR="00DF5838" w:rsidRPr="00B364CB">
        <w:t>mentioned</w:t>
      </w:r>
      <w:r w:rsidRPr="00B364CB">
        <w:t xml:space="preserve"> in the different previous roadmaps, the following strategic research challenges appear</w:t>
      </w:r>
      <w:r w:rsidR="00DF5838" w:rsidRPr="00B364CB">
        <w:t xml:space="preserve"> the most relevant</w:t>
      </w:r>
      <w:r w:rsidRPr="00B364CB">
        <w:t>:</w:t>
      </w:r>
    </w:p>
    <w:p w14:paraId="37917A51" w14:textId="03431936" w:rsidR="006A1121" w:rsidRPr="00B364CB" w:rsidRDefault="006A1121" w:rsidP="002256F6">
      <w:pPr>
        <w:pStyle w:val="MAWP-Bodytext"/>
        <w:numPr>
          <w:ilvl w:val="0"/>
          <w:numId w:val="47"/>
        </w:numPr>
      </w:pPr>
      <w:r w:rsidRPr="00B364CB">
        <w:t>Low or free PGM catalysts</w:t>
      </w:r>
      <w:r w:rsidR="00CA2AF9" w:rsidRPr="00CA2AF9">
        <w:t xml:space="preserve"> </w:t>
      </w:r>
      <w:r w:rsidR="005B0E8C" w:rsidRPr="005B0E8C">
        <w:t>(including bioinspired catalysts)</w:t>
      </w:r>
      <w:r w:rsidR="008B20AA">
        <w:t>,</w:t>
      </w:r>
      <w:r w:rsidRPr="00B364CB">
        <w:t xml:space="preserve"> </w:t>
      </w:r>
      <w:r w:rsidR="00DF5838" w:rsidRPr="00B364CB">
        <w:t xml:space="preserve">reducing </w:t>
      </w:r>
      <w:r w:rsidRPr="00B364CB">
        <w:t xml:space="preserve">critical </w:t>
      </w:r>
      <w:r w:rsidR="001577D7">
        <w:t>(</w:t>
      </w:r>
      <w:r w:rsidRPr="00B364CB">
        <w:t>raw</w:t>
      </w:r>
      <w:r w:rsidR="001577D7">
        <w:t>)</w:t>
      </w:r>
      <w:r w:rsidRPr="00B364CB">
        <w:t xml:space="preserve"> materials</w:t>
      </w:r>
      <w:r w:rsidR="008B20AA">
        <w:t xml:space="preserve"> use</w:t>
      </w:r>
      <w:r w:rsidRPr="00B364CB">
        <w:t xml:space="preserve"> </w:t>
      </w:r>
      <w:r w:rsidR="00DF5838" w:rsidRPr="00B364CB">
        <w:t>in</w:t>
      </w:r>
      <w:r w:rsidRPr="00B364CB">
        <w:t xml:space="preserve"> electrolysers and fuel cells</w:t>
      </w:r>
      <w:r w:rsidR="008B20AA">
        <w:t>, and safe and sustainable use of all material, including developing of perfluorosul</w:t>
      </w:r>
      <w:r w:rsidR="001B789A">
        <w:t>f</w:t>
      </w:r>
      <w:r w:rsidR="008B20AA">
        <w:t>onic acid (PFAS)-free ionomers and membranes.</w:t>
      </w:r>
    </w:p>
    <w:p w14:paraId="630E3E2E" w14:textId="77777777" w:rsidR="006A1121" w:rsidRPr="00B364CB" w:rsidRDefault="006A1121" w:rsidP="002256F6">
      <w:pPr>
        <w:pStyle w:val="MAWP-Bodytext"/>
        <w:numPr>
          <w:ilvl w:val="0"/>
          <w:numId w:val="47"/>
        </w:numPr>
      </w:pPr>
      <w:r w:rsidRPr="00B364CB">
        <w:t>Advanced materials for hydrogen storage (e.g. carbon fibres, H</w:t>
      </w:r>
      <w:r w:rsidRPr="00E4788A">
        <w:rPr>
          <w:vertAlign w:val="subscript"/>
        </w:rPr>
        <w:t xml:space="preserve">2 </w:t>
      </w:r>
      <w:r w:rsidRPr="00B364CB">
        <w:t>carriers…)</w:t>
      </w:r>
    </w:p>
    <w:p w14:paraId="347452DD" w14:textId="1370E447" w:rsidR="006A1121" w:rsidRPr="00B364CB" w:rsidRDefault="006A1121" w:rsidP="002256F6">
      <w:pPr>
        <w:pStyle w:val="MAWP-Bodytext"/>
        <w:numPr>
          <w:ilvl w:val="0"/>
          <w:numId w:val="47"/>
        </w:numPr>
      </w:pPr>
      <w:r w:rsidRPr="00B364CB">
        <w:t xml:space="preserve">Advanced understanding of the </w:t>
      </w:r>
      <w:r w:rsidR="00B02E82" w:rsidRPr="00B364CB">
        <w:t xml:space="preserve">performance / durability </w:t>
      </w:r>
      <w:r w:rsidRPr="00B364CB">
        <w:t>mechanisms of electrolysers and fuel cells</w:t>
      </w:r>
      <w:r w:rsidR="00DF5838" w:rsidRPr="00B364CB">
        <w:t>.</w:t>
      </w:r>
    </w:p>
    <w:p w14:paraId="32B417F0" w14:textId="31EEC5A6" w:rsidR="00C65456" w:rsidRDefault="00C65456" w:rsidP="006A1121">
      <w:pPr>
        <w:pStyle w:val="MAWP-Bodytext"/>
      </w:pPr>
      <w:r w:rsidRPr="00B364CB">
        <w:t xml:space="preserve">For these early stage research actions, providing testing facilities to SMEs could facilitate them to test their </w:t>
      </w:r>
      <w:r w:rsidR="001577D7">
        <w:t xml:space="preserve">innovative </w:t>
      </w:r>
      <w:r w:rsidRPr="00B364CB">
        <w:t xml:space="preserve">technologies and bring them up in TRL to potential products. The implementation of </w:t>
      </w:r>
      <w:r w:rsidR="006A1121" w:rsidRPr="00B364CB">
        <w:t xml:space="preserve">Open Innovation Test Beds </w:t>
      </w:r>
      <w:r w:rsidR="007B28BE">
        <w:t xml:space="preserve">(OITB) </w:t>
      </w:r>
      <w:r w:rsidR="006A1121" w:rsidRPr="00B364CB">
        <w:t>in the Hydrogen Sector</w:t>
      </w:r>
      <w:r w:rsidRPr="00B364CB">
        <w:t xml:space="preserve"> </w:t>
      </w:r>
      <w:r w:rsidR="00B02E82" w:rsidRPr="00B364CB">
        <w:t xml:space="preserve">will </w:t>
      </w:r>
      <w:r w:rsidRPr="00B364CB">
        <w:t xml:space="preserve">be further explored and possibly supported in the early years of the Programme. </w:t>
      </w:r>
    </w:p>
    <w:p w14:paraId="3414E013" w14:textId="508E738F" w:rsidR="00E34C2F" w:rsidRPr="00B364CB" w:rsidRDefault="005C37CF" w:rsidP="00DD485A">
      <w:pPr>
        <w:pStyle w:val="Heading11"/>
        <w:keepNext/>
        <w:keepLines/>
        <w:numPr>
          <w:ilvl w:val="0"/>
          <w:numId w:val="1"/>
        </w:numPr>
        <w:shd w:val="clear" w:color="auto" w:fill="auto"/>
        <w:tabs>
          <w:tab w:val="left" w:pos="850"/>
        </w:tabs>
        <w:spacing w:after="240" w:line="276" w:lineRule="auto"/>
        <w:jc w:val="left"/>
        <w:rPr>
          <w:rStyle w:val="MAWPTitle"/>
          <w:lang w:val="en-GB"/>
        </w:rPr>
      </w:pPr>
      <w:bookmarkStart w:id="134" w:name="_Toc64640573"/>
      <w:bookmarkStart w:id="135" w:name="_Ref75423612"/>
      <w:bookmarkStart w:id="136" w:name="_Toc93907341"/>
      <w:r>
        <w:rPr>
          <w:rStyle w:val="MAWPTitle"/>
          <w:lang w:val="en-GB"/>
        </w:rPr>
        <w:lastRenderedPageBreak/>
        <w:t>Additional</w:t>
      </w:r>
      <w:r w:rsidR="00DD485A" w:rsidRPr="00B364CB">
        <w:rPr>
          <w:rStyle w:val="MAWPTitle"/>
          <w:lang w:val="en-GB"/>
        </w:rPr>
        <w:t xml:space="preserve"> activities</w:t>
      </w:r>
      <w:bookmarkEnd w:id="134"/>
      <w:bookmarkEnd w:id="135"/>
      <w:bookmarkEnd w:id="136"/>
    </w:p>
    <w:p w14:paraId="3293EE9E" w14:textId="3FF685E9" w:rsidR="00E34C2F" w:rsidRDefault="00341A2E" w:rsidP="006802D3">
      <w:pPr>
        <w:pStyle w:val="Subtitle"/>
      </w:pPr>
      <w:bookmarkStart w:id="137" w:name="_Ref55249545"/>
      <w:bookmarkStart w:id="138" w:name="_Ref55249571"/>
      <w:bookmarkStart w:id="139" w:name="_Toc64640574"/>
      <w:bookmarkStart w:id="140" w:name="_Toc93907342"/>
      <w:r w:rsidRPr="00B364CB">
        <w:t>Interface with EU policies and other programmes</w:t>
      </w:r>
      <w:r w:rsidR="00DD485A" w:rsidRPr="00B364CB">
        <w:t xml:space="preserve"> (Synergies)</w:t>
      </w:r>
      <w:bookmarkEnd w:id="137"/>
      <w:bookmarkEnd w:id="138"/>
      <w:bookmarkEnd w:id="139"/>
      <w:bookmarkEnd w:id="140"/>
    </w:p>
    <w:p w14:paraId="08804AEF" w14:textId="642C895C" w:rsidR="007D34A4" w:rsidRPr="00605EFD" w:rsidRDefault="007D34A4" w:rsidP="007D34A4">
      <w:pPr>
        <w:pStyle w:val="MAWPsubtitle2"/>
      </w:pPr>
      <w:bookmarkStart w:id="141" w:name="_Toc74753723"/>
      <w:bookmarkStart w:id="142" w:name="_Toc74900996"/>
      <w:bookmarkStart w:id="143" w:name="_Toc74927894"/>
      <w:bookmarkStart w:id="144" w:name="_Toc74753724"/>
      <w:bookmarkStart w:id="145" w:name="_Toc74900997"/>
      <w:bookmarkStart w:id="146" w:name="_Toc74927895"/>
      <w:bookmarkStart w:id="147" w:name="_Toc74753725"/>
      <w:bookmarkStart w:id="148" w:name="_Toc74900998"/>
      <w:bookmarkStart w:id="149" w:name="_Toc74927896"/>
      <w:bookmarkStart w:id="150" w:name="_Toc74753726"/>
      <w:bookmarkStart w:id="151" w:name="_Toc74900999"/>
      <w:bookmarkStart w:id="152" w:name="_Toc74927897"/>
      <w:bookmarkStart w:id="153" w:name="_Toc74753727"/>
      <w:bookmarkStart w:id="154" w:name="_Toc74901000"/>
      <w:bookmarkStart w:id="155" w:name="_Toc74927898"/>
      <w:bookmarkStart w:id="156" w:name="_Toc74753728"/>
      <w:bookmarkStart w:id="157" w:name="_Toc74901001"/>
      <w:bookmarkStart w:id="158" w:name="_Toc74927899"/>
      <w:bookmarkStart w:id="159" w:name="_Toc74753729"/>
      <w:bookmarkStart w:id="160" w:name="_Toc74901002"/>
      <w:bookmarkStart w:id="161" w:name="_Toc74927900"/>
      <w:bookmarkStart w:id="162" w:name="_Toc74753730"/>
      <w:bookmarkStart w:id="163" w:name="_Toc74901003"/>
      <w:bookmarkStart w:id="164" w:name="_Toc74927901"/>
      <w:bookmarkStart w:id="165" w:name="_Toc74753731"/>
      <w:bookmarkStart w:id="166" w:name="_Toc74901004"/>
      <w:bookmarkStart w:id="167" w:name="_Toc74927902"/>
      <w:bookmarkStart w:id="168" w:name="_Toc74753732"/>
      <w:bookmarkStart w:id="169" w:name="_Toc74901005"/>
      <w:bookmarkStart w:id="170" w:name="_Toc74927903"/>
      <w:bookmarkStart w:id="171" w:name="_Toc74753733"/>
      <w:bookmarkStart w:id="172" w:name="_Toc74901006"/>
      <w:bookmarkStart w:id="173" w:name="_Toc74927904"/>
      <w:bookmarkStart w:id="174" w:name="_Toc74753734"/>
      <w:bookmarkStart w:id="175" w:name="_Toc74901007"/>
      <w:bookmarkStart w:id="176" w:name="_Toc74927905"/>
      <w:bookmarkStart w:id="177" w:name="_Toc93907343"/>
      <w:bookmarkStart w:id="178" w:name="_Ref63443865"/>
      <w:bookmarkStart w:id="179" w:name="_Ref63887677"/>
      <w:bookmarkStart w:id="180" w:name="_Toc6464058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t>Need to reinforce s</w:t>
      </w:r>
      <w:r w:rsidR="00EB13DE">
        <w:t>y</w:t>
      </w:r>
      <w:r>
        <w:t>nergies</w:t>
      </w:r>
      <w:bookmarkEnd w:id="177"/>
    </w:p>
    <w:p w14:paraId="6EFB7819" w14:textId="77777777" w:rsidR="007D34A4" w:rsidRDefault="007D34A4" w:rsidP="007D34A4">
      <w:pPr>
        <w:spacing w:after="120" w:line="276" w:lineRule="auto"/>
        <w:jc w:val="both"/>
      </w:pPr>
      <w:r w:rsidRPr="00757524">
        <w:t xml:space="preserve">An important element supporting the implementation of the European hydrogen strategy is </w:t>
      </w:r>
      <w:r>
        <w:t>the reinforcement of</w:t>
      </w:r>
      <w:r w:rsidRPr="00757524">
        <w:t xml:space="preserve"> synergies among European </w:t>
      </w:r>
      <w:r>
        <w:t>funding instruments</w:t>
      </w:r>
      <w:r w:rsidRPr="00061A53">
        <w:t xml:space="preserve"> </w:t>
      </w:r>
      <w:r>
        <w:t xml:space="preserve">and </w:t>
      </w:r>
      <w:r w:rsidRPr="00757524">
        <w:t xml:space="preserve">actions </w:t>
      </w:r>
      <w:r>
        <w:t xml:space="preserve">to </w:t>
      </w:r>
      <w:r w:rsidRPr="00061A53">
        <w:t>clo</w:t>
      </w:r>
      <w:r>
        <w:t xml:space="preserve">se the innovation gap in Europe. Synergies are needed pull together resources, align priorities and ultimately maximise the impact of clean hydrogen R&amp;I investments. </w:t>
      </w:r>
    </w:p>
    <w:p w14:paraId="403B5BB5" w14:textId="77777777" w:rsidR="007D34A4" w:rsidRDefault="007D34A4" w:rsidP="007D34A4">
      <w:pPr>
        <w:spacing w:after="120" w:line="276" w:lineRule="auto"/>
        <w:jc w:val="both"/>
      </w:pPr>
      <w:r>
        <w:t>The Single Basic Act establishing the Horizon Europe Joint Undertakings underlines the impact-driven approach to European partnerships.</w:t>
      </w:r>
      <w:r w:rsidRPr="000F7AFD">
        <w:t xml:space="preserve"> This Regulation aims at a more </w:t>
      </w:r>
      <w:r w:rsidRPr="000F7AFD">
        <w:rPr>
          <w:b/>
          <w:bCs/>
        </w:rPr>
        <w:t>effective use of institutionalised European partnerships</w:t>
      </w:r>
      <w:r w:rsidRPr="000F7AFD">
        <w:t xml:space="preserve"> notably </w:t>
      </w:r>
      <w:r w:rsidRPr="000F7AFD">
        <w:rPr>
          <w:b/>
          <w:bCs/>
        </w:rPr>
        <w:t>by focusing on clear objectives, outcomes and impact that can be achieved by 2030</w:t>
      </w:r>
      <w:r w:rsidRPr="000F7AFD">
        <w:t xml:space="preserve">, and </w:t>
      </w:r>
      <w:r w:rsidRPr="000F7AFD">
        <w:rPr>
          <w:b/>
          <w:bCs/>
        </w:rPr>
        <w:t>by ensuring a clear contribution to the related Union policy priorities and policies</w:t>
      </w:r>
      <w:r w:rsidRPr="000F7AFD">
        <w:t xml:space="preserve">. For this endeavour, </w:t>
      </w:r>
      <w:r w:rsidRPr="000F7AFD">
        <w:rPr>
          <w:b/>
          <w:bCs/>
        </w:rPr>
        <w:t>close collaboration and synergies between JUs and other relevant initiatives at Union, national and regional level are key</w:t>
      </w:r>
      <w:r w:rsidRPr="000F7AFD">
        <w:t xml:space="preserve"> in achieving greater scientific, socio-economic and environmental impact and ensuring uptake of results.</w:t>
      </w:r>
      <w:r w:rsidRPr="000F7AFD">
        <w:rPr>
          <w:rStyle w:val="FootnoteReference"/>
          <w:rFonts w:eastAsia="Arial"/>
        </w:rPr>
        <w:footnoteReference w:id="170"/>
      </w:r>
    </w:p>
    <w:p w14:paraId="4039F5B6" w14:textId="77777777" w:rsidR="007D34A4" w:rsidRDefault="007D34A4" w:rsidP="007D34A4">
      <w:pPr>
        <w:spacing w:after="120" w:line="276" w:lineRule="auto"/>
        <w:jc w:val="both"/>
      </w:pPr>
      <w:r>
        <w:t xml:space="preserve">Furthermore, the SBA considers it is </w:t>
      </w:r>
      <w:r w:rsidRPr="000F7AFD">
        <w:rPr>
          <w:b/>
          <w:bCs/>
        </w:rPr>
        <w:t>essential that the clean hydrogen partnership establishes structured collaboration with many other European partnerships</w:t>
      </w:r>
      <w:r>
        <w:t xml:space="preserve">, notably for end-use. Structured cooperation will facilitate the creation of collaboration and synergies between European partnerships, allowing to identify areas </w:t>
      </w:r>
      <w:r w:rsidRPr="00E017FD">
        <w:t xml:space="preserve">in which complementary or joint activities would address the challenges more effectively and efficiently, avoid overlaps, align timing of </w:t>
      </w:r>
      <w:r>
        <w:t>its</w:t>
      </w:r>
      <w:r w:rsidRPr="00E017FD">
        <w:t xml:space="preserve"> activities and ensure access to results and other relevant means of knowledge exchange</w:t>
      </w:r>
      <w:r>
        <w:t>.</w:t>
      </w:r>
      <w:r>
        <w:rPr>
          <w:rStyle w:val="FootnoteReference"/>
          <w:rFonts w:eastAsia="Arial"/>
        </w:rPr>
        <w:footnoteReference w:id="171"/>
      </w:r>
      <w:r w:rsidRPr="001B1B91">
        <w:rPr>
          <w:vertAlign w:val="superscript"/>
        </w:rPr>
        <w:t>,</w:t>
      </w:r>
      <w:r w:rsidRPr="005D7BF9">
        <w:rPr>
          <w:vertAlign w:val="superscript"/>
        </w:rPr>
        <w:footnoteReference w:id="172"/>
      </w:r>
      <w:r>
        <w:t xml:space="preserve"> The Clean Hydrogen JU should interact in particular with the zero emission road and waterborne transport, Europe’s railway, clean aviation, processes for the planet and clean steel European partnerships.</w:t>
      </w:r>
      <w:r w:rsidRPr="005D7BF9">
        <w:rPr>
          <w:vertAlign w:val="superscript"/>
        </w:rPr>
        <w:footnoteReference w:id="173"/>
      </w:r>
      <w:r>
        <w:t xml:space="preserve"> </w:t>
      </w:r>
      <w:r w:rsidRPr="00CC4E49">
        <w:t>In line with the Single Basic Act, a structure will be set up reporting to the Governing Board in order to ensure the co-operation and synergies between these partnerships in the domain of hydrogen.</w:t>
      </w:r>
      <w:bookmarkStart w:id="181" w:name="_Ref87896622"/>
      <w:r w:rsidRPr="005D7BF9">
        <w:rPr>
          <w:vertAlign w:val="superscript"/>
        </w:rPr>
        <w:footnoteReference w:id="174"/>
      </w:r>
      <w:bookmarkEnd w:id="181"/>
      <w:r>
        <w:t xml:space="preserve"> </w:t>
      </w:r>
    </w:p>
    <w:p w14:paraId="0A94217C" w14:textId="77777777" w:rsidR="007D34A4" w:rsidRDefault="007D34A4" w:rsidP="007D34A4">
      <w:pPr>
        <w:spacing w:after="120" w:line="276" w:lineRule="auto"/>
        <w:jc w:val="both"/>
      </w:pPr>
      <w:r>
        <w:t>Likewise, beyond the Governing Board</w:t>
      </w:r>
      <w:bookmarkStart w:id="182" w:name="_Ref87632379"/>
      <w:r>
        <w:rPr>
          <w:rStyle w:val="FootnoteReference"/>
          <w:rFonts w:eastAsia="Arial"/>
        </w:rPr>
        <w:footnoteReference w:id="175"/>
      </w:r>
      <w:bookmarkEnd w:id="182"/>
      <w:r>
        <w:t xml:space="preserve"> and the Executive Director</w:t>
      </w:r>
      <w:bookmarkStart w:id="183" w:name="_Ref87632389"/>
      <w:r>
        <w:rPr>
          <w:rStyle w:val="FootnoteReference"/>
          <w:rFonts w:eastAsia="Arial"/>
        </w:rPr>
        <w:footnoteReference w:id="176"/>
      </w:r>
      <w:bookmarkEnd w:id="183"/>
      <w:r>
        <w:t>, other bodies of the Joint Undertaking also share responsibilities regarding synergies, namely in what concerns reporting about</w:t>
      </w:r>
      <w:r w:rsidRPr="00F70F88">
        <w:t xml:space="preserve"> </w:t>
      </w:r>
      <w:r>
        <w:t xml:space="preserve">the </w:t>
      </w:r>
      <w:r w:rsidRPr="00F70F88">
        <w:t xml:space="preserve">national or regional policies </w:t>
      </w:r>
      <w:r>
        <w:t>relevant to</w:t>
      </w:r>
      <w:r w:rsidRPr="00F70F88">
        <w:t xml:space="preserve"> the scope of the JU</w:t>
      </w:r>
      <w:r>
        <w:t xml:space="preserve"> and identifying </w:t>
      </w:r>
      <w:r w:rsidRPr="00F70F88">
        <w:t xml:space="preserve">specific ways of cooperation </w:t>
      </w:r>
      <w:r>
        <w:t xml:space="preserve">(policies and support schemes) </w:t>
      </w:r>
      <w:r w:rsidRPr="00F70F88">
        <w:t xml:space="preserve">with the actions funded by the JU </w:t>
      </w:r>
      <w:r>
        <w:t xml:space="preserve">in view </w:t>
      </w:r>
      <w:r w:rsidRPr="007E66A7">
        <w:t>facilitat</w:t>
      </w:r>
      <w:r>
        <w:t>ing</w:t>
      </w:r>
      <w:r w:rsidRPr="007E66A7">
        <w:t xml:space="preserve"> the acceleration of market uptake of innovative </w:t>
      </w:r>
      <w:r>
        <w:t xml:space="preserve">clean hydrogen </w:t>
      </w:r>
      <w:r w:rsidRPr="007E66A7">
        <w:t>solutions.</w:t>
      </w:r>
      <w:r>
        <w:t xml:space="preserve"> The State Representatives Group</w:t>
      </w:r>
      <w:r>
        <w:rPr>
          <w:rStyle w:val="FootnoteReference"/>
          <w:rFonts w:eastAsia="Arial"/>
        </w:rPr>
        <w:footnoteReference w:id="177"/>
      </w:r>
      <w:r>
        <w:t xml:space="preserve"> and the Stakeholders Group</w:t>
      </w:r>
      <w:r>
        <w:rPr>
          <w:rStyle w:val="FootnoteReference"/>
          <w:rFonts w:eastAsia="Arial"/>
        </w:rPr>
        <w:footnoteReference w:id="178"/>
      </w:r>
      <w:r>
        <w:t>, sha</w:t>
      </w:r>
      <w:r w:rsidRPr="00F70F88">
        <w:t>ll be consulted on link</w:t>
      </w:r>
      <w:r>
        <w:t>s</w:t>
      </w:r>
      <w:r w:rsidRPr="00F70F88">
        <w:t xml:space="preserve"> to Horizon Europe and other Union, national and, where relevant, regional initiatives, including </w:t>
      </w:r>
      <w:r w:rsidRPr="00F70F88">
        <w:lastRenderedPageBreak/>
        <w:t>cohesion policy funds in line with smart specialisation strategies</w:t>
      </w:r>
      <w:r>
        <w:t xml:space="preserve">. </w:t>
      </w:r>
    </w:p>
    <w:p w14:paraId="6FD547C5" w14:textId="77777777" w:rsidR="007D34A4" w:rsidRDefault="007D34A4" w:rsidP="007D34A4">
      <w:pPr>
        <w:spacing w:after="120" w:line="276" w:lineRule="auto"/>
        <w:jc w:val="both"/>
      </w:pPr>
      <w:r>
        <w:t xml:space="preserve">To deliver the magnitude of synergies envisaged in the SBA it is necessary to resort to the whole </w:t>
      </w:r>
      <w:r w:rsidRPr="00711FFD">
        <w:rPr>
          <w:b/>
          <w:bCs/>
        </w:rPr>
        <w:t>toolbox</w:t>
      </w:r>
      <w:r>
        <w:t xml:space="preserve"> made available under the Horizon Europe framework and establish the proper </w:t>
      </w:r>
      <w:r w:rsidRPr="00711FFD">
        <w:rPr>
          <w:b/>
          <w:bCs/>
        </w:rPr>
        <w:t>cooperation mechanisms</w:t>
      </w:r>
      <w:r>
        <w:t xml:space="preserve"> that will put these tools to work, as described below.</w:t>
      </w:r>
    </w:p>
    <w:p w14:paraId="642F3378" w14:textId="77777777" w:rsidR="007D34A4" w:rsidRPr="00605EFD" w:rsidRDefault="007D34A4" w:rsidP="007D34A4">
      <w:pPr>
        <w:pStyle w:val="MAWPsubtitle2"/>
      </w:pPr>
      <w:bookmarkStart w:id="184" w:name="_Toc93907344"/>
      <w:r w:rsidRPr="00605EFD">
        <w:t>Toolbox to generate funding synergies</w:t>
      </w:r>
      <w:bookmarkEnd w:id="184"/>
    </w:p>
    <w:p w14:paraId="01D679CF" w14:textId="77777777" w:rsidR="007D34A4" w:rsidRDefault="007D34A4" w:rsidP="007D34A4">
      <w:pPr>
        <w:spacing w:after="120" w:line="276" w:lineRule="auto"/>
        <w:jc w:val="both"/>
      </w:pPr>
      <w:r>
        <w:t>In view of generating funding synergies, the Single Basic Act enables JUs to make use of all the tools made available under the Regulation (EU) 2021/695 establishing Horizon Europe, namely.</w:t>
      </w:r>
      <w:r>
        <w:rPr>
          <w:rStyle w:val="FootnoteReference"/>
          <w:rFonts w:eastAsia="Arial"/>
        </w:rPr>
        <w:footnoteReference w:id="179"/>
      </w:r>
      <w:r>
        <w:t xml:space="preserve"> </w:t>
      </w:r>
      <w:r w:rsidRPr="005D7BF9">
        <w:t xml:space="preserve">Horizon Europe provisions </w:t>
      </w:r>
      <w:r>
        <w:t xml:space="preserve">to </w:t>
      </w:r>
      <w:r w:rsidRPr="005D7BF9">
        <w:t>enabl</w:t>
      </w:r>
      <w:r>
        <w:t>e</w:t>
      </w:r>
      <w:r w:rsidRPr="005D7BF9">
        <w:t xml:space="preserve"> different types of synergies</w:t>
      </w:r>
      <w:r>
        <w:t xml:space="preserve"> include</w:t>
      </w:r>
      <w:r w:rsidRPr="005D7BF9">
        <w:t xml:space="preserve"> </w:t>
      </w:r>
      <w:r w:rsidRPr="00FC6857">
        <w:rPr>
          <w:b/>
          <w:bCs/>
        </w:rPr>
        <w:t>alternative</w:t>
      </w:r>
      <w:r w:rsidRPr="005D7BF9">
        <w:t xml:space="preserve">, </w:t>
      </w:r>
      <w:r w:rsidRPr="00FC6857">
        <w:rPr>
          <w:b/>
          <w:bCs/>
        </w:rPr>
        <w:t>cumulative</w:t>
      </w:r>
      <w:r w:rsidRPr="005D7BF9">
        <w:t xml:space="preserve"> </w:t>
      </w:r>
      <w:r>
        <w:t>and</w:t>
      </w:r>
      <w:r w:rsidRPr="005D7BF9">
        <w:t xml:space="preserve"> </w:t>
      </w:r>
      <w:r w:rsidRPr="00FC6857">
        <w:rPr>
          <w:b/>
          <w:bCs/>
        </w:rPr>
        <w:t>combined funding</w:t>
      </w:r>
      <w:r w:rsidRPr="005D7BF9">
        <w:t xml:space="preserve"> and </w:t>
      </w:r>
      <w:r w:rsidRPr="00FC6857">
        <w:rPr>
          <w:b/>
          <w:bCs/>
        </w:rPr>
        <w:t>transfer of resources</w:t>
      </w:r>
      <w:r>
        <w:t>.</w:t>
      </w:r>
      <w:r>
        <w:rPr>
          <w:rStyle w:val="FootnoteReference"/>
          <w:rFonts w:eastAsia="Arial"/>
        </w:rPr>
        <w:footnoteReference w:id="180"/>
      </w:r>
      <w:r>
        <w:t xml:space="preserve"> </w:t>
      </w:r>
    </w:p>
    <w:p w14:paraId="1C0BAD4E" w14:textId="77777777" w:rsidR="007D34A4" w:rsidRDefault="007D34A4" w:rsidP="007D34A4">
      <w:pPr>
        <w:spacing w:after="120"/>
        <w:jc w:val="both"/>
      </w:pPr>
      <w:r>
        <w:t>These tools materialise into the following categories:</w:t>
      </w:r>
    </w:p>
    <w:p w14:paraId="0704382C" w14:textId="77777777" w:rsidR="007D34A4" w:rsidRDefault="007D34A4" w:rsidP="007D34A4">
      <w:pPr>
        <w:pStyle w:val="ListParagraph"/>
        <w:widowControl w:val="0"/>
        <w:numPr>
          <w:ilvl w:val="0"/>
          <w:numId w:val="82"/>
        </w:numPr>
        <w:spacing w:after="120"/>
        <w:contextualSpacing/>
        <w:jc w:val="both"/>
      </w:pPr>
      <w:r w:rsidRPr="001D4699">
        <w:rPr>
          <w:i/>
          <w:iCs/>
        </w:rPr>
        <w:t>Alternative funding</w:t>
      </w:r>
      <w:r>
        <w:t xml:space="preserve"> following the awarding of a </w:t>
      </w:r>
      <w:r w:rsidRPr="001D4699">
        <w:rPr>
          <w:i/>
          <w:iCs/>
        </w:rPr>
        <w:t>Seal of Excellence</w:t>
      </w:r>
      <w:r>
        <w:t xml:space="preserve"> foreseen for calls for proposals in the work programme. Actions which were awarded a </w:t>
      </w:r>
      <w:r w:rsidRPr="001D4699">
        <w:rPr>
          <w:i/>
          <w:iCs/>
        </w:rPr>
        <w:t>Seal of Excellence</w:t>
      </w:r>
      <w:r>
        <w:t xml:space="preserve"> may be eligible for support by other Union programmes provided that they comply with all of the following conditions:</w:t>
      </w:r>
    </w:p>
    <w:p w14:paraId="47EBA841" w14:textId="77777777" w:rsidR="007D34A4" w:rsidRDefault="007D34A4" w:rsidP="007D34A4">
      <w:pPr>
        <w:pStyle w:val="ListParagraph"/>
        <w:widowControl w:val="0"/>
        <w:numPr>
          <w:ilvl w:val="1"/>
          <w:numId w:val="82"/>
        </w:numPr>
        <w:spacing w:after="120"/>
        <w:contextualSpacing/>
        <w:jc w:val="both"/>
      </w:pPr>
      <w:r>
        <w:t>they have been assessed in a call for proposals under the Programme;</w:t>
      </w:r>
    </w:p>
    <w:p w14:paraId="36A2AF43" w14:textId="77777777" w:rsidR="007D34A4" w:rsidRDefault="007D34A4" w:rsidP="007D34A4">
      <w:pPr>
        <w:pStyle w:val="ListParagraph"/>
        <w:widowControl w:val="0"/>
        <w:numPr>
          <w:ilvl w:val="1"/>
          <w:numId w:val="82"/>
        </w:numPr>
        <w:spacing w:after="120"/>
        <w:contextualSpacing/>
        <w:jc w:val="both"/>
      </w:pPr>
      <w:r>
        <w:t>they comply with the minimum quality requirements of that call for proposals; and</w:t>
      </w:r>
    </w:p>
    <w:p w14:paraId="1A2A7B87" w14:textId="77777777" w:rsidR="007D34A4" w:rsidRDefault="007D34A4" w:rsidP="007D34A4">
      <w:pPr>
        <w:pStyle w:val="ListParagraph"/>
        <w:widowControl w:val="0"/>
        <w:numPr>
          <w:ilvl w:val="1"/>
          <w:numId w:val="82"/>
        </w:numPr>
        <w:spacing w:after="120"/>
        <w:contextualSpacing/>
        <w:jc w:val="both"/>
      </w:pPr>
      <w:r>
        <w:t>they have not been financed under that call for proposals only due to budgetary constraints.</w:t>
      </w:r>
    </w:p>
    <w:p w14:paraId="6AD1A9E1" w14:textId="77777777" w:rsidR="007D34A4" w:rsidRDefault="007D34A4" w:rsidP="007D34A4">
      <w:pPr>
        <w:pStyle w:val="ListParagraph"/>
        <w:widowControl w:val="0"/>
        <w:numPr>
          <w:ilvl w:val="0"/>
          <w:numId w:val="82"/>
        </w:numPr>
        <w:spacing w:after="120"/>
        <w:contextualSpacing/>
        <w:jc w:val="both"/>
      </w:pPr>
      <w:r w:rsidRPr="001D4699">
        <w:rPr>
          <w:i/>
          <w:iCs/>
        </w:rPr>
        <w:t>Co-funded actions</w:t>
      </w:r>
      <w:r>
        <w:t xml:space="preserve"> between different Programmes. These actions allow cumulative funding between different Union programmes</w:t>
      </w:r>
      <w:r w:rsidRPr="00232EF7">
        <w:t>, provided that the contributions do not cover the same costs. The rules of the relevant Union programme shall apply to the corresponding contribution to the action. The cumulative financing shall not exceed the total eligible costs of the action.</w:t>
      </w:r>
    </w:p>
    <w:p w14:paraId="086F13A7" w14:textId="77777777" w:rsidR="007D34A4" w:rsidRDefault="007D34A4" w:rsidP="007D34A4">
      <w:pPr>
        <w:pStyle w:val="ListParagraph"/>
        <w:widowControl w:val="0"/>
        <w:numPr>
          <w:ilvl w:val="0"/>
          <w:numId w:val="82"/>
        </w:numPr>
        <w:spacing w:after="120"/>
        <w:contextualSpacing/>
        <w:jc w:val="both"/>
      </w:pPr>
      <w:r w:rsidRPr="00711FFD">
        <w:rPr>
          <w:i/>
          <w:iCs/>
        </w:rPr>
        <w:t>Transfer of Resources</w:t>
      </w:r>
      <w:r>
        <w:t xml:space="preserve"> from Member States to the Programme. Those resources shall be used for the benefit of the Member State concerned only. </w:t>
      </w:r>
    </w:p>
    <w:p w14:paraId="2851AB56" w14:textId="77777777" w:rsidR="007D34A4" w:rsidRDefault="007D34A4" w:rsidP="007D34A4">
      <w:pPr>
        <w:spacing w:after="120" w:line="276" w:lineRule="auto"/>
        <w:jc w:val="both"/>
      </w:pPr>
      <w:r>
        <w:t xml:space="preserve">The overall principle is that the JU activities </w:t>
      </w:r>
      <w:r w:rsidRPr="00FC6857">
        <w:t xml:space="preserve">shall be implemented in synergy with other Union programmes while aiming for maximal administrative simplification. A non-exhaustive list of synergies with other Union programmes is included in </w:t>
      </w:r>
      <w:r w:rsidRPr="00651A9F">
        <w:rPr>
          <w:i/>
        </w:rPr>
        <w:t>Annex IV - Synergies with other Union programmes</w:t>
      </w:r>
      <w:r>
        <w:t xml:space="preserve"> of the Regulation (EU) 2021/695. It makes explicit reference to synergies between Horizon Europe and </w:t>
      </w:r>
      <w:r w:rsidRPr="00FC6857">
        <w:t xml:space="preserve">EAFDR, ERDF, ESF+, CEF, Life, InvestEU, Innovation Fund, Just Transition Mechanism, Euratom, European Defence Fund, Recovery and Resilience Facility, </w:t>
      </w:r>
      <w:r>
        <w:t>etc</w:t>
      </w:r>
      <w:r w:rsidRPr="00FC6857">
        <w:t>.</w:t>
      </w:r>
    </w:p>
    <w:p w14:paraId="6026C886" w14:textId="77777777" w:rsidR="007D34A4" w:rsidRDefault="007D34A4" w:rsidP="007D34A4">
      <w:pPr>
        <w:pStyle w:val="MAWP-Bodytext"/>
      </w:pPr>
      <w:r>
        <w:fldChar w:fldCharType="begin"/>
      </w:r>
      <w:r>
        <w:instrText xml:space="preserve"> REF _Ref87629366 \h </w:instrText>
      </w:r>
      <w:r>
        <w:fldChar w:fldCharType="separate"/>
      </w:r>
      <w:r w:rsidRPr="00CA6144">
        <w:rPr>
          <w:rFonts w:asciiTheme="minorHAnsi" w:eastAsiaTheme="minorHAnsi" w:hAnsiTheme="minorHAnsi" w:cstheme="minorBidi"/>
          <w:i/>
          <w:iCs/>
          <w:color w:val="1F497D" w:themeColor="text2"/>
          <w:sz w:val="20"/>
          <w:szCs w:val="18"/>
          <w:u w:val="single"/>
          <w:lang w:eastAsia="en-US"/>
        </w:rPr>
        <w:t xml:space="preserve">Figure </w:t>
      </w:r>
      <w:r>
        <w:rPr>
          <w:rFonts w:asciiTheme="minorHAnsi" w:eastAsiaTheme="minorHAnsi" w:hAnsiTheme="minorHAnsi" w:cstheme="minorBidi"/>
          <w:i/>
          <w:iCs/>
          <w:noProof/>
          <w:color w:val="1F497D" w:themeColor="text2"/>
          <w:sz w:val="20"/>
          <w:szCs w:val="18"/>
          <w:u w:val="single"/>
          <w:lang w:eastAsia="en-US"/>
        </w:rPr>
        <w:t>1</w:t>
      </w:r>
      <w:r>
        <w:fldChar w:fldCharType="end"/>
      </w:r>
      <w:r>
        <w:t xml:space="preserve"> provides a non-comprehensive overview of the EU programmes supporting research, innovation and deployment activities on clean hydrogen.</w:t>
      </w:r>
    </w:p>
    <w:p w14:paraId="4AE7A50E" w14:textId="77777777" w:rsidR="007D34A4" w:rsidRDefault="007D34A4" w:rsidP="007D34A4">
      <w:pPr>
        <w:pStyle w:val="MAWP-Bodytext"/>
      </w:pPr>
      <w:r>
        <w:rPr>
          <w:noProof/>
          <w:lang w:bidi="ar-SA"/>
        </w:rPr>
        <w:lastRenderedPageBreak/>
        <w:drawing>
          <wp:inline distT="0" distB="0" distL="0" distR="0" wp14:anchorId="141C30D3" wp14:editId="1889BF6F">
            <wp:extent cx="5731510" cy="2543083"/>
            <wp:effectExtent l="0" t="0" r="2540" b="0"/>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43083"/>
                    </a:xfrm>
                    <a:prstGeom prst="rect">
                      <a:avLst/>
                    </a:prstGeom>
                    <a:noFill/>
                    <a:ln>
                      <a:noFill/>
                    </a:ln>
                  </pic:spPr>
                </pic:pic>
              </a:graphicData>
            </a:graphic>
          </wp:inline>
        </w:drawing>
      </w:r>
    </w:p>
    <w:p w14:paraId="33B3E4E6" w14:textId="77777777" w:rsidR="007D34A4" w:rsidRDefault="007D34A4" w:rsidP="007D34A4">
      <w:pPr>
        <w:pStyle w:val="MAWP-Bodytext"/>
      </w:pPr>
      <w:bookmarkStart w:id="185" w:name="_Ref87629366"/>
      <w:r w:rsidRPr="00CA6144">
        <w:rPr>
          <w:rFonts w:asciiTheme="minorHAnsi" w:eastAsiaTheme="minorHAnsi" w:hAnsiTheme="minorHAnsi" w:cstheme="minorBidi"/>
          <w:i/>
          <w:iCs/>
          <w:color w:val="1F497D" w:themeColor="text2"/>
          <w:sz w:val="20"/>
          <w:szCs w:val="18"/>
          <w:u w:val="single"/>
          <w:lang w:eastAsia="en-US"/>
        </w:rPr>
        <w:t xml:space="preserve">Figure </w:t>
      </w:r>
      <w:r w:rsidRPr="003706CE">
        <w:rPr>
          <w:rFonts w:asciiTheme="minorHAnsi" w:eastAsiaTheme="minorHAnsi" w:hAnsiTheme="minorHAnsi" w:cstheme="minorBidi"/>
          <w:i/>
          <w:iCs/>
          <w:color w:val="1F497D" w:themeColor="text2"/>
          <w:sz w:val="20"/>
          <w:szCs w:val="18"/>
          <w:u w:val="single"/>
          <w:lang w:eastAsia="en-US"/>
        </w:rPr>
        <w:fldChar w:fldCharType="begin"/>
      </w:r>
      <w:r w:rsidRPr="00CA6144">
        <w:rPr>
          <w:rFonts w:asciiTheme="minorHAnsi" w:eastAsiaTheme="minorHAnsi" w:hAnsiTheme="minorHAnsi" w:cstheme="minorBidi"/>
          <w:i/>
          <w:iCs/>
          <w:color w:val="1F497D" w:themeColor="text2"/>
          <w:sz w:val="20"/>
          <w:szCs w:val="18"/>
          <w:u w:val="single"/>
          <w:lang w:eastAsia="en-US"/>
        </w:rPr>
        <w:instrText xml:space="preserve"> SEQ Figure \* ARABIC </w:instrText>
      </w:r>
      <w:r w:rsidRPr="003706CE">
        <w:rPr>
          <w:rFonts w:asciiTheme="minorHAnsi" w:eastAsiaTheme="minorHAnsi" w:hAnsiTheme="minorHAnsi" w:cstheme="minorBidi"/>
          <w:i/>
          <w:iCs/>
          <w:color w:val="1F497D" w:themeColor="text2"/>
          <w:sz w:val="20"/>
          <w:szCs w:val="18"/>
          <w:u w:val="single"/>
          <w:lang w:eastAsia="en-US"/>
        </w:rPr>
        <w:fldChar w:fldCharType="separate"/>
      </w:r>
      <w:r>
        <w:rPr>
          <w:rFonts w:asciiTheme="minorHAnsi" w:eastAsiaTheme="minorHAnsi" w:hAnsiTheme="minorHAnsi" w:cstheme="minorBidi"/>
          <w:i/>
          <w:iCs/>
          <w:noProof/>
          <w:color w:val="1F497D" w:themeColor="text2"/>
          <w:sz w:val="20"/>
          <w:szCs w:val="18"/>
          <w:u w:val="single"/>
          <w:lang w:eastAsia="en-US"/>
        </w:rPr>
        <w:t>1</w:t>
      </w:r>
      <w:r w:rsidRPr="003706CE">
        <w:rPr>
          <w:rFonts w:asciiTheme="minorHAnsi" w:eastAsiaTheme="minorHAnsi" w:hAnsiTheme="minorHAnsi" w:cstheme="minorBidi"/>
          <w:i/>
          <w:iCs/>
          <w:color w:val="1F497D" w:themeColor="text2"/>
          <w:sz w:val="20"/>
          <w:szCs w:val="18"/>
          <w:u w:val="single"/>
          <w:lang w:eastAsia="en-US"/>
        </w:rPr>
        <w:fldChar w:fldCharType="end"/>
      </w:r>
      <w:bookmarkEnd w:id="185"/>
      <w:r w:rsidRPr="00CA6144">
        <w:rPr>
          <w:rFonts w:asciiTheme="minorHAnsi" w:eastAsiaTheme="minorHAnsi" w:hAnsiTheme="minorHAnsi" w:cstheme="minorBidi"/>
          <w:i/>
          <w:iCs/>
          <w:color w:val="1F497D" w:themeColor="text2"/>
          <w:sz w:val="20"/>
          <w:szCs w:val="18"/>
          <w:u w:val="single"/>
          <w:lang w:eastAsia="en-US"/>
        </w:rPr>
        <w:t xml:space="preserve"> </w:t>
      </w:r>
      <w:bookmarkStart w:id="186" w:name="_Ref87629361"/>
      <w:r w:rsidRPr="00CA6144">
        <w:rPr>
          <w:rFonts w:asciiTheme="minorHAnsi" w:eastAsiaTheme="minorHAnsi" w:hAnsiTheme="minorHAnsi" w:cstheme="minorBidi"/>
          <w:i/>
          <w:iCs/>
          <w:color w:val="1F497D" w:themeColor="text2"/>
          <w:sz w:val="20"/>
          <w:szCs w:val="18"/>
          <w:u w:val="single"/>
          <w:lang w:eastAsia="en-US"/>
        </w:rPr>
        <w:t>Mapping of EU Programmes &amp; Funds supporting research and deployment activities for hydrogen.</w:t>
      </w:r>
      <w:bookmarkEnd w:id="186"/>
    </w:p>
    <w:p w14:paraId="17612B17" w14:textId="77777777" w:rsidR="007D34A4" w:rsidRPr="00605EFD" w:rsidRDefault="007D34A4" w:rsidP="007D34A4">
      <w:pPr>
        <w:pStyle w:val="MAWPsubtitle2"/>
      </w:pPr>
      <w:bookmarkStart w:id="187" w:name="_Toc93907345"/>
      <w:r w:rsidRPr="00605EFD">
        <w:t>Cooperation mechanisms to deliver synergies</w:t>
      </w:r>
      <w:bookmarkEnd w:id="187"/>
    </w:p>
    <w:p w14:paraId="05BEDB8A" w14:textId="77777777" w:rsidR="007D34A4" w:rsidRDefault="007D34A4" w:rsidP="007D34A4">
      <w:pPr>
        <w:pStyle w:val="MAWP-Bodytext"/>
      </w:pPr>
      <w:r>
        <w:t>Given the multitude of actors in the different bodies of the JU and to cover the full spectrum of synergies the JU may contribute to (and benefit from) to achieve its 2030 targets, the following areas have been identified in view of establishing effective cooperation mechanisms:</w:t>
      </w:r>
    </w:p>
    <w:p w14:paraId="05F8E9DE" w14:textId="77777777" w:rsidR="007D34A4" w:rsidRPr="00FB056D" w:rsidRDefault="007D34A4" w:rsidP="007D34A4">
      <w:pPr>
        <w:pStyle w:val="MAWP-Bodytext"/>
        <w:numPr>
          <w:ilvl w:val="0"/>
          <w:numId w:val="81"/>
        </w:numPr>
        <w:rPr>
          <w:rFonts w:ascii="Times New Roman" w:eastAsia="Times New Roman" w:hAnsi="Times New Roman" w:cs="Times New Roman"/>
          <w:i/>
          <w:sz w:val="24"/>
          <w:szCs w:val="24"/>
          <w:lang w:eastAsia="en-US"/>
        </w:rPr>
      </w:pPr>
      <w:r w:rsidRPr="00FB056D">
        <w:rPr>
          <w:i/>
        </w:rPr>
        <w:t xml:space="preserve">Synergies with other </w:t>
      </w:r>
      <w:r>
        <w:rPr>
          <w:i/>
        </w:rPr>
        <w:t xml:space="preserve">European </w:t>
      </w:r>
      <w:r w:rsidRPr="00FB056D">
        <w:rPr>
          <w:i/>
        </w:rPr>
        <w:t>partnerships</w:t>
      </w:r>
      <w:r>
        <w:rPr>
          <w:i/>
        </w:rPr>
        <w:t xml:space="preserve"> and EU Funds</w:t>
      </w:r>
    </w:p>
    <w:p w14:paraId="3930ADFC" w14:textId="77777777" w:rsidR="007D34A4" w:rsidRDefault="007D34A4" w:rsidP="007D34A4">
      <w:pPr>
        <w:pStyle w:val="MAWP-Bodytext"/>
      </w:pPr>
      <w:r w:rsidRPr="00B364CB">
        <w:t xml:space="preserve">Hydrogen is a cross-cutting technology with applications in numerous sectors having specific needs in terms of research, innovation and market development and deployment. The Clean Hydrogen </w:t>
      </w:r>
      <w:r>
        <w:t xml:space="preserve">JU </w:t>
      </w:r>
      <w:r w:rsidRPr="00B364CB">
        <w:t>will be at the core of research and innovation activities related to hydrogen production, distribution and end uses for energy, transport and industry. The integration, deployment and scale-up of hydrogen technologies in all related sectors will require additional, complementary and coordinated research and innovation efforts which will be carried out in synergy</w:t>
      </w:r>
      <w:r w:rsidRPr="004A6AD5">
        <w:t xml:space="preserve"> </w:t>
      </w:r>
      <w:r w:rsidRPr="00B364CB">
        <w:t xml:space="preserve">with the end-use </w:t>
      </w:r>
      <w:r>
        <w:t>p</w:t>
      </w:r>
      <w:r w:rsidRPr="00B364CB">
        <w:t xml:space="preserve">artnerships covering hydrogen in their </w:t>
      </w:r>
      <w:r>
        <w:t>p</w:t>
      </w:r>
      <w:r w:rsidRPr="00B364CB">
        <w:t>rogramme</w:t>
      </w:r>
      <w:r>
        <w:rPr>
          <w:rStyle w:val="FootnoteReference"/>
        </w:rPr>
        <w:footnoteReference w:id="181"/>
      </w:r>
      <w:r>
        <w:t xml:space="preserve">. </w:t>
      </w:r>
    </w:p>
    <w:p w14:paraId="1B8F6933" w14:textId="77777777" w:rsidR="007D34A4" w:rsidRDefault="007D34A4" w:rsidP="007D34A4">
      <w:pPr>
        <w:pStyle w:val="MAWP-Bodytext"/>
      </w:pPr>
      <w:r>
        <w:t xml:space="preserve">The Clean Hydrogen JU is called upon to set up a structured cooperation with the hydrogen end-use European partnerships, </w:t>
      </w:r>
      <w:r w:rsidRPr="00BD4946">
        <w:t>seek</w:t>
      </w:r>
      <w:r>
        <w:t>ing</w:t>
      </w:r>
      <w:r w:rsidRPr="00BD4946">
        <w:t xml:space="preserve"> opportunities to involve </w:t>
      </w:r>
      <w:r>
        <w:t xml:space="preserve">them </w:t>
      </w:r>
      <w:r w:rsidRPr="00BD4946">
        <w:t xml:space="preserve">in discussions during the drafting of their work programmes, </w:t>
      </w:r>
      <w:r>
        <w:t xml:space="preserve">in order to </w:t>
      </w:r>
      <w:r w:rsidRPr="00BD4946">
        <w:t xml:space="preserve">identify the areas in which </w:t>
      </w:r>
      <w:r w:rsidRPr="00B66020">
        <w:rPr>
          <w:b/>
          <w:bCs/>
        </w:rPr>
        <w:t>complementary</w:t>
      </w:r>
      <w:r w:rsidRPr="00BD4946">
        <w:t xml:space="preserve"> or </w:t>
      </w:r>
      <w:r w:rsidRPr="00B66020">
        <w:rPr>
          <w:b/>
          <w:bCs/>
        </w:rPr>
        <w:t>joint activities</w:t>
      </w:r>
      <w:r w:rsidRPr="00BD4946">
        <w:t xml:space="preserve"> would address the challenges more effectively and efficiently</w:t>
      </w:r>
      <w:r>
        <w:t xml:space="preserve">, </w:t>
      </w:r>
      <w:r w:rsidRPr="00BD4946">
        <w:t>avoid overlaps</w:t>
      </w:r>
      <w:r>
        <w:t xml:space="preserve"> and</w:t>
      </w:r>
      <w:r w:rsidRPr="00BD4946">
        <w:t xml:space="preserve"> align timing</w:t>
      </w:r>
      <w:r>
        <w:t>s</w:t>
      </w:r>
      <w:r w:rsidRPr="00BD4946">
        <w:t xml:space="preserve"> of the activities </w:t>
      </w:r>
      <w:r>
        <w:t>to</w:t>
      </w:r>
      <w:r w:rsidRPr="00BD4946">
        <w:t xml:space="preserve"> ensure access to results and other relevant means of knowledge exchange.</w:t>
      </w:r>
    </w:p>
    <w:p w14:paraId="67C39C65" w14:textId="77777777" w:rsidR="007D34A4" w:rsidRPr="00B364CB" w:rsidRDefault="007D34A4" w:rsidP="007D34A4">
      <w:pPr>
        <w:pStyle w:val="MAWP-Bodytext"/>
      </w:pPr>
      <w:r>
        <w:t>In addition, t</w:t>
      </w:r>
      <w:r w:rsidRPr="00D41B4E">
        <w:t>he European Commission has an important role to play in enhancing synergies, collaboration</w:t>
      </w:r>
      <w:r w:rsidRPr="00B364CB">
        <w:t xml:space="preserve"> and bridging the gaps between different partnerships and beyond. It is also important that the Horizon Europe governance arrangements bridge these gaps and deliver on the expectations for enhanced cross-fertilisation between initiatives</w:t>
      </w:r>
      <w:r w:rsidRPr="00FB056D">
        <w:rPr>
          <w:vertAlign w:val="superscript"/>
        </w:rPr>
        <w:footnoteReference w:id="182"/>
      </w:r>
      <w:r w:rsidRPr="00FB056D">
        <w:rPr>
          <w:vertAlign w:val="superscript"/>
        </w:rPr>
        <w:t>.</w:t>
      </w:r>
    </w:p>
    <w:p w14:paraId="5653CAD9" w14:textId="77777777" w:rsidR="007D34A4" w:rsidRDefault="007D34A4" w:rsidP="007D34A4">
      <w:pPr>
        <w:pStyle w:val="MAWP-Bodytext"/>
      </w:pPr>
      <w:r w:rsidRPr="00B364CB">
        <w:t>By strengthening linkages with other Horizon Europe i</w:t>
      </w:r>
      <w:r>
        <w:t xml:space="preserve">nitiatives as well as </w:t>
      </w:r>
      <w:r w:rsidRPr="00B364CB">
        <w:t xml:space="preserve">other EU funded programmes, the </w:t>
      </w:r>
      <w:r>
        <w:t xml:space="preserve">Clean Hydrogen </w:t>
      </w:r>
      <w:r w:rsidRPr="00B364CB">
        <w:t xml:space="preserve">JU together with the other </w:t>
      </w:r>
      <w:r>
        <w:t>European p</w:t>
      </w:r>
      <w:r w:rsidRPr="00B364CB">
        <w:t xml:space="preserve">artnerships have better chances to deliver on the ambitious </w:t>
      </w:r>
      <w:r>
        <w:t>2030 targets</w:t>
      </w:r>
      <w:r w:rsidRPr="00B364CB">
        <w:t xml:space="preserve"> and contribute to EU priorities and </w:t>
      </w:r>
      <w:r w:rsidRPr="00B364CB">
        <w:lastRenderedPageBreak/>
        <w:t>policies.</w:t>
      </w:r>
      <w:r>
        <w:t xml:space="preserve"> </w:t>
      </w:r>
    </w:p>
    <w:p w14:paraId="6799BFD8" w14:textId="77777777" w:rsidR="007D34A4" w:rsidRDefault="007D34A4" w:rsidP="007D34A4">
      <w:pPr>
        <w:spacing w:after="120" w:line="276" w:lineRule="auto"/>
        <w:jc w:val="both"/>
      </w:pPr>
      <w:r>
        <w:t xml:space="preserve">In view of an expedite </w:t>
      </w:r>
      <w:r w:rsidRPr="00CC4E49">
        <w:t xml:space="preserve">transition towards full operation of the </w:t>
      </w:r>
      <w:r>
        <w:t>European partnerships</w:t>
      </w:r>
      <w:r w:rsidRPr="00CC4E49">
        <w:t xml:space="preserve">, the Commission </w:t>
      </w:r>
      <w:r>
        <w:t>has created an</w:t>
      </w:r>
      <w:r w:rsidRPr="00CC4E49">
        <w:t xml:space="preserve"> Inter-Partnerships Assembly</w:t>
      </w:r>
      <w:r>
        <w:rPr>
          <w:rStyle w:val="FootnoteReference"/>
          <w:rFonts w:eastAsia="Arial"/>
        </w:rPr>
        <w:footnoteReference w:id="183"/>
      </w:r>
      <w:r>
        <w:t xml:space="preserve">, of which </w:t>
      </w:r>
      <w:r w:rsidRPr="00CC4E49">
        <w:t>Clean Hydrogen</w:t>
      </w:r>
      <w:r>
        <w:t xml:space="preserve"> was its pilot, to </w:t>
      </w:r>
      <w:r w:rsidRPr="00CC4E49">
        <w:t>coordinat</w:t>
      </w:r>
      <w:r>
        <w:t>e</w:t>
      </w:r>
      <w:r w:rsidRPr="00CC4E49">
        <w:t xml:space="preserve"> the work on the Work Programmes of all Partnerships foreseeing actions related to hydrogen. </w:t>
      </w:r>
      <w:r>
        <w:t>While the need to set up a specific structure to deliver and report to the Governing Board of the Clean Hydrogen JU on the desired synergies between the JU and different hydrogen end-user European partnerships is explicitly mentioned in the Single Basic Act as a responsibility of its Executive Director</w:t>
      </w:r>
      <w:r>
        <w:rPr>
          <w:rStyle w:val="FootnoteReference"/>
          <w:rFonts w:eastAsia="Arial"/>
        </w:rPr>
        <w:footnoteReference w:id="184"/>
      </w:r>
      <w:r>
        <w:t xml:space="preserve">, it is relevant to build on the activities of the </w:t>
      </w:r>
      <w:r w:rsidRPr="00CC4E49">
        <w:t>Inter-Partnerships Assembly</w:t>
      </w:r>
      <w:r>
        <w:t xml:space="preserve"> to further widen the reach out to other EU Funds relevant to clean hydrogen deployment. </w:t>
      </w:r>
    </w:p>
    <w:p w14:paraId="1061B995" w14:textId="77777777" w:rsidR="007D34A4" w:rsidRDefault="007D34A4" w:rsidP="007D34A4">
      <w:pPr>
        <w:spacing w:after="120" w:line="276" w:lineRule="auto"/>
        <w:jc w:val="both"/>
      </w:pPr>
      <w:r>
        <w:t>Given the responsibilities attributed to the different bodies of the JU concerning synergies between European Partnerships, and in particular to the Governing Board</w:t>
      </w:r>
      <w:r>
        <w:rPr>
          <w:rStyle w:val="FootnoteReference"/>
          <w:rFonts w:eastAsia="Arial"/>
        </w:rPr>
        <w:footnoteReference w:id="185"/>
      </w:r>
      <w:r>
        <w:t xml:space="preserve"> and the Executive Director</w:t>
      </w:r>
      <w:r>
        <w:rPr>
          <w:rStyle w:val="FootnoteReference"/>
          <w:rFonts w:eastAsia="Arial"/>
        </w:rPr>
        <w:footnoteReference w:id="186"/>
      </w:r>
      <w:r>
        <w:t xml:space="preserve">, a Sherpa Steering Committee on Synergies regarding clean hydrogen matters will be created in order to make the necessary link between the Inter-Partnership Assembly, as well as other EU Funds, and the Governing Board. </w:t>
      </w:r>
    </w:p>
    <w:p w14:paraId="10194320" w14:textId="77777777" w:rsidR="007D34A4" w:rsidRDefault="007D34A4" w:rsidP="007D34A4">
      <w:pPr>
        <w:spacing w:after="120" w:line="276" w:lineRule="auto"/>
        <w:jc w:val="both"/>
      </w:pPr>
      <w:r>
        <w:t xml:space="preserve">The Sherpa Steering Committee will be appointed by the Governing Board and chaired by Executive Director of the Clean Hydrogen JU. </w:t>
      </w:r>
    </w:p>
    <w:p w14:paraId="3430ECBB" w14:textId="77777777" w:rsidR="007D34A4" w:rsidRDefault="007D34A4" w:rsidP="007D34A4">
      <w:pPr>
        <w:spacing w:after="120" w:line="276" w:lineRule="auto"/>
        <w:jc w:val="both"/>
      </w:pPr>
      <w:r>
        <w:t>Every year, the Sherpa Steering Committee, shall work with the Programme Office to prepare an Annual Plan on Synergies with European partnerships and other EU Funds, to be submitted to the Governing Board for approval. The plan may include the authorisation for the Executive Director, on behalf of the JU, to engage in bilateral discussions and Memoranda of Understanding with various entities in charge of managing funds and financing that may be allocated to R&amp;I and deployment of clean hydrogen technologies.</w:t>
      </w:r>
    </w:p>
    <w:p w14:paraId="53F68E0F" w14:textId="77777777" w:rsidR="007D34A4" w:rsidRPr="00DD1E91" w:rsidRDefault="007D34A4" w:rsidP="007D34A4">
      <w:pPr>
        <w:pStyle w:val="MAWP-Bodytext"/>
        <w:numPr>
          <w:ilvl w:val="0"/>
          <w:numId w:val="81"/>
        </w:numPr>
        <w:rPr>
          <w:i/>
        </w:rPr>
      </w:pPr>
      <w:r w:rsidRPr="00DD1E91">
        <w:rPr>
          <w:i/>
        </w:rPr>
        <w:t xml:space="preserve">Synergies with </w:t>
      </w:r>
      <w:r>
        <w:rPr>
          <w:i/>
        </w:rPr>
        <w:t>M</w:t>
      </w:r>
      <w:r w:rsidRPr="00DD1E91">
        <w:rPr>
          <w:i/>
        </w:rPr>
        <w:t xml:space="preserve">ember </w:t>
      </w:r>
      <w:r>
        <w:rPr>
          <w:i/>
        </w:rPr>
        <w:t>S</w:t>
      </w:r>
      <w:r w:rsidRPr="00DD1E91">
        <w:rPr>
          <w:i/>
        </w:rPr>
        <w:t>tates</w:t>
      </w:r>
    </w:p>
    <w:p w14:paraId="34B4C445" w14:textId="77777777" w:rsidR="007D34A4" w:rsidRDefault="007D34A4" w:rsidP="007D34A4">
      <w:pPr>
        <w:pStyle w:val="MAWP-Bodytext"/>
        <w:rPr>
          <w:rStyle w:val="CommentReference"/>
          <w:rFonts w:eastAsia="Times New Roman" w:cs="Times New Roman"/>
          <w:szCs w:val="22"/>
          <w:lang w:eastAsia="en-US"/>
        </w:rPr>
      </w:pPr>
      <w:r w:rsidRPr="005554D5">
        <w:rPr>
          <w:sz w:val="23"/>
          <w:szCs w:val="23"/>
        </w:rPr>
        <w:t xml:space="preserve">The JU </w:t>
      </w:r>
      <w:r w:rsidRPr="005554D5">
        <w:rPr>
          <w:i/>
          <w:iCs/>
          <w:sz w:val="23"/>
          <w:szCs w:val="23"/>
        </w:rPr>
        <w:t>“(…) should ensure that Member States are sufficiently informed of the joint undertakings’ activities, can provide timely information on activities undertaken in the Member States and have the opportunity to contribute to the preparatory and decision-making processes. Such dialogue with Member States is particularly important in the context of synergies and the need to ensure the alignment of efforts and activities at national, regional, Union and European level to create more impact.</w:t>
      </w:r>
      <w:r w:rsidRPr="005554D5">
        <w:rPr>
          <w:sz w:val="23"/>
          <w:szCs w:val="23"/>
        </w:rPr>
        <w:t xml:space="preserve">” </w:t>
      </w:r>
      <w:r w:rsidRPr="003706CE">
        <w:rPr>
          <w:sz w:val="23"/>
          <w:szCs w:val="23"/>
        </w:rPr>
        <w:t>Given</w:t>
      </w:r>
      <w:r>
        <w:rPr>
          <w:sz w:val="23"/>
          <w:szCs w:val="23"/>
        </w:rPr>
        <w:t xml:space="preserve"> that Member States are not </w:t>
      </w:r>
      <w:r w:rsidRPr="005554D5">
        <w:rPr>
          <w:sz w:val="23"/>
          <w:szCs w:val="23"/>
        </w:rPr>
        <w:t>directly or indirectly involvement as members or constituent entities</w:t>
      </w:r>
      <w:r w:rsidRPr="003A4947">
        <w:rPr>
          <w:noProof/>
          <w:lang w:val="en-IE"/>
        </w:rPr>
        <w:t xml:space="preserve"> </w:t>
      </w:r>
      <w:r w:rsidRPr="003706CE">
        <w:rPr>
          <w:noProof/>
          <w:lang w:val="en-IE"/>
        </w:rPr>
        <w:t xml:space="preserve">of the JU, </w:t>
      </w:r>
      <w:r w:rsidRPr="003A4947">
        <w:rPr>
          <w:noProof/>
          <w:lang w:val="en-IE"/>
        </w:rPr>
        <w:t xml:space="preserve">a State Representatives Group </w:t>
      </w:r>
      <w:r w:rsidRPr="003706CE">
        <w:rPr>
          <w:noProof/>
          <w:lang w:val="en-IE"/>
        </w:rPr>
        <w:t xml:space="preserve">shall be established </w:t>
      </w:r>
      <w:r w:rsidRPr="0096463F">
        <w:rPr>
          <w:noProof/>
          <w:lang w:val="en-IE"/>
        </w:rPr>
        <w:t xml:space="preserve">with the aim of aligning the </w:t>
      </w:r>
      <w:r w:rsidRPr="003706CE">
        <w:rPr>
          <w:noProof/>
          <w:lang w:val="en-IE"/>
        </w:rPr>
        <w:t>JU’s</w:t>
      </w:r>
      <w:r w:rsidRPr="003A4947">
        <w:rPr>
          <w:noProof/>
          <w:lang w:val="en-IE"/>
        </w:rPr>
        <w:t xml:space="preserve"> </w:t>
      </w:r>
      <w:r w:rsidRPr="003A4947">
        <w:rPr>
          <w:noProof/>
          <w:lang w:val="en-IE"/>
        </w:rPr>
        <w:lastRenderedPageBreak/>
        <w:t>activities with the policies and actions taken at national and regional level</w:t>
      </w:r>
      <w:r w:rsidRPr="005554D5">
        <w:rPr>
          <w:noProof/>
          <w:lang w:val="en-IE"/>
        </w:rPr>
        <w:t>.</w:t>
      </w:r>
      <w:r w:rsidRPr="005554D5">
        <w:rPr>
          <w:rStyle w:val="FootnoteReference"/>
          <w:rFonts w:eastAsia="Times New Roman" w:cs="Times New Roman"/>
          <w:szCs w:val="22"/>
          <w:lang w:eastAsia="en-US"/>
        </w:rPr>
        <w:footnoteReference w:id="187"/>
      </w:r>
      <w:r>
        <w:rPr>
          <w:rStyle w:val="CommentReference"/>
          <w:rFonts w:eastAsia="Times New Roman" w:cs="Times New Roman"/>
          <w:szCs w:val="22"/>
          <w:lang w:eastAsia="en-US"/>
        </w:rPr>
        <w:t xml:space="preserve"> </w:t>
      </w:r>
    </w:p>
    <w:p w14:paraId="15DA5759" w14:textId="77777777" w:rsidR="007D34A4" w:rsidRPr="00FB056D" w:rsidRDefault="007D34A4" w:rsidP="007D34A4">
      <w:pPr>
        <w:pStyle w:val="MAWP-Bodytext"/>
        <w:numPr>
          <w:ilvl w:val="0"/>
          <w:numId w:val="81"/>
        </w:numPr>
        <w:rPr>
          <w:rFonts w:ascii="Times New Roman" w:eastAsia="Times New Roman" w:hAnsi="Times New Roman" w:cs="Times New Roman"/>
          <w:i/>
          <w:sz w:val="24"/>
          <w:szCs w:val="24"/>
          <w:lang w:eastAsia="en-US"/>
        </w:rPr>
      </w:pPr>
      <w:r w:rsidRPr="00FB056D">
        <w:rPr>
          <w:i/>
        </w:rPr>
        <w:t xml:space="preserve">Synergies with other </w:t>
      </w:r>
      <w:r>
        <w:rPr>
          <w:i/>
        </w:rPr>
        <w:t>Stakeholders</w:t>
      </w:r>
    </w:p>
    <w:p w14:paraId="7455A15C" w14:textId="77777777" w:rsidR="007D34A4" w:rsidRPr="0096463F" w:rsidRDefault="007D34A4" w:rsidP="007D34A4">
      <w:pPr>
        <w:pStyle w:val="MAWP-Bodytext"/>
        <w:rPr>
          <w:szCs w:val="22"/>
          <w:lang w:eastAsia="en-US"/>
        </w:rPr>
      </w:pPr>
      <w:r w:rsidRPr="005554D5">
        <w:rPr>
          <w:noProof/>
          <w:lang w:val="en-IE"/>
        </w:rPr>
        <w:t>In addition, with the view to ensuring that the JU is aware of the positions and views of stakeholders from the entire hydrogen value chain, it should set up an advisory Stakeholders Group (SG), to be consulted on horizontal issues or specific questions, as per its needs</w:t>
      </w:r>
      <w:r w:rsidRPr="00301A0A">
        <w:rPr>
          <w:rStyle w:val="CommentReference"/>
          <w:rFonts w:eastAsia="Times New Roman" w:cs="Times New Roman"/>
          <w:szCs w:val="22"/>
          <w:lang w:eastAsia="en-US"/>
        </w:rPr>
        <w:t>.</w:t>
      </w:r>
      <w:r>
        <w:rPr>
          <w:rStyle w:val="FootnoteReference"/>
          <w:rFonts w:eastAsia="Times New Roman" w:cs="Times New Roman"/>
          <w:szCs w:val="22"/>
          <w:lang w:eastAsia="en-US"/>
        </w:rPr>
        <w:footnoteReference w:id="188"/>
      </w:r>
      <w:r w:rsidRPr="00301A0A">
        <w:rPr>
          <w:rStyle w:val="CommentReference"/>
          <w:rFonts w:eastAsia="Times New Roman" w:cs="Times New Roman"/>
          <w:szCs w:val="22"/>
          <w:lang w:eastAsia="en-US"/>
        </w:rPr>
        <w:t xml:space="preserve"> </w:t>
      </w:r>
      <w:r w:rsidRPr="005554D5">
        <w:rPr>
          <w:noProof/>
          <w:lang w:val="en-IE"/>
        </w:rPr>
        <w:t>For the Clean Hydrogen JU, the SG shall</w:t>
      </w:r>
      <w:r w:rsidRPr="003706CE">
        <w:rPr>
          <w:rFonts w:eastAsia="Times New Roman"/>
          <w:szCs w:val="22"/>
          <w:lang w:val="en-US" w:eastAsia="en-US"/>
        </w:rPr>
        <w:t xml:space="preserve"> consist of representatives of sectors which generate, distribute, store, need or use clean hydrogen across the Union, including the representatives of the </w:t>
      </w:r>
      <w:r w:rsidRPr="00284114">
        <w:rPr>
          <w:rFonts w:eastAsia="Times New Roman"/>
          <w:szCs w:val="22"/>
          <w:lang w:val="en-US" w:eastAsia="en-US"/>
        </w:rPr>
        <w:t xml:space="preserve">of other relevant European </w:t>
      </w:r>
      <w:r>
        <w:rPr>
          <w:rFonts w:eastAsia="Times New Roman"/>
          <w:szCs w:val="22"/>
          <w:lang w:val="en-US" w:eastAsia="en-US"/>
        </w:rPr>
        <w:t>p</w:t>
      </w:r>
      <w:r w:rsidRPr="00284114">
        <w:rPr>
          <w:rFonts w:eastAsia="Times New Roman"/>
          <w:szCs w:val="22"/>
          <w:lang w:val="en-US" w:eastAsia="en-US"/>
        </w:rPr>
        <w:t>artnerships, as well as representatives of the European Hydrogen Valleys Interregional Partnership and of the scientific community</w:t>
      </w:r>
      <w:r w:rsidRPr="003706CE">
        <w:rPr>
          <w:rFonts w:eastAsia="Times New Roman"/>
          <w:szCs w:val="22"/>
          <w:lang w:val="en-US" w:eastAsia="en-US"/>
        </w:rPr>
        <w:t>.</w:t>
      </w:r>
      <w:r>
        <w:rPr>
          <w:rStyle w:val="FootnoteReference"/>
          <w:rFonts w:eastAsia="Times New Roman"/>
          <w:szCs w:val="22"/>
          <w:lang w:val="en-US" w:eastAsia="en-US"/>
        </w:rPr>
        <w:footnoteReference w:id="189"/>
      </w:r>
      <w:r w:rsidRPr="00284114">
        <w:rPr>
          <w:rFonts w:eastAsia="Times New Roman" w:cs="Times New Roman"/>
          <w:szCs w:val="24"/>
          <w:lang w:eastAsia="en-US"/>
        </w:rPr>
        <w:t xml:space="preserve"> </w:t>
      </w:r>
      <w:r>
        <w:rPr>
          <w:rFonts w:eastAsia="Times New Roman" w:cs="Times New Roman"/>
          <w:szCs w:val="24"/>
          <w:lang w:eastAsia="en-US"/>
        </w:rPr>
        <w:t xml:space="preserve">The Stakeholder Group shall </w:t>
      </w:r>
      <w:r w:rsidRPr="00284114">
        <w:rPr>
          <w:rFonts w:eastAsia="Times New Roman" w:cs="Times New Roman"/>
          <w:szCs w:val="24"/>
          <w:lang w:eastAsia="en-US"/>
        </w:rPr>
        <w:t>provide suggestions to enable concrete synergies to take place between the JU and the adjacent sectors or any sector with which synergies are deemed of added value</w:t>
      </w:r>
      <w:r>
        <w:rPr>
          <w:rFonts w:eastAsia="Times New Roman" w:cs="Times New Roman"/>
          <w:szCs w:val="24"/>
          <w:lang w:eastAsia="en-US"/>
        </w:rPr>
        <w:t>.</w:t>
      </w:r>
      <w:r>
        <w:rPr>
          <w:rStyle w:val="FootnoteReference"/>
          <w:rFonts w:eastAsia="Times New Roman" w:cs="Times New Roman"/>
          <w:szCs w:val="24"/>
          <w:lang w:eastAsia="en-US"/>
        </w:rPr>
        <w:footnoteReference w:id="190"/>
      </w:r>
    </w:p>
    <w:p w14:paraId="4C9DC3F2" w14:textId="646FD756" w:rsidR="00341A2E" w:rsidRPr="00B364CB" w:rsidRDefault="00341A2E" w:rsidP="006802D3">
      <w:pPr>
        <w:pStyle w:val="Subtitle"/>
      </w:pPr>
      <w:bookmarkStart w:id="188" w:name="_Toc93907346"/>
      <w:r w:rsidRPr="00B364CB">
        <w:t>Cooperation with JRC</w:t>
      </w:r>
      <w:bookmarkEnd w:id="178"/>
      <w:bookmarkEnd w:id="179"/>
      <w:bookmarkEnd w:id="180"/>
      <w:bookmarkEnd w:id="188"/>
    </w:p>
    <w:p w14:paraId="42D7C44E" w14:textId="77777777" w:rsidR="00EA01C7" w:rsidRDefault="00141CFA" w:rsidP="00141CFA">
      <w:pPr>
        <w:pStyle w:val="MAWP-Bodytext"/>
      </w:pPr>
      <w:r>
        <w:t xml:space="preserve">For the Horizon 2020 period, a Framework Contract between FCH 2 JU and JRC had been approved by the Governing Board in 2015. The scope of the Framework Contract covers the activities provided by JRC at the level of the FCH 2 JU programme. In line with the JRC mission, these support activities contribute primarily to the formulation and implementation of the FCH 2 JU strategy and activities in the areas of pre-normative research, RCS, safety, technology monitoring and assessment, including, more recently, the sustainability aspects. </w:t>
      </w:r>
    </w:p>
    <w:p w14:paraId="0B4D3FCA" w14:textId="48A6D21F" w:rsidR="00141CFA" w:rsidRDefault="00141CFA" w:rsidP="00141CFA">
      <w:pPr>
        <w:pStyle w:val="MAWP-Bodytext"/>
      </w:pPr>
      <w:r>
        <w:t>The JRC support activities to the FCH 2 JU programme covered by the Framework Contract are prepared and agreed on an annual basis between the JRC and the Program Office, with involvement of a representative of Hydrogen Europe Industry and of Hydrogen Europe Research, and become integral part of the FCH 2 JU Annual Work Plan of the FCH 2 JU.</w:t>
      </w:r>
    </w:p>
    <w:p w14:paraId="0ECFB021" w14:textId="16F4FDDB" w:rsidR="002C14D6" w:rsidRDefault="00141CFA" w:rsidP="00EA01C7">
      <w:pPr>
        <w:pStyle w:val="MAWP-Bodytext"/>
      </w:pPr>
      <w:r>
        <w:t xml:space="preserve">The present Framework Contract is valid until end of 2022. The two parts have already expressed the intention to continue the collaboration on the same way. In 2022, </w:t>
      </w:r>
      <w:r w:rsidR="00EA01C7">
        <w:t>the Clean Hydrogen</w:t>
      </w:r>
      <w:r>
        <w:t xml:space="preserve"> JU and the JRC will prepare and agree a new Framework Contract covering the Horizon Europe period. </w:t>
      </w:r>
    </w:p>
    <w:p w14:paraId="132A983C" w14:textId="32494699" w:rsidR="00E34C2F" w:rsidRPr="00B364CB" w:rsidRDefault="00341A2E" w:rsidP="006802D3">
      <w:pPr>
        <w:pStyle w:val="Subtitle"/>
      </w:pPr>
      <w:bookmarkStart w:id="189" w:name="_Toc64640581"/>
      <w:bookmarkStart w:id="190" w:name="_Ref74837720"/>
      <w:bookmarkStart w:id="191" w:name="_Toc93907347"/>
      <w:r w:rsidRPr="00B364CB">
        <w:t>Regulations, Codes and Standards (RCS) Strategy Coordination</w:t>
      </w:r>
      <w:bookmarkEnd w:id="189"/>
      <w:bookmarkEnd w:id="190"/>
      <w:bookmarkEnd w:id="191"/>
    </w:p>
    <w:p w14:paraId="147BF1F6" w14:textId="03DE009F" w:rsidR="0008295F" w:rsidRPr="00B364CB" w:rsidRDefault="0008295F" w:rsidP="0008295F">
      <w:pPr>
        <w:pStyle w:val="MAWP-Bodytext"/>
        <w:rPr>
          <w:lang w:eastAsia="en-US"/>
        </w:rPr>
      </w:pPr>
      <w:r w:rsidRPr="00B364CB">
        <w:rPr>
          <w:lang w:eastAsia="en-US"/>
        </w:rPr>
        <w:t xml:space="preserve">The implementation of suitable and hydrogen-specific </w:t>
      </w:r>
      <w:r w:rsidRPr="00B364CB">
        <w:t xml:space="preserve">regulatory and enabling </w:t>
      </w:r>
      <w:r w:rsidRPr="00B364CB">
        <w:rPr>
          <w:lang w:eastAsia="en-US"/>
        </w:rPr>
        <w:t xml:space="preserve">frameworks is crucial for the EU-wide deployment of hydrogen, fuel cells and hydrogen-based technologies </w:t>
      </w:r>
      <w:r w:rsidR="00240041">
        <w:rPr>
          <w:lang w:eastAsia="en-US"/>
        </w:rPr>
        <w:t>in order to</w:t>
      </w:r>
      <w:r w:rsidR="00240041" w:rsidRPr="00B364CB">
        <w:rPr>
          <w:lang w:eastAsia="en-US"/>
        </w:rPr>
        <w:t xml:space="preserve"> </w:t>
      </w:r>
      <w:r w:rsidRPr="00B364CB">
        <w:rPr>
          <w:lang w:eastAsia="en-US"/>
        </w:rPr>
        <w:t>meet the goals set out in the EU Hydrogen Strategy. Indeed, setting up these frameworks is one of the major priorities in the first phase of the Strategy (2020-2024).</w:t>
      </w:r>
    </w:p>
    <w:p w14:paraId="71FE29E7" w14:textId="77777777" w:rsidR="0008295F" w:rsidRPr="00B364CB" w:rsidRDefault="0008295F" w:rsidP="0008295F">
      <w:pPr>
        <w:pStyle w:val="MAWP-Bodytext"/>
        <w:rPr>
          <w:lang w:eastAsia="en-US"/>
        </w:rPr>
      </w:pPr>
      <w:r w:rsidRPr="00B364CB">
        <w:rPr>
          <w:lang w:eastAsia="en-US"/>
        </w:rPr>
        <w:t>The term “Regulations, Codes and Standards” (RCS) is widely used in Europe and other regions of the world to somehow refer to regulatory aspects in general, but it is important to underline some few remarks on each of them, particularly within the European context.</w:t>
      </w:r>
    </w:p>
    <w:p w14:paraId="3E9A8452" w14:textId="7DFCE8F8" w:rsidR="0008295F" w:rsidRPr="00B364CB" w:rsidRDefault="0008295F" w:rsidP="0008295F">
      <w:pPr>
        <w:pStyle w:val="MAWP-Bodytext"/>
        <w:rPr>
          <w:lang w:eastAsia="en-US"/>
        </w:rPr>
      </w:pPr>
      <w:r w:rsidRPr="00B364CB">
        <w:rPr>
          <w:lang w:eastAsia="en-US"/>
        </w:rPr>
        <w:t>The European Union is based on the rule of law and relies on law to ensure that its policies and priorities are realised in the Member States</w:t>
      </w:r>
      <w:r w:rsidRPr="00637F43">
        <w:rPr>
          <w:lang w:eastAsia="en-US"/>
        </w:rPr>
        <w:t>.</w:t>
      </w:r>
      <w:r w:rsidR="004677B0" w:rsidRPr="004A6826">
        <w:rPr>
          <w:rStyle w:val="FootnoteReference"/>
        </w:rPr>
        <w:footnoteReference w:id="191"/>
      </w:r>
      <w:r w:rsidRPr="00B364CB">
        <w:rPr>
          <w:lang w:eastAsia="en-US"/>
        </w:rPr>
        <w:t xml:space="preserve"> Regulations, directives, decisions, </w:t>
      </w:r>
      <w:r w:rsidRPr="00B364CB">
        <w:rPr>
          <w:lang w:eastAsia="en-US"/>
        </w:rPr>
        <w:lastRenderedPageBreak/>
        <w:t>recommendations, etc. are types of EU legal acts</w:t>
      </w:r>
      <w:r w:rsidRPr="00B364CB">
        <w:rPr>
          <w:rStyle w:val="FootnoteReference"/>
        </w:rPr>
        <w:footnoteReference w:id="192"/>
      </w:r>
      <w:r w:rsidRPr="00B364CB">
        <w:rPr>
          <w:lang w:eastAsia="en-US"/>
        </w:rPr>
        <w:t xml:space="preserve"> putting EU policies into practice.</w:t>
      </w:r>
    </w:p>
    <w:p w14:paraId="48D30BF0" w14:textId="77777777" w:rsidR="0008295F" w:rsidRPr="00B364CB" w:rsidRDefault="0008295F" w:rsidP="0008295F">
      <w:pPr>
        <w:pStyle w:val="MAWP-Bodytext"/>
        <w:rPr>
          <w:lang w:eastAsia="en-US"/>
        </w:rPr>
      </w:pPr>
      <w:r w:rsidRPr="00B364CB">
        <w:rPr>
          <w:lang w:eastAsia="en-US"/>
        </w:rPr>
        <w:t>Regulations in the EU apply automatically and uniformly to all EU countries as soon as they enter into force, without needing to be transposed into national law. Regulations are binding in their entirety on all EU countries and are distinguished from directives in which the latter must be incorporated by EU countries into their national legislation. In general terms, regulations and directives can refer to codes or standards, or be created completely on their own and</w:t>
      </w:r>
      <w:r w:rsidR="00EB6266" w:rsidRPr="00B364CB">
        <w:rPr>
          <w:lang w:eastAsia="en-US"/>
        </w:rPr>
        <w:t>,</w:t>
      </w:r>
      <w:r w:rsidRPr="00B364CB">
        <w:rPr>
          <w:lang w:eastAsia="en-US"/>
        </w:rPr>
        <w:t xml:space="preserve"> unlike a code or a standard, a regulation does not necessarily require an industry consensus to put it in effect. It serves to the general interest.</w:t>
      </w:r>
    </w:p>
    <w:p w14:paraId="637DE155" w14:textId="012825CD" w:rsidR="0008295F" w:rsidRPr="00B364CB" w:rsidRDefault="0008295F" w:rsidP="0008295F">
      <w:pPr>
        <w:pStyle w:val="MAWP-Bodytext"/>
        <w:rPr>
          <w:lang w:eastAsia="en-US"/>
        </w:rPr>
      </w:pPr>
      <w:r w:rsidRPr="00B364CB">
        <w:rPr>
          <w:lang w:eastAsia="en-US"/>
        </w:rPr>
        <w:t>In the EU, the European Commission is responsible for planning, preparing and proposing new EU laws and policies. In addition, the effective application, implementation and enforcement of the law is a responsibility entrusted to the Commission.</w:t>
      </w:r>
      <w:r w:rsidRPr="00B364CB">
        <w:t xml:space="preserve"> </w:t>
      </w:r>
      <w:r w:rsidRPr="00B364CB">
        <w:rPr>
          <w:lang w:eastAsia="en-US"/>
        </w:rPr>
        <w:t>With regards to international regulatory cooperation, the Commission cooperates closely with international partners, both in multilateral dialogues, for instance with the United Nations, the Organisation for Economic Co-operation and Development or the World Bank, as well as in bilateral dialogues</w:t>
      </w:r>
      <w:r w:rsidRPr="00637F43">
        <w:rPr>
          <w:lang w:eastAsia="en-US"/>
        </w:rPr>
        <w:t>.</w:t>
      </w:r>
    </w:p>
    <w:p w14:paraId="22C29D6D" w14:textId="3E356665" w:rsidR="007D044F" w:rsidRPr="00B364CB" w:rsidRDefault="007D044F" w:rsidP="0008295F">
      <w:pPr>
        <w:pStyle w:val="MAWP-Bodytext"/>
        <w:rPr>
          <w:lang w:eastAsia="en-US"/>
        </w:rPr>
      </w:pPr>
      <w:r w:rsidRPr="00B364CB">
        <w:t>Nevertheless, sometimes, the term “regulation” in the expression “regulation, codes and standards” does not refer to a regulation in the sense of EU law (a directly applicable EU rule) but to a rather tech</w:t>
      </w:r>
      <w:r w:rsidR="00DF6971" w:rsidRPr="00B364CB">
        <w:t>nical, low-level rule, adopted by the government or a simple administration.</w:t>
      </w:r>
    </w:p>
    <w:p w14:paraId="6F3A7057" w14:textId="77777777" w:rsidR="0008295F" w:rsidRPr="00B364CB" w:rsidRDefault="0008295F" w:rsidP="0008295F">
      <w:pPr>
        <w:pStyle w:val="MAWP-Bodytext"/>
        <w:rPr>
          <w:lang w:eastAsia="en-US"/>
        </w:rPr>
      </w:pPr>
      <w:r w:rsidRPr="00B364CB">
        <w:rPr>
          <w:lang w:eastAsia="en-US"/>
        </w:rPr>
        <w:t>On the other hand, in an industrial context, a code, in general, is a set of rules or norms that serve as generally accepted guidelines recommended for the industry to follow. They exist for the purpose of safety, quality or another benefit. On its own, a code is not a law that must be followed, but compliance is often a best practice. Industry codes can be voluntary or mandatory and can be developed by the industry on its own or by public institutions.</w:t>
      </w:r>
      <w:r w:rsidRPr="00B364CB">
        <w:t xml:space="preserve"> </w:t>
      </w:r>
      <w:r w:rsidRPr="00B364CB">
        <w:rPr>
          <w:lang w:eastAsia="en-US"/>
        </w:rPr>
        <w:t>The intent of a code is for it to apply widely across the industry within the economic sector at the scope, but can be adopted into law, or included in a business contract.</w:t>
      </w:r>
    </w:p>
    <w:p w14:paraId="2FF49A1D" w14:textId="1869A980" w:rsidR="0008295F" w:rsidRPr="00B364CB" w:rsidRDefault="0008295F" w:rsidP="0008295F">
      <w:pPr>
        <w:pStyle w:val="MAWP-Bodytext"/>
        <w:rPr>
          <w:lang w:eastAsia="en-US"/>
        </w:rPr>
      </w:pPr>
      <w:r w:rsidRPr="00B364CB">
        <w:rPr>
          <w:lang w:eastAsia="en-US"/>
        </w:rPr>
        <w:t>Standards are part of the knowledge economy that underpins industry and society</w:t>
      </w:r>
      <w:r w:rsidR="004677B0">
        <w:rPr>
          <w:lang w:eastAsia="en-US"/>
        </w:rPr>
        <w:t>.</w:t>
      </w:r>
      <w:r w:rsidRPr="00B364CB">
        <w:rPr>
          <w:rStyle w:val="FootnoteReference"/>
        </w:rPr>
        <w:footnoteReference w:id="193"/>
      </w:r>
      <w:r w:rsidRPr="00B364CB">
        <w:t xml:space="preserve"> Standards are, in essence, an agreed way of achieving a set objective.</w:t>
      </w:r>
      <w:r w:rsidRPr="00B364CB">
        <w:rPr>
          <w:lang w:eastAsia="en-US"/>
        </w:rPr>
        <w:t xml:space="preserve"> In simple terms, a regulation or a code sets out "what" is required, and a standard sets out "how" to do it.</w:t>
      </w:r>
      <w:r w:rsidRPr="00B364CB">
        <w:t xml:space="preserve"> </w:t>
      </w:r>
      <w:r w:rsidRPr="00B364CB">
        <w:rPr>
          <w:lang w:eastAsia="en-US"/>
        </w:rPr>
        <w:t xml:space="preserve">Standards can be used to improve safety and performance, protect consumers, workers and the environment, etc. Overall, the majority of standards are initiated by business and developed in partnership with other stakeholders either in sectoral associations, or in </w:t>
      </w:r>
      <w:r w:rsidR="001F3B60" w:rsidRPr="00B364CB">
        <w:rPr>
          <w:lang w:eastAsia="en-US"/>
        </w:rPr>
        <w:t>Standardisation</w:t>
      </w:r>
      <w:r w:rsidRPr="00B364CB">
        <w:rPr>
          <w:lang w:eastAsia="en-US"/>
        </w:rPr>
        <w:t xml:space="preserve"> Developing </w:t>
      </w:r>
      <w:r w:rsidR="001F3B60" w:rsidRPr="00B364CB">
        <w:rPr>
          <w:lang w:eastAsia="en-US"/>
        </w:rPr>
        <w:t>Organisations</w:t>
      </w:r>
      <w:r w:rsidR="00235F70" w:rsidRPr="00B364CB">
        <w:rPr>
          <w:lang w:eastAsia="en-US"/>
        </w:rPr>
        <w:t xml:space="preserve"> (SDOs)</w:t>
      </w:r>
      <w:r w:rsidRPr="00B364CB">
        <w:rPr>
          <w:lang w:eastAsia="en-US"/>
        </w:rPr>
        <w:t xml:space="preserve">, such as the International </w:t>
      </w:r>
      <w:r w:rsidR="001F3B60" w:rsidRPr="00B364CB">
        <w:rPr>
          <w:lang w:eastAsia="en-US"/>
        </w:rPr>
        <w:t>Standardisation Organisation</w:t>
      </w:r>
      <w:r w:rsidRPr="00B364CB">
        <w:rPr>
          <w:lang w:eastAsia="en-US"/>
        </w:rPr>
        <w:t xml:space="preserve"> (ISO)</w:t>
      </w:r>
      <w:r w:rsidRPr="00E4788A">
        <w:rPr>
          <w:rStyle w:val="FootnoteReference"/>
        </w:rPr>
        <w:footnoteReference w:id="194"/>
      </w:r>
      <w:r w:rsidRPr="00B364CB">
        <w:rPr>
          <w:lang w:eastAsia="en-US"/>
        </w:rPr>
        <w:t xml:space="preserve"> and International Electrotechnical Commission (IEC)</w:t>
      </w:r>
      <w:r w:rsidRPr="00E4788A">
        <w:rPr>
          <w:rStyle w:val="FootnoteReference"/>
        </w:rPr>
        <w:footnoteReference w:id="195"/>
      </w:r>
      <w:r w:rsidRPr="00B364CB">
        <w:rPr>
          <w:lang w:eastAsia="en-US"/>
        </w:rPr>
        <w:t xml:space="preserve"> at international level, or the European Committee for </w:t>
      </w:r>
      <w:r w:rsidR="001F3B60" w:rsidRPr="00B364CB">
        <w:rPr>
          <w:lang w:eastAsia="en-US"/>
        </w:rPr>
        <w:t>Standardisation</w:t>
      </w:r>
      <w:r w:rsidRPr="00B364CB">
        <w:rPr>
          <w:lang w:eastAsia="en-US"/>
        </w:rPr>
        <w:t xml:space="preserve"> (CEN), the European Committee for Electrotechnical </w:t>
      </w:r>
      <w:r w:rsidR="001F3B60" w:rsidRPr="00B364CB">
        <w:rPr>
          <w:lang w:eastAsia="en-US"/>
        </w:rPr>
        <w:t>Standardisation</w:t>
      </w:r>
      <w:r w:rsidRPr="00B364CB">
        <w:rPr>
          <w:lang w:eastAsia="en-US"/>
        </w:rPr>
        <w:t xml:space="preserve"> (CENELEC</w:t>
      </w:r>
      <w:r w:rsidRPr="00637F43">
        <w:rPr>
          <w:lang w:eastAsia="en-US"/>
        </w:rPr>
        <w:t>)</w:t>
      </w:r>
      <w:r w:rsidRPr="00E4788A">
        <w:rPr>
          <w:rStyle w:val="FootnoteReference"/>
        </w:rPr>
        <w:footnoteReference w:id="196"/>
      </w:r>
      <w:r w:rsidRPr="00E4788A">
        <w:rPr>
          <w:b/>
          <w:lang w:eastAsia="en-US"/>
        </w:rPr>
        <w:t xml:space="preserve"> </w:t>
      </w:r>
      <w:r w:rsidRPr="00B364CB">
        <w:rPr>
          <w:lang w:eastAsia="en-US"/>
        </w:rPr>
        <w:t xml:space="preserve">at the European level, to name but a few. </w:t>
      </w:r>
      <w:r w:rsidRPr="00B364CB">
        <w:t xml:space="preserve">The use of standards by market players can in addition support the implementation of public authorities’ policy and legislation and help stakeholders to comply with legislation. For example, about 30 % of European Standards are </w:t>
      </w:r>
      <w:r w:rsidRPr="00B364CB">
        <w:rPr>
          <w:lang w:eastAsia="en-US"/>
        </w:rPr>
        <w:t>mandated by the European Commission in the framework of EU legislation</w:t>
      </w:r>
      <w:r w:rsidRPr="00B364CB">
        <w:t xml:space="preserve"> and perform this supplementary function</w:t>
      </w:r>
      <w:r w:rsidRPr="00E4788A">
        <w:rPr>
          <w:rStyle w:val="FootnoteReference"/>
        </w:rPr>
        <w:footnoteReference w:id="197"/>
      </w:r>
      <w:r w:rsidRPr="00637F43">
        <w:t xml:space="preserve">. </w:t>
      </w:r>
      <w:r w:rsidRPr="00B364CB">
        <w:rPr>
          <w:lang w:eastAsia="en-US"/>
        </w:rPr>
        <w:t>Among the different manners to classify standards, standards can fall into two general categories:</w:t>
      </w:r>
    </w:p>
    <w:p w14:paraId="55C92293" w14:textId="074E2217" w:rsidR="0008295F" w:rsidRPr="00B364CB" w:rsidRDefault="0008295F" w:rsidP="00FF59DB">
      <w:pPr>
        <w:pStyle w:val="MAWPBodytextbullets"/>
      </w:pPr>
      <w:r w:rsidRPr="00B364CB">
        <w:lastRenderedPageBreak/>
        <w:t xml:space="preserve">Non-statutory standards: </w:t>
      </w:r>
      <w:r w:rsidR="005D035A">
        <w:t>t</w:t>
      </w:r>
      <w:r w:rsidRPr="00B364CB">
        <w:t xml:space="preserve">his type of standards, also named as voluntary, is generally established by a private sector and made available to persons or </w:t>
      </w:r>
      <w:r w:rsidR="001F3B60" w:rsidRPr="00B364CB">
        <w:t>organisations</w:t>
      </w:r>
      <w:r w:rsidRPr="00B364CB">
        <w:t>, whether private or public, to use. Also considered voluntary standards are those known as “industry standards” or “consensus standards”.</w:t>
      </w:r>
    </w:p>
    <w:p w14:paraId="20404BA7" w14:textId="67961092" w:rsidR="0008295F" w:rsidRPr="00B364CB" w:rsidRDefault="0008295F" w:rsidP="00FF59DB">
      <w:pPr>
        <w:pStyle w:val="MAWPBodytextbullets"/>
      </w:pPr>
      <w:r w:rsidRPr="00B364CB">
        <w:t xml:space="preserve">Statutory standards. </w:t>
      </w:r>
      <w:r w:rsidR="005D035A">
        <w:t>t</w:t>
      </w:r>
      <w:r w:rsidRPr="00B364CB">
        <w:t xml:space="preserve">his type of standards, also named as mandatory, requires compliance because of a European regulation or national statue, an </w:t>
      </w:r>
      <w:r w:rsidR="001F3B60" w:rsidRPr="00B364CB">
        <w:t>organisation</w:t>
      </w:r>
      <w:r w:rsidRPr="00B364CB">
        <w:t xml:space="preserve"> internal policy or contractual requirement. Failure to comply with a mandatory standard’s </w:t>
      </w:r>
      <w:r w:rsidR="001B789A">
        <w:t>requirements</w:t>
      </w:r>
      <w:r w:rsidR="001B789A" w:rsidRPr="00B364CB">
        <w:t xml:space="preserve"> </w:t>
      </w:r>
      <w:r w:rsidRPr="00B364CB">
        <w:t>can cause legal repercussions.</w:t>
      </w:r>
    </w:p>
    <w:p w14:paraId="5DA30EDF" w14:textId="473D2713" w:rsidR="0008295F" w:rsidRPr="00B364CB" w:rsidRDefault="0008295F" w:rsidP="0008295F">
      <w:pPr>
        <w:pStyle w:val="MAWP-Bodytext"/>
        <w:rPr>
          <w:lang w:eastAsia="en-US"/>
        </w:rPr>
      </w:pPr>
      <w:r w:rsidRPr="00B364CB">
        <w:rPr>
          <w:lang w:eastAsia="en-US"/>
        </w:rPr>
        <w:t>The implementation of suitable and hydrogen-specific regulatory and enabling frameworks requires a strategic approach, which focuses, especially during the timeframe referred in the first phase of the hydrogen strategy, on aspects where enforcement action can make a real difference to streamline the rollout of hydrogen technologies in Europe. In this sense, t</w:t>
      </w:r>
      <w:r w:rsidRPr="00B364CB">
        <w:t>he term ‘regulation’ means both legislation and other policy actions</w:t>
      </w:r>
      <w:r w:rsidR="00DF6971" w:rsidRPr="00B364CB">
        <w:t xml:space="preserve"> at EU and Member State level</w:t>
      </w:r>
      <w:r w:rsidRPr="00B364CB">
        <w:t xml:space="preserve">. </w:t>
      </w:r>
      <w:r w:rsidRPr="00B364CB">
        <w:rPr>
          <w:lang w:eastAsia="en-US"/>
        </w:rPr>
        <w:t xml:space="preserve">To this end, this approach necessitates a structured, systematic and effective coordination and assessment of the existing gaps and barriers in the current (and upcoming) regulatory framework in order to identify the needs and </w:t>
      </w:r>
      <w:r w:rsidR="001F3B60" w:rsidRPr="00B364CB">
        <w:rPr>
          <w:lang w:eastAsia="en-US"/>
        </w:rPr>
        <w:t>prioritise</w:t>
      </w:r>
      <w:r w:rsidRPr="00B364CB">
        <w:rPr>
          <w:lang w:eastAsia="en-US"/>
        </w:rPr>
        <w:t xml:space="preserve"> actions.</w:t>
      </w:r>
    </w:p>
    <w:p w14:paraId="537E6C9C" w14:textId="4397F873" w:rsidR="0008295F" w:rsidRPr="00B364CB" w:rsidRDefault="0008295F" w:rsidP="0008295F">
      <w:pPr>
        <w:pStyle w:val="MAWP-Bodytext"/>
        <w:rPr>
          <w:lang w:eastAsia="en-US"/>
        </w:rPr>
      </w:pPr>
      <w:r w:rsidRPr="00B364CB">
        <w:rPr>
          <w:lang w:eastAsia="en-US"/>
        </w:rPr>
        <w:t xml:space="preserve">The </w:t>
      </w:r>
      <w:r w:rsidR="00831A2C">
        <w:t xml:space="preserve">Clean Hydrogen </w:t>
      </w:r>
      <w:r w:rsidRPr="00B364CB">
        <w:t>JU</w:t>
      </w:r>
      <w:r w:rsidRPr="00B364CB">
        <w:rPr>
          <w:lang w:eastAsia="en-US"/>
        </w:rPr>
        <w:t xml:space="preserve"> will contribute to supporting the implementation of hydrogen-specific regulatory and enabling frameworks by a strategic and coordinated approach to RCS issues within the Programme, which will mostly be implemented through Pre-Normative Research activities. To this end, PNR activities will encompass research activities and desk research activities in view of supporting RCS developments.</w:t>
      </w:r>
    </w:p>
    <w:p w14:paraId="34197038" w14:textId="1768C0D8" w:rsidR="0008295F" w:rsidRPr="00B364CB" w:rsidRDefault="0008295F" w:rsidP="0008295F">
      <w:pPr>
        <w:pStyle w:val="MAWP-Bodytext"/>
        <w:rPr>
          <w:lang w:eastAsia="en-US"/>
        </w:rPr>
      </w:pPr>
      <w:r w:rsidRPr="00B364CB">
        <w:rPr>
          <w:lang w:eastAsia="en-US"/>
        </w:rPr>
        <w:t xml:space="preserve">Whilst the Regulations, Codes and Standards Strategy Coordination </w:t>
      </w:r>
      <w:r w:rsidR="0050222D" w:rsidRPr="00B364CB">
        <w:rPr>
          <w:lang w:eastAsia="en-US"/>
        </w:rPr>
        <w:t xml:space="preserve">(RCS SC) </w:t>
      </w:r>
      <w:r w:rsidRPr="00B364CB">
        <w:rPr>
          <w:lang w:eastAsia="en-US"/>
        </w:rPr>
        <w:t>group</w:t>
      </w:r>
      <w:r w:rsidRPr="00E4788A">
        <w:rPr>
          <w:rStyle w:val="FootnoteReference"/>
        </w:rPr>
        <w:footnoteReference w:id="198"/>
      </w:r>
      <w:r w:rsidRPr="00B364CB">
        <w:rPr>
          <w:lang w:eastAsia="en-US"/>
        </w:rPr>
        <w:t xml:space="preserve"> set up by the FCH 2 JU have certainly contributed for better coordination in the last years, in the light of experience, these activities need an even more strategic approach in the </w:t>
      </w:r>
      <w:r w:rsidR="00831A2C">
        <w:t xml:space="preserve">Clean Hydrogen </w:t>
      </w:r>
      <w:r w:rsidR="00533E4D" w:rsidRPr="00B364CB">
        <w:rPr>
          <w:lang w:eastAsia="en-US"/>
        </w:rPr>
        <w:t xml:space="preserve">JU’s </w:t>
      </w:r>
      <w:r w:rsidRPr="00B364CB">
        <w:rPr>
          <w:lang w:eastAsia="en-US"/>
        </w:rPr>
        <w:t xml:space="preserve">Programme. To this end, a RCS </w:t>
      </w:r>
      <w:r w:rsidR="0050222D" w:rsidRPr="00B364CB">
        <w:rPr>
          <w:lang w:eastAsia="en-US"/>
        </w:rPr>
        <w:t>SC</w:t>
      </w:r>
      <w:r w:rsidRPr="00B364CB">
        <w:rPr>
          <w:lang w:eastAsia="en-US"/>
        </w:rPr>
        <w:t xml:space="preserve"> Task Force composed of the Commission, Hydrogen Europe and Hydrogen Europe Research, and the </w:t>
      </w:r>
      <w:r w:rsidR="00831A2C">
        <w:t xml:space="preserve">Clean Hydrogen </w:t>
      </w:r>
      <w:r w:rsidRPr="00B364CB">
        <w:t>JU</w:t>
      </w:r>
      <w:r w:rsidRPr="00B364CB">
        <w:rPr>
          <w:lang w:eastAsia="en-US"/>
        </w:rPr>
        <w:t xml:space="preserve"> Programme Office</w:t>
      </w:r>
      <w:r w:rsidR="0050222D" w:rsidRPr="00B364CB">
        <w:rPr>
          <w:lang w:eastAsia="en-US"/>
        </w:rPr>
        <w:t xml:space="preserve"> (PO)</w:t>
      </w:r>
      <w:r w:rsidRPr="00B364CB">
        <w:rPr>
          <w:lang w:eastAsia="en-US"/>
        </w:rPr>
        <w:t xml:space="preserve"> will be set up.</w:t>
      </w:r>
    </w:p>
    <w:p w14:paraId="47F96828" w14:textId="1F4A2F07" w:rsidR="00983661" w:rsidRPr="00B364CB" w:rsidRDefault="00983661" w:rsidP="0008295F">
      <w:pPr>
        <w:pStyle w:val="MAWP-Bodytext"/>
        <w:rPr>
          <w:lang w:eastAsia="en-US"/>
        </w:rPr>
      </w:pPr>
      <w:r w:rsidRPr="00B364CB">
        <w:rPr>
          <w:lang w:eastAsia="en-US"/>
        </w:rPr>
        <w:t>The main goal of the RCS SC Task Force will be the definition, coordination and monitoring of the strategy related to RCS within the Programme with the ultimate goal of increasing the EU impact in RCS development in Europe and beyond, with the main focus but not limited to Standards. The RCS SC</w:t>
      </w:r>
      <w:r w:rsidR="0050222D" w:rsidRPr="00B364CB">
        <w:rPr>
          <w:lang w:eastAsia="en-US"/>
        </w:rPr>
        <w:t xml:space="preserve"> </w:t>
      </w:r>
      <w:r w:rsidRPr="00B364CB">
        <w:rPr>
          <w:lang w:eastAsia="en-US"/>
        </w:rPr>
        <w:t xml:space="preserve">Task Force will support the Commission </w:t>
      </w:r>
      <w:r w:rsidR="00B00AF3">
        <w:rPr>
          <w:lang w:eastAsia="en-US"/>
        </w:rPr>
        <w:t>and the Member State organisations</w:t>
      </w:r>
      <w:r w:rsidRPr="00B364CB">
        <w:rPr>
          <w:lang w:eastAsia="en-US"/>
        </w:rPr>
        <w:t xml:space="preserve"> in its </w:t>
      </w:r>
      <w:r w:rsidR="0022614D" w:rsidRPr="00B364CB">
        <w:rPr>
          <w:lang w:eastAsia="en-US"/>
        </w:rPr>
        <w:t xml:space="preserve">activities on </w:t>
      </w:r>
      <w:r w:rsidRPr="00B364CB">
        <w:rPr>
          <w:lang w:eastAsia="en-US"/>
        </w:rPr>
        <w:t xml:space="preserve">international regulatory cooperation when required, will ensure the </w:t>
      </w:r>
      <w:r w:rsidR="00831A2C">
        <w:t xml:space="preserve">Clean Hydrogen </w:t>
      </w:r>
      <w:r w:rsidRPr="00B364CB">
        <w:rPr>
          <w:lang w:eastAsia="en-US"/>
        </w:rPr>
        <w:t>JU will speak with one single voice and will support the synergies related to RCS with other partnerships.</w:t>
      </w:r>
    </w:p>
    <w:p w14:paraId="55F391EA" w14:textId="28EA8CD3" w:rsidR="0008295F" w:rsidRPr="00B364CB" w:rsidRDefault="0008295F" w:rsidP="0008295F">
      <w:pPr>
        <w:pStyle w:val="MAWP-Bodytext"/>
        <w:rPr>
          <w:lang w:eastAsia="en-US"/>
        </w:rPr>
      </w:pPr>
      <w:r w:rsidRPr="00B364CB">
        <w:rPr>
          <w:lang w:eastAsia="en-US"/>
        </w:rPr>
        <w:t>Regulatory policy is a responsibility entrusted to the Commission and</w:t>
      </w:r>
      <w:r w:rsidR="00566309" w:rsidRPr="00B364CB">
        <w:rPr>
          <w:lang w:eastAsia="en-US"/>
        </w:rPr>
        <w:t xml:space="preserve"> </w:t>
      </w:r>
      <w:r w:rsidR="003E0396" w:rsidRPr="00B364CB">
        <w:rPr>
          <w:lang w:eastAsia="en-US"/>
        </w:rPr>
        <w:t>Member States</w:t>
      </w:r>
      <w:r w:rsidR="00A362EA">
        <w:rPr>
          <w:lang w:eastAsia="en-US"/>
        </w:rPr>
        <w:t xml:space="preserve"> organisations</w:t>
      </w:r>
      <w:r w:rsidR="00DD2643" w:rsidRPr="00B364CB">
        <w:rPr>
          <w:lang w:eastAsia="en-US"/>
        </w:rPr>
        <w:t xml:space="preserve"> </w:t>
      </w:r>
      <w:r w:rsidRPr="00B364CB">
        <w:rPr>
          <w:lang w:eastAsia="en-US"/>
        </w:rPr>
        <w:t xml:space="preserve">while the </w:t>
      </w:r>
      <w:r w:rsidR="00831A2C">
        <w:t xml:space="preserve">Clean Hydrogen </w:t>
      </w:r>
      <w:r w:rsidR="00533E4D" w:rsidRPr="00B364CB">
        <w:rPr>
          <w:lang w:eastAsia="en-US"/>
        </w:rPr>
        <w:t>JU</w:t>
      </w:r>
      <w:r w:rsidRPr="00B364CB">
        <w:rPr>
          <w:lang w:eastAsia="en-US"/>
        </w:rPr>
        <w:t xml:space="preserve"> can contribute to its development, the main contribution and impact of the Programme is envisaged on supporting the development of technical regulations. In this respect, it is important to remark that the European Union can only act in those areas where its member countries have authorised it to do so, which makes unrealistic the adoption of EU unified, harmonised documents valid everywhere. For example, aspects like the permitting and/or licensing processes for HRS in the EU depend on local authorities, which apply Member States rules, codes, and/or regulations.</w:t>
      </w:r>
    </w:p>
    <w:p w14:paraId="7C31931F" w14:textId="12E26DAE" w:rsidR="0008295F" w:rsidRPr="00B364CB" w:rsidRDefault="0008295F" w:rsidP="0008295F">
      <w:pPr>
        <w:pStyle w:val="MAWP-Bodytext"/>
        <w:rPr>
          <w:lang w:eastAsia="en-US"/>
        </w:rPr>
      </w:pPr>
      <w:r w:rsidRPr="00B364CB">
        <w:rPr>
          <w:lang w:eastAsia="en-US"/>
        </w:rPr>
        <w:lastRenderedPageBreak/>
        <w:t>On standards, the Programme activities will mostly focus on supporting the development as well as the actual use of harmonised performance-based standards for hydrogen and hydrogen-based technologies at European and international level. The goal is to provide rigorous, fact-based and scientifically sound evidence to establish and/or further develop standards that can be referred to in regulatory documents while facilitating the hydrogen market deployment.</w:t>
      </w:r>
    </w:p>
    <w:p w14:paraId="14E619A8" w14:textId="77777777" w:rsidR="0008295F" w:rsidRPr="00B364CB" w:rsidRDefault="0008295F" w:rsidP="0008295F">
      <w:pPr>
        <w:pStyle w:val="MAWP-Bodytext"/>
        <w:rPr>
          <w:lang w:eastAsia="en-US"/>
        </w:rPr>
      </w:pPr>
      <w:r w:rsidRPr="00B364CB">
        <w:t>To this end, it is envisaged that RCS SC Task Force prioritises the coordination of the following activities:</w:t>
      </w:r>
    </w:p>
    <w:p w14:paraId="5A72EC37" w14:textId="7FF2AB4F" w:rsidR="0008295F" w:rsidRPr="00B364CB" w:rsidRDefault="0022614D" w:rsidP="002256F6">
      <w:pPr>
        <w:pStyle w:val="MAWPBodyTextNumbered"/>
        <w:numPr>
          <w:ilvl w:val="0"/>
          <w:numId w:val="41"/>
        </w:numPr>
      </w:pPr>
      <w:r w:rsidRPr="00B364CB">
        <w:t xml:space="preserve">Follow up of RCS development related to hydrogen, fuel cells and hydrogen technologies through a continuous global watch function with the main focus but not limited to standards. To this end, the RCS SC Task Force will explore the possibilities to support the Commission </w:t>
      </w:r>
      <w:r w:rsidR="00903DB6">
        <w:t xml:space="preserve">and the Member States </w:t>
      </w:r>
      <w:r w:rsidRPr="00B364CB">
        <w:t xml:space="preserve">in </w:t>
      </w:r>
      <w:r w:rsidR="00153155">
        <w:t>the</w:t>
      </w:r>
      <w:r w:rsidRPr="00B364CB">
        <w:t xml:space="preserve"> international regulatory bodies cooperation, such as with the United Nations (e.g. with the United Nations Economic Commission for Europe), international organisations like IPHE, or bilaterally with the US, Japan, etc., and with standardisation developing organisations at both, international and European level. With respect to the latter,</w:t>
      </w:r>
      <w:r w:rsidR="00235F70" w:rsidRPr="00B364CB">
        <w:t xml:space="preserve"> if required,</w:t>
      </w:r>
      <w:r w:rsidRPr="00B364CB">
        <w:t xml:space="preserve"> the possibilities of formal liaisons could also be explored, for instance, through participating in the Technical Advisory Boards.</w:t>
      </w:r>
    </w:p>
    <w:p w14:paraId="05DCDDF0" w14:textId="44ECACA2" w:rsidR="0008295F" w:rsidRPr="00B364CB" w:rsidRDefault="0008295F" w:rsidP="00A205E9">
      <w:pPr>
        <w:pStyle w:val="MAWPBodyTextNumbered"/>
      </w:pPr>
      <w:r w:rsidRPr="00B364CB">
        <w:t xml:space="preserve">Assessment of RCS development needs of strategic importance in Europe. Building on the monitoring activities mentioned previously and in consultation with relevant stakeholders, the RCS SC Task Force will assess what RCS developments could contribute the most to foster a regulatory friction-less EU-wide hydrogen market, while meeting the EU Hydrogen Strategy goals and the interests of the European industry and research </w:t>
      </w:r>
      <w:r w:rsidR="001F3B60" w:rsidRPr="00B364CB">
        <w:t>organisations.</w:t>
      </w:r>
      <w:r w:rsidRPr="00B364CB">
        <w:t xml:space="preserve"> This will facilitate to lay down the RCS strategy in the Programme.</w:t>
      </w:r>
    </w:p>
    <w:p w14:paraId="053AFF81" w14:textId="0F0E256C" w:rsidR="0008295F" w:rsidRPr="00B364CB" w:rsidRDefault="0008295F" w:rsidP="00A205E9">
      <w:pPr>
        <w:pStyle w:val="MAWPBodyTextNumbered"/>
      </w:pPr>
      <w:r w:rsidRPr="00B364CB">
        <w:t xml:space="preserve">Identification and </w:t>
      </w:r>
      <w:r w:rsidR="001F3B60" w:rsidRPr="00B364CB">
        <w:t>prioritisation</w:t>
      </w:r>
      <w:r w:rsidRPr="00B364CB">
        <w:t xml:space="preserve"> of the requirements and needs for research and innovation, and coordination actions to support the RCS development identified as strategic for Europe and that </w:t>
      </w:r>
      <w:r w:rsidR="001F3B60" w:rsidRPr="00B364CB">
        <w:t>standardisation</w:t>
      </w:r>
      <w:r w:rsidRPr="00B364CB">
        <w:t xml:space="preserve"> and regulatory aspects are appropriately addressed in the Programme. </w:t>
      </w:r>
      <w:r w:rsidR="00153155">
        <w:t>T</w:t>
      </w:r>
      <w:r w:rsidRPr="00B364CB">
        <w:t xml:space="preserve">he majority of the targeted actions in the Programme will be conducted through PNR activities and will encompass but not </w:t>
      </w:r>
      <w:r w:rsidR="00ED5CAA" w:rsidRPr="00B364CB">
        <w:t xml:space="preserve">be </w:t>
      </w:r>
      <w:r w:rsidRPr="00B364CB">
        <w:t xml:space="preserve">limited to research activities and desk research activities in view of supporting RCS developments. This will contribute to the development of the Annual Work Plans of the </w:t>
      </w:r>
      <w:r w:rsidR="00831A2C">
        <w:t xml:space="preserve">Clean Hydrogen </w:t>
      </w:r>
      <w:r w:rsidRPr="00B364CB">
        <w:t>JU</w:t>
      </w:r>
      <w:r w:rsidR="00064D86">
        <w:t xml:space="preserve">, and </w:t>
      </w:r>
      <w:r w:rsidR="00064D86" w:rsidRPr="003403F2">
        <w:t>will support the Annual Union Work Programme for European standardisation when necessary</w:t>
      </w:r>
      <w:r w:rsidRPr="00B364CB">
        <w:t>.</w:t>
      </w:r>
    </w:p>
    <w:p w14:paraId="4368BDFF" w14:textId="75BFDF8C" w:rsidR="0008295F" w:rsidRPr="00B364CB" w:rsidRDefault="0008295F" w:rsidP="00A205E9">
      <w:pPr>
        <w:pStyle w:val="MAWPBodyTextNumbered"/>
      </w:pPr>
      <w:r w:rsidRPr="00B364CB">
        <w:t xml:space="preserve">Follow up and support the research and innovation, and coordination actions undertaken in the Programme contributing to ensure to </w:t>
      </w:r>
      <w:r w:rsidR="00ED5CAA" w:rsidRPr="00B364CB">
        <w:t xml:space="preserve">the </w:t>
      </w:r>
      <w:r w:rsidRPr="00B364CB">
        <w:t>best possible actual use of PNR results in RCS developments. This support can encompass the establishment of a systematic and structured approach to supporting formal liaison between SDOs and projects, financial support to entities for participation in SDOs, etc.</w:t>
      </w:r>
    </w:p>
    <w:p w14:paraId="244DBA14" w14:textId="052EEBE5" w:rsidR="0008295F" w:rsidRPr="00B364CB" w:rsidRDefault="0008295F" w:rsidP="00A205E9">
      <w:pPr>
        <w:pStyle w:val="MAWPBodyTextNumbered"/>
      </w:pPr>
      <w:r w:rsidRPr="00B364CB">
        <w:t xml:space="preserve">Dissemination of results. This could include the collection and effective transfer of RCS-relevant results in regulatory and </w:t>
      </w:r>
      <w:r w:rsidR="001F3B60" w:rsidRPr="00B364CB">
        <w:t>standardisation</w:t>
      </w:r>
      <w:r w:rsidRPr="00B364CB">
        <w:t xml:space="preserve"> bodies; targeted communication actions, awareness workshops, development of training content, etc.</w:t>
      </w:r>
    </w:p>
    <w:p w14:paraId="54E84DF5" w14:textId="77777777" w:rsidR="0008295F" w:rsidRPr="00B364CB" w:rsidRDefault="0008295F" w:rsidP="00FF59DB">
      <w:pPr>
        <w:pStyle w:val="MAWP-Bodytext"/>
      </w:pPr>
      <w:r w:rsidRPr="00B364CB">
        <w:t xml:space="preserve">Altogether, the RCS SC Task Force will contribute to coordinating and establishing an approach to enhance European participation and contribution in international and European RCS bodies while contributing to lay down a regulatory friction-less hydrogen market in Europe and beyond </w:t>
      </w:r>
      <w:r w:rsidRPr="00B364CB">
        <w:lastRenderedPageBreak/>
        <w:t>if possible.</w:t>
      </w:r>
    </w:p>
    <w:p w14:paraId="1437EDF4" w14:textId="3E1F7B5C" w:rsidR="00E34C2F" w:rsidRPr="00B364CB" w:rsidRDefault="00341A2E" w:rsidP="006802D3">
      <w:pPr>
        <w:pStyle w:val="Subtitle"/>
      </w:pPr>
      <w:bookmarkStart w:id="192" w:name="_Toc64640582"/>
      <w:bookmarkStart w:id="193" w:name="_Ref74837731"/>
      <w:bookmarkStart w:id="194" w:name="_Toc93907348"/>
      <w:r w:rsidRPr="00B364CB">
        <w:t>European Hydrogen Safety Panel (EHSP)</w:t>
      </w:r>
      <w:bookmarkEnd w:id="192"/>
      <w:bookmarkEnd w:id="193"/>
      <w:bookmarkEnd w:id="194"/>
    </w:p>
    <w:p w14:paraId="36F92A91" w14:textId="4584FC2E" w:rsidR="007B2D0C" w:rsidRPr="00B364CB" w:rsidRDefault="007B2D0C" w:rsidP="007B2D0C">
      <w:pPr>
        <w:pStyle w:val="MAWP-Bodytext"/>
        <w:rPr>
          <w:lang w:eastAsia="en-US"/>
        </w:rPr>
      </w:pPr>
      <w:r w:rsidRPr="00B364CB">
        <w:rPr>
          <w:lang w:eastAsia="en-US"/>
        </w:rPr>
        <w:t xml:space="preserve">Hydrogen is nowadays recognised as a key clean energy vector and hydrogen-based technologies are undergoing rapid expansion across multiple applications. This is a result of the credibility it has built </w:t>
      </w:r>
      <w:r w:rsidR="00ED5CAA" w:rsidRPr="00B364CB">
        <w:rPr>
          <w:lang w:eastAsia="en-US"/>
        </w:rPr>
        <w:t xml:space="preserve">up </w:t>
      </w:r>
      <w:r w:rsidRPr="00B364CB">
        <w:rPr>
          <w:lang w:eastAsia="en-US"/>
        </w:rPr>
        <w:t>as a flexible, versatile, reliable and safe, technology.</w:t>
      </w:r>
    </w:p>
    <w:p w14:paraId="0FE2D71E" w14:textId="6E8CC66B" w:rsidR="007B2D0C" w:rsidRPr="00B364CB" w:rsidRDefault="007B2D0C" w:rsidP="007B2D0C">
      <w:pPr>
        <w:pStyle w:val="MAWP-Bodytext"/>
        <w:rPr>
          <w:lang w:eastAsia="en-US"/>
        </w:rPr>
      </w:pPr>
      <w:r w:rsidRPr="00B364CB">
        <w:rPr>
          <w:lang w:eastAsia="en-US"/>
        </w:rPr>
        <w:t>A high degree of safety to date has been achieved through an evolving “state-of-the-art”, identifying, understanding and solving scientific and engineering challenges in this early phase. Nevertheless, based on the progress and expected further rapid development of hydrogen and hydrogen-based technologies, some few key observations that will influence development in this field moving forward and will directly impact safety need to be considered</w:t>
      </w:r>
      <w:r w:rsidR="00533E4D" w:rsidRPr="00B364CB">
        <w:rPr>
          <w:lang w:eastAsia="en-US"/>
        </w:rPr>
        <w:t>:</w:t>
      </w:r>
    </w:p>
    <w:p w14:paraId="0C635698" w14:textId="54676B8A" w:rsidR="007B2D0C" w:rsidRPr="00B364CB" w:rsidRDefault="007B2D0C" w:rsidP="002256F6">
      <w:pPr>
        <w:pStyle w:val="MAWPBodytextbullets"/>
        <w:numPr>
          <w:ilvl w:val="0"/>
          <w:numId w:val="40"/>
        </w:numPr>
      </w:pPr>
      <w:r w:rsidRPr="00B364CB">
        <w:t>Quantitative growth across “established” applications, such as private FCEVs, electrolysers, stationary fuel cell (FC) applications, FC buses, etc., will increase the use and demand for hydrogen, and for example increase the number and size of refuelling stations. While there is no direct impact on each individual refuelling and/or delivery activity, this will increase the demands on the delivery infrastructure. For the example of FCEV refuelling, implications are increased bulk deliveries to refuelling stations, greater utilisation of refuelling station storage, and possible requirements to build new refuelling stations urban areas.</w:t>
      </w:r>
    </w:p>
    <w:p w14:paraId="59FDBDA3" w14:textId="1E95627A" w:rsidR="007B2D0C" w:rsidRPr="00B364CB" w:rsidRDefault="007B2D0C" w:rsidP="002256F6">
      <w:pPr>
        <w:pStyle w:val="MAWPBodytextbullets"/>
        <w:numPr>
          <w:ilvl w:val="0"/>
          <w:numId w:val="40"/>
        </w:numPr>
      </w:pPr>
      <w:r w:rsidRPr="00B364CB">
        <w:t>Qualitative change, i.e. innovation in applications, building on the success of established applications and recognising the inherent advantages offered by fuel cells and hydrogen-based technologies is foreseen as an important development in the coming years. Key elements of the new hydrogen systems, like electrolysis or pressure vessels, are validated and established technologies. However, the new operational conditions and their integration into new applications with direct contact to consumers will generate safety challenges. In the area of transport, key aspects include the development of rail, truck and marine applications, which will have greater on-board storage: 50-100 kg for trucks, 200-500 kg for rail, and potentially tons of hydrogen for marine. This implies new fuelling requirements and risk profiles for these sectors.</w:t>
      </w:r>
    </w:p>
    <w:p w14:paraId="76610DCC" w14:textId="63EFB7E3" w:rsidR="007B2D0C" w:rsidRPr="00B364CB" w:rsidRDefault="007B2D0C" w:rsidP="002256F6">
      <w:pPr>
        <w:pStyle w:val="MAWPBodytextbullets"/>
        <w:numPr>
          <w:ilvl w:val="0"/>
          <w:numId w:val="40"/>
        </w:numPr>
      </w:pPr>
      <w:r w:rsidRPr="00B364CB">
        <w:t>The inevitable consequence of this increase in consumption will be the requirement for an increasingly large and competent workforce to enable the development to take place effectively and safely. Providing such service to facilitate the development is going to put a significant number of technicians, engineers, manufacturers, regulatory authorities etc. on a steep hydrogen learning curve.</w:t>
      </w:r>
    </w:p>
    <w:p w14:paraId="045B476B" w14:textId="53794698" w:rsidR="007B2D0C" w:rsidRPr="00B364CB" w:rsidRDefault="007B2D0C" w:rsidP="007B2D0C">
      <w:pPr>
        <w:pStyle w:val="MAWP-Bodytext"/>
        <w:rPr>
          <w:lang w:eastAsia="en-US"/>
        </w:rPr>
      </w:pPr>
      <w:r w:rsidRPr="00B364CB">
        <w:rPr>
          <w:lang w:eastAsia="en-US"/>
        </w:rPr>
        <w:t xml:space="preserve">Moreover, in the recent times there have been some “warning signs”, with hydrogen incidents involving a hydrogen tube trailer in the USA, a hydrogen refuelling station in Norway and an incident leading to some fatalities and several injuries involving power to gas facility in Korea. Further accidents in more concerning scenarios, like tunnel accidents, could become </w:t>
      </w:r>
      <w:r w:rsidR="009F6D43">
        <w:rPr>
          <w:lang w:eastAsia="en-US"/>
        </w:rPr>
        <w:t>temporary</w:t>
      </w:r>
      <w:r w:rsidRPr="00B364CB">
        <w:rPr>
          <w:lang w:eastAsia="en-US"/>
        </w:rPr>
        <w:t xml:space="preserve"> “show-stoppers” that could seriously impact short-term deployment and support for these technologies</w:t>
      </w:r>
      <w:r w:rsidR="00604F57">
        <w:rPr>
          <w:lang w:eastAsia="en-US"/>
        </w:rPr>
        <w:t>, causing significant delays</w:t>
      </w:r>
      <w:r w:rsidRPr="00B364CB">
        <w:rPr>
          <w:lang w:eastAsia="en-US"/>
        </w:rPr>
        <w:t>.</w:t>
      </w:r>
    </w:p>
    <w:p w14:paraId="3CCF9489" w14:textId="61A89838" w:rsidR="007B2D0C" w:rsidRPr="00B364CB" w:rsidRDefault="007B2D0C" w:rsidP="007B2D0C">
      <w:pPr>
        <w:pStyle w:val="MAWP-Bodytext"/>
        <w:rPr>
          <w:lang w:eastAsia="en-US"/>
        </w:rPr>
      </w:pPr>
      <w:r w:rsidRPr="00B364CB">
        <w:rPr>
          <w:lang w:eastAsia="en-US"/>
        </w:rPr>
        <w:t>In this context, there is clearly a need to provide independent safety expertise, objective information, education and training in different forms for various groups of stakeholders; and support the anticipated upscaling of hydrogen energy applications.</w:t>
      </w:r>
      <w:r w:rsidR="00235F70" w:rsidRPr="00B364CB">
        <w:t xml:space="preserve"> </w:t>
      </w:r>
      <w:r w:rsidR="00235F70" w:rsidRPr="00B364CB">
        <w:rPr>
          <w:lang w:eastAsia="en-US"/>
        </w:rPr>
        <w:t>Besides, there is also the need for broad information and awareness raising for society to increase the acceptance of hydrogen.</w:t>
      </w:r>
    </w:p>
    <w:p w14:paraId="02821C3F" w14:textId="77777777" w:rsidR="007B2D0C" w:rsidRPr="00B364CB" w:rsidRDefault="007B2D0C" w:rsidP="007B2D0C">
      <w:pPr>
        <w:pStyle w:val="MAWP-Bodytext"/>
        <w:rPr>
          <w:lang w:eastAsia="en-US"/>
        </w:rPr>
      </w:pPr>
      <w:r w:rsidRPr="00B364CB">
        <w:rPr>
          <w:lang w:eastAsia="en-US"/>
        </w:rPr>
        <w:lastRenderedPageBreak/>
        <w:t>The FCH 2 JU launched the European Hydrogen Safety Panel (EHSP) initiative</w:t>
      </w:r>
      <w:r w:rsidRPr="00B364CB">
        <w:rPr>
          <w:rStyle w:val="FootnoteReference"/>
          <w:b/>
        </w:rPr>
        <w:footnoteReference w:id="199"/>
      </w:r>
      <w:r w:rsidRPr="00B364CB">
        <w:rPr>
          <w:lang w:eastAsia="en-US"/>
        </w:rPr>
        <w:t xml:space="preserve"> in 2017 to support the development and deployment of inherently safer hydrogen systems and infrastructure, contributing to achieving the following vision: “hydrogen and fuel cell technologies shall be safely developed, safely introduced, and safety used in projects as well as in the wider society”.</w:t>
      </w:r>
    </w:p>
    <w:p w14:paraId="54825382" w14:textId="32D8613A" w:rsidR="007B2D0C" w:rsidRPr="00B364CB" w:rsidRDefault="007B2D0C" w:rsidP="007B2D0C">
      <w:pPr>
        <w:pStyle w:val="MAWP-Bodytext"/>
      </w:pPr>
      <w:r w:rsidRPr="00B364CB">
        <w:rPr>
          <w:lang w:eastAsia="en-US"/>
        </w:rPr>
        <w:t xml:space="preserve">To achieve this vision, the EHSP activities started in the FCH 2 JU will continue and will be reinforced in the </w:t>
      </w:r>
      <w:r w:rsidR="00831A2C">
        <w:t xml:space="preserve">Clean Hydrogen </w:t>
      </w:r>
      <w:r w:rsidRPr="00B364CB">
        <w:rPr>
          <w:lang w:eastAsia="en-US"/>
        </w:rPr>
        <w:t xml:space="preserve">JU. </w:t>
      </w:r>
      <w:r w:rsidRPr="00B364CB">
        <w:t>The EHSP is initially envisaged as a multidisciplinary pool of experts grouped in ad-hoc working groups (task forces) according to the tasks to be performed and to expertise</w:t>
      </w:r>
      <w:r w:rsidR="00153155">
        <w:t xml:space="preserve">. </w:t>
      </w:r>
      <w:r w:rsidRPr="00B364CB">
        <w:t xml:space="preserve">Collectively, the members of the EHSP will have the necessary scientific competencies and expertise covering the technical domain needed to make science-based recommendations to the </w:t>
      </w:r>
      <w:r w:rsidR="00831A2C">
        <w:t xml:space="preserve">Clean Hydrogen </w:t>
      </w:r>
      <w:r w:rsidRPr="00B364CB">
        <w:t>JU. In any case, different working arrangements will be explored in order to assess how the EHSP activities could be best suited to maximise its contribution to the Programme and in the last instance, its impact.</w:t>
      </w:r>
    </w:p>
    <w:p w14:paraId="26CA8C08" w14:textId="77777777" w:rsidR="007B2D0C" w:rsidRPr="00B364CB" w:rsidRDefault="007B2D0C" w:rsidP="007B2D0C">
      <w:pPr>
        <w:pStyle w:val="MAWP-Bodytext"/>
        <w:rPr>
          <w:lang w:eastAsia="en-US"/>
        </w:rPr>
      </w:pPr>
      <w:r w:rsidRPr="00B364CB">
        <w:rPr>
          <w:lang w:eastAsia="en-US"/>
        </w:rPr>
        <w:t>The mission of the EHSP in the Programme will be twofold:</w:t>
      </w:r>
    </w:p>
    <w:p w14:paraId="436AC54E" w14:textId="65E4C119" w:rsidR="007B2D0C" w:rsidRPr="00B364CB" w:rsidRDefault="007B2D0C" w:rsidP="00FE28B2">
      <w:pPr>
        <w:pStyle w:val="MAWP-Bodytext"/>
        <w:numPr>
          <w:ilvl w:val="0"/>
          <w:numId w:val="10"/>
        </w:numPr>
        <w:rPr>
          <w:lang w:eastAsia="en-US"/>
        </w:rPr>
      </w:pPr>
      <w:r w:rsidRPr="00B364CB">
        <w:rPr>
          <w:lang w:eastAsia="en-US"/>
        </w:rPr>
        <w:t xml:space="preserve">To assist the </w:t>
      </w:r>
      <w:r w:rsidR="00831A2C">
        <w:t xml:space="preserve">Clean Hydrogen </w:t>
      </w:r>
      <w:r w:rsidRPr="00B364CB">
        <w:rPr>
          <w:lang w:eastAsia="en-US"/>
        </w:rPr>
        <w:t>JU at both programme and project levels, in assuring that hydrogen safety is adequately addressed and managed, and</w:t>
      </w:r>
    </w:p>
    <w:p w14:paraId="7220163A" w14:textId="77777777" w:rsidR="007B2D0C" w:rsidRPr="00B364CB" w:rsidRDefault="007B2D0C" w:rsidP="00FE28B2">
      <w:pPr>
        <w:pStyle w:val="MAWP-Bodytext"/>
        <w:numPr>
          <w:ilvl w:val="0"/>
          <w:numId w:val="10"/>
        </w:numPr>
        <w:rPr>
          <w:lang w:eastAsia="en-US"/>
        </w:rPr>
      </w:pPr>
      <w:r w:rsidRPr="00B364CB">
        <w:rPr>
          <w:lang w:eastAsia="en-US"/>
        </w:rPr>
        <w:t>To promote and disseminate hydrogen safety knowledge and culture within and outside of the Programme.</w:t>
      </w:r>
    </w:p>
    <w:p w14:paraId="5401A78E" w14:textId="77777777" w:rsidR="007B2D0C" w:rsidRPr="00B364CB" w:rsidRDefault="007B2D0C" w:rsidP="007B2D0C">
      <w:pPr>
        <w:pStyle w:val="MAWP-Bodytext"/>
        <w:rPr>
          <w:lang w:eastAsia="en-US"/>
        </w:rPr>
      </w:pPr>
      <w:r w:rsidRPr="00B364CB">
        <w:rPr>
          <w:lang w:eastAsia="en-US"/>
        </w:rPr>
        <w:t>Sharing information, coordinating and contributing to addressing the above-mentioned challenges will be the critical role for the EHSP as a focal point or “safety advisor” to the Programme. To this end, it is envisaged that EHSP prioritises the following themes for its activities:</w:t>
      </w:r>
    </w:p>
    <w:p w14:paraId="5E85CF6C" w14:textId="66217D9B" w:rsidR="007B2D0C" w:rsidRPr="00B364CB" w:rsidRDefault="007B2D0C" w:rsidP="002256F6">
      <w:pPr>
        <w:pStyle w:val="MAWPBodyTextNumbered"/>
        <w:numPr>
          <w:ilvl w:val="0"/>
          <w:numId w:val="38"/>
        </w:numPr>
      </w:pPr>
      <w:r w:rsidRPr="00B364CB">
        <w:t>Awareness: Increased awareness of the hazards associated with hydrogen energy systems, and the measures required to reduce the inherent risk of such systems to a tolerable level. This includes increased understanding of concepts such as hazards and risk, and the importance of assessing the knowledge available for risk assessments, as well as quantifying the inherent uncertainty in risk assessments, especially for emerging technologies.</w:t>
      </w:r>
    </w:p>
    <w:p w14:paraId="4E733E19" w14:textId="147237CE" w:rsidR="007B2D0C" w:rsidRPr="00B364CB" w:rsidRDefault="007B2D0C" w:rsidP="00FF59DB">
      <w:pPr>
        <w:pStyle w:val="MAWPBodyTextNumbered"/>
      </w:pPr>
      <w:r w:rsidRPr="00B364CB">
        <w:t xml:space="preserve">Foresight: Understanding developing and future technologies in terms of innovation, implementation, operation and safety. Evidence suggests progress will be rapid and it is essential that safety does not become a barrier nor undermine the future of hydrogen technologies. By working closely with the </w:t>
      </w:r>
      <w:r w:rsidR="00831A2C">
        <w:t xml:space="preserve">Clean Hydrogen </w:t>
      </w:r>
      <w:r w:rsidRPr="00B364CB">
        <w:t>JU</w:t>
      </w:r>
      <w:r w:rsidR="008D6304" w:rsidRPr="00B364CB">
        <w:t>’s</w:t>
      </w:r>
      <w:r w:rsidRPr="00B364CB">
        <w:t xml:space="preserve"> full spectrum of stakeholders, the EHSP will be able to maximise the effectiveness and impact of the state of the art to anticipate safety challenges and solutions.</w:t>
      </w:r>
    </w:p>
    <w:p w14:paraId="36221315" w14:textId="3D172825" w:rsidR="007B2D0C" w:rsidRPr="00B364CB" w:rsidRDefault="007B2D0C" w:rsidP="00FF59DB">
      <w:pPr>
        <w:pStyle w:val="MAWPBodyTextNumbered"/>
      </w:pPr>
      <w:r w:rsidRPr="00B364CB">
        <w:t>Collaboration: As already illustrated for the state-of-the-art to date, collaboration is essential. To maximise safety and development of the future state-of-the-art this collaboration must continue. Strategies to reinforce the impact of collaboration with European and international stakeholders will be deployed.</w:t>
      </w:r>
    </w:p>
    <w:p w14:paraId="5442E9D7" w14:textId="512010F0" w:rsidR="007B2D0C" w:rsidRPr="00B364CB" w:rsidRDefault="007B2D0C" w:rsidP="00FF59DB">
      <w:pPr>
        <w:pStyle w:val="MAWPBodyTextNumbered"/>
      </w:pPr>
      <w:r w:rsidRPr="00B364CB">
        <w:t xml:space="preserve">Public outreach: Sharing lessons learnt and formulating recommendations, knowledge and best practice for safety is clearly an important part of improving the state-of-the-art in hydrogen safety and accidents. However, in light of the recent incidents mentioned </w:t>
      </w:r>
      <w:r w:rsidRPr="00B364CB">
        <w:lastRenderedPageBreak/>
        <w:t>above, an argument can be made that with the rapid expansion of hydrogen systems and infrastructure, this activity needs even greater attention. It is fundamental to ensure that such incidents are prevented, or at least that the consequences are reduced as far as possible through inherently safe or robust design and appropriate mitigating measures. Lessons learnt from accidents should be properly analysed and made available for all relevant stakeholders. With the widespread use of hydrogen in society, a growing fraction of the general population will be exposed to potential hazards. As such, the risk picture is about to change dramatically, as the technology is transferred from highly trained and knowledgeable experts in controlled industrial environments to the general public. The EHSP can play an important role in this transition.</w:t>
      </w:r>
    </w:p>
    <w:p w14:paraId="2611B573" w14:textId="5CF0069B" w:rsidR="007B2D0C" w:rsidRPr="00B364CB" w:rsidRDefault="007B2D0C" w:rsidP="00FF59DB">
      <w:pPr>
        <w:pStyle w:val="MAWPBodyTextNumbered"/>
      </w:pPr>
      <w:r w:rsidRPr="00B364CB">
        <w:t>Exploitation: Funding from the EU and other sources internationally have resulted in achievements in a number of areas related to hydrogen safety. It is important to analyse the progress and identify knowledge that can inform quantitative risk analysis and industrial practice. The EHSP could contribute to guide and direct the international community to the exploitable outcome from previous achievements.</w:t>
      </w:r>
    </w:p>
    <w:p w14:paraId="106AB62D" w14:textId="27D25892" w:rsidR="007B2D0C" w:rsidRDefault="007B2D0C" w:rsidP="007B2D0C">
      <w:pPr>
        <w:pStyle w:val="MAWP-Bodytext"/>
        <w:rPr>
          <w:lang w:eastAsia="en-US"/>
        </w:rPr>
      </w:pPr>
      <w:r w:rsidRPr="00B364CB">
        <w:rPr>
          <w:lang w:eastAsia="en-US"/>
        </w:rPr>
        <w:t>Altogether, the EHSP will contribute to coordinating and establishing approaches to address hydrogen safety-related matters in Europe, while contributing to promoting a hydrogen safety culture and a safe hydrogen market in Europe and beyond if possible.</w:t>
      </w:r>
    </w:p>
    <w:p w14:paraId="1B985276" w14:textId="680B42B2" w:rsidR="00725EF4" w:rsidRDefault="007B1A3A" w:rsidP="006802D3">
      <w:pPr>
        <w:pStyle w:val="Subtitle"/>
      </w:pPr>
      <w:bookmarkStart w:id="195" w:name="_Ref92893407"/>
      <w:bookmarkStart w:id="196" w:name="_Toc93907349"/>
      <w:r>
        <w:t xml:space="preserve">European Hydrogen </w:t>
      </w:r>
      <w:r w:rsidR="00725EF4">
        <w:t>Sustainability and Circularity Panel (</w:t>
      </w:r>
      <w:r>
        <w:t>EH</w:t>
      </w:r>
      <w:r w:rsidR="00725EF4">
        <w:t>S&amp;CP)</w:t>
      </w:r>
      <w:bookmarkEnd w:id="195"/>
      <w:bookmarkEnd w:id="196"/>
    </w:p>
    <w:p w14:paraId="4D23682D" w14:textId="2F0907A1" w:rsidR="00725EF4" w:rsidRDefault="00725EF4" w:rsidP="00E4788A">
      <w:pPr>
        <w:pStyle w:val="MAWP-Bodytext"/>
      </w:pPr>
      <w:r w:rsidRPr="00810B1F">
        <w:rPr>
          <w:lang w:eastAsia="en-US"/>
        </w:rPr>
        <w:t xml:space="preserve">One of the key aspects for the development of our society is sustainability, ensuring the protection of the environment, the economic feasibility looking at creating new job opportunities, and the social responsibility taking into account Social and Intergenerational Equity. </w:t>
      </w:r>
      <w:r>
        <w:rPr>
          <w:lang w:eastAsia="en-US"/>
        </w:rPr>
        <w:t>I</w:t>
      </w:r>
      <w:r w:rsidRPr="00D77E3F">
        <w:rPr>
          <w:lang w:eastAsia="en-US"/>
        </w:rPr>
        <w:t xml:space="preserve">n 2015, the </w:t>
      </w:r>
      <w:r>
        <w:rPr>
          <w:lang w:eastAsia="en-US"/>
        </w:rPr>
        <w:t>United Nations adopted 17</w:t>
      </w:r>
      <w:r w:rsidRPr="00D77E3F">
        <w:rPr>
          <w:lang w:eastAsia="en-US"/>
        </w:rPr>
        <w:t xml:space="preserve"> SDGs</w:t>
      </w:r>
      <w:r w:rsidR="006146BC">
        <w:rPr>
          <w:lang w:eastAsia="en-US"/>
        </w:rPr>
        <w:t>,</w:t>
      </w:r>
      <w:r w:rsidRPr="004328CC">
        <w:rPr>
          <w:vertAlign w:val="superscript"/>
          <w:lang w:eastAsia="en-US"/>
        </w:rPr>
        <w:t xml:space="preserve"> </w:t>
      </w:r>
      <w:r w:rsidR="006146BC">
        <w:rPr>
          <w:lang w:eastAsia="en-US"/>
        </w:rPr>
        <w:t>aiming</w:t>
      </w:r>
      <w:r w:rsidRPr="00D77E3F">
        <w:rPr>
          <w:lang w:eastAsia="en-US"/>
        </w:rPr>
        <w:t xml:space="preserve"> at “transforming our world” </w:t>
      </w:r>
      <w:r>
        <w:rPr>
          <w:lang w:eastAsia="en-US"/>
        </w:rPr>
        <w:t xml:space="preserve">by </w:t>
      </w:r>
      <w:r w:rsidRPr="00827078">
        <w:rPr>
          <w:lang w:eastAsia="en-US"/>
        </w:rPr>
        <w:t>end</w:t>
      </w:r>
      <w:r>
        <w:rPr>
          <w:lang w:eastAsia="en-US"/>
        </w:rPr>
        <w:t xml:space="preserve">ing </w:t>
      </w:r>
      <w:r w:rsidRPr="00827078">
        <w:rPr>
          <w:lang w:eastAsia="en-US"/>
        </w:rPr>
        <w:t>poverty, protect</w:t>
      </w:r>
      <w:r>
        <w:rPr>
          <w:lang w:eastAsia="en-US"/>
        </w:rPr>
        <w:t>ing</w:t>
      </w:r>
      <w:r w:rsidRPr="00827078">
        <w:rPr>
          <w:lang w:eastAsia="en-US"/>
        </w:rPr>
        <w:t xml:space="preserve"> the planet</w:t>
      </w:r>
      <w:r>
        <w:rPr>
          <w:lang w:eastAsia="en-US"/>
        </w:rPr>
        <w:t>,</w:t>
      </w:r>
      <w:r w:rsidRPr="00827078">
        <w:rPr>
          <w:lang w:eastAsia="en-US"/>
        </w:rPr>
        <w:t xml:space="preserve"> and </w:t>
      </w:r>
      <w:r w:rsidRPr="00F04DD7">
        <w:rPr>
          <w:lang w:eastAsia="en-US"/>
        </w:rPr>
        <w:t>ensur</w:t>
      </w:r>
      <w:r>
        <w:rPr>
          <w:lang w:eastAsia="en-US"/>
        </w:rPr>
        <w:t>ing</w:t>
      </w:r>
      <w:r w:rsidRPr="00F04DD7">
        <w:rPr>
          <w:lang w:eastAsia="en-US"/>
        </w:rPr>
        <w:t xml:space="preserve"> that all people enjoy peace and prosperity</w:t>
      </w:r>
      <w:r>
        <w:rPr>
          <w:lang w:eastAsia="en-US"/>
        </w:rPr>
        <w:t xml:space="preserve"> by 2030. One of them, Goal 12 – Responsible Consumption and Production – calls for </w:t>
      </w:r>
      <w:r w:rsidRPr="00826CBC">
        <w:rPr>
          <w:lang w:eastAsia="en-US"/>
        </w:rPr>
        <w:t>efficient management of natural resources</w:t>
      </w:r>
      <w:r>
        <w:rPr>
          <w:lang w:eastAsia="en-US"/>
        </w:rPr>
        <w:t xml:space="preserve">, reducing waste and promoting recycling. As part of the </w:t>
      </w:r>
      <w:r w:rsidRPr="00827078">
        <w:rPr>
          <w:lang w:eastAsia="en-US"/>
        </w:rPr>
        <w:t>sustainable development agenda,</w:t>
      </w:r>
      <w:r>
        <w:rPr>
          <w:lang w:eastAsia="en-US"/>
        </w:rPr>
        <w:t xml:space="preserve"> </w:t>
      </w:r>
      <w:r w:rsidRPr="00827078">
        <w:rPr>
          <w:lang w:eastAsia="en-US"/>
        </w:rPr>
        <w:t>the "2030 Agenda"</w:t>
      </w:r>
      <w:r w:rsidRPr="004328CC">
        <w:rPr>
          <w:vertAlign w:val="superscript"/>
        </w:rPr>
        <w:footnoteReference w:id="200"/>
      </w:r>
      <w:r>
        <w:rPr>
          <w:lang w:eastAsia="en-US"/>
        </w:rPr>
        <w:t xml:space="preserve">, </w:t>
      </w:r>
      <w:r w:rsidRPr="00B64EC8">
        <w:rPr>
          <w:lang w:eastAsia="en-US"/>
        </w:rPr>
        <w:t xml:space="preserve">all countries </w:t>
      </w:r>
      <w:r>
        <w:rPr>
          <w:lang w:eastAsia="en-US"/>
        </w:rPr>
        <w:t xml:space="preserve">are committed </w:t>
      </w:r>
      <w:r w:rsidRPr="00B64EC8">
        <w:rPr>
          <w:lang w:eastAsia="en-US"/>
        </w:rPr>
        <w:t>to develop</w:t>
      </w:r>
      <w:r>
        <w:rPr>
          <w:lang w:eastAsia="en-US"/>
        </w:rPr>
        <w:t>ing</w:t>
      </w:r>
      <w:r w:rsidRPr="00B64EC8">
        <w:rPr>
          <w:lang w:eastAsia="en-US"/>
        </w:rPr>
        <w:t xml:space="preserve"> strategies </w:t>
      </w:r>
      <w:r>
        <w:rPr>
          <w:lang w:eastAsia="en-US"/>
        </w:rPr>
        <w:t>to</w:t>
      </w:r>
      <w:r w:rsidRPr="00B64EC8">
        <w:rPr>
          <w:lang w:eastAsia="en-US"/>
        </w:rPr>
        <w:t xml:space="preserve"> build economic growth and address a range of social needs while tackling climate change and environmental </w:t>
      </w:r>
      <w:r>
        <w:rPr>
          <w:lang w:eastAsia="en-US"/>
        </w:rPr>
        <w:t>sustainability</w:t>
      </w:r>
      <w:r w:rsidRPr="00B64EC8">
        <w:rPr>
          <w:lang w:eastAsia="en-US"/>
        </w:rPr>
        <w:t>.</w:t>
      </w:r>
    </w:p>
    <w:p w14:paraId="62605C4A" w14:textId="77777777" w:rsidR="00725EF4" w:rsidRDefault="00725EF4" w:rsidP="00E4788A">
      <w:pPr>
        <w:pStyle w:val="MAWP-Bodytext"/>
      </w:pPr>
      <w:r>
        <w:rPr>
          <w:lang w:eastAsia="en-US"/>
        </w:rPr>
        <w:t>In the EU, s</w:t>
      </w:r>
      <w:r w:rsidRPr="00827078">
        <w:rPr>
          <w:lang w:eastAsia="en-US"/>
        </w:rPr>
        <w:t xml:space="preserve">ustainable development is a core principle of the Treaty on European Union and a </w:t>
      </w:r>
      <w:r>
        <w:rPr>
          <w:lang w:eastAsia="en-US"/>
        </w:rPr>
        <w:t>key</w:t>
      </w:r>
      <w:r w:rsidRPr="00827078">
        <w:rPr>
          <w:lang w:eastAsia="en-US"/>
        </w:rPr>
        <w:t xml:space="preserve"> objective for the Union’s internal and external policies</w:t>
      </w:r>
      <w:r w:rsidRPr="004328CC">
        <w:rPr>
          <w:vertAlign w:val="superscript"/>
        </w:rPr>
        <w:footnoteReference w:id="201"/>
      </w:r>
      <w:r w:rsidRPr="00A31F6E">
        <w:rPr>
          <w:lang w:eastAsia="en-US"/>
        </w:rPr>
        <w:t>.</w:t>
      </w:r>
      <w:r w:rsidRPr="00CC2A62">
        <w:rPr>
          <w:lang w:eastAsia="en-US"/>
        </w:rPr>
        <w:t xml:space="preserve"> </w:t>
      </w:r>
      <w:r w:rsidRPr="00810B1F">
        <w:rPr>
          <w:lang w:eastAsia="en-US"/>
        </w:rPr>
        <w:t>Indeed, t</w:t>
      </w:r>
      <w:r w:rsidRPr="002B335F">
        <w:rPr>
          <w:lang w:eastAsia="en-US"/>
        </w:rPr>
        <w:t xml:space="preserve">he EU </w:t>
      </w:r>
      <w:r>
        <w:rPr>
          <w:lang w:eastAsia="en-US"/>
        </w:rPr>
        <w:t xml:space="preserve">is firmly committed </w:t>
      </w:r>
      <w:r w:rsidRPr="00F04DD7">
        <w:rPr>
          <w:lang w:eastAsia="en-US"/>
        </w:rPr>
        <w:t>to deliver</w:t>
      </w:r>
      <w:r>
        <w:rPr>
          <w:lang w:eastAsia="en-US"/>
        </w:rPr>
        <w:t>ing</w:t>
      </w:r>
      <w:r w:rsidRPr="00F04DD7">
        <w:rPr>
          <w:lang w:eastAsia="en-US"/>
        </w:rPr>
        <w:t xml:space="preserve"> on the </w:t>
      </w:r>
      <w:r>
        <w:rPr>
          <w:lang w:eastAsia="en-US"/>
        </w:rPr>
        <w:t>UN’s</w:t>
      </w:r>
      <w:r w:rsidRPr="00F04DD7">
        <w:rPr>
          <w:lang w:eastAsia="en-US"/>
        </w:rPr>
        <w:t xml:space="preserve"> </w:t>
      </w:r>
      <w:r>
        <w:rPr>
          <w:lang w:eastAsia="en-US"/>
        </w:rPr>
        <w:t>SDGs</w:t>
      </w:r>
      <w:r w:rsidRPr="008756BE">
        <w:rPr>
          <w:lang w:eastAsia="en-US"/>
        </w:rPr>
        <w:t xml:space="preserve"> </w:t>
      </w:r>
      <w:r w:rsidRPr="00DC2547">
        <w:rPr>
          <w:lang w:eastAsia="en-US"/>
        </w:rPr>
        <w:t xml:space="preserve">through </w:t>
      </w:r>
      <w:r>
        <w:rPr>
          <w:lang w:eastAsia="en-US"/>
        </w:rPr>
        <w:t>several</w:t>
      </w:r>
      <w:r w:rsidRPr="00DC2547">
        <w:rPr>
          <w:lang w:eastAsia="en-US"/>
        </w:rPr>
        <w:t xml:space="preserve"> policies </w:t>
      </w:r>
      <w:r>
        <w:rPr>
          <w:lang w:eastAsia="en-US"/>
        </w:rPr>
        <w:t>and initiatives</w:t>
      </w:r>
      <w:r w:rsidRPr="004328CC">
        <w:rPr>
          <w:vertAlign w:val="superscript"/>
        </w:rPr>
        <w:footnoteReference w:id="202"/>
      </w:r>
      <w:r w:rsidRPr="0083226F">
        <w:rPr>
          <w:lang w:eastAsia="en-US"/>
        </w:rPr>
        <w:t>.</w:t>
      </w:r>
      <w:r>
        <w:rPr>
          <w:lang w:eastAsia="en-US"/>
        </w:rPr>
        <w:t xml:space="preserve"> In the area of climate and energy, sustainable development is</w:t>
      </w:r>
      <w:r w:rsidRPr="00051723">
        <w:rPr>
          <w:lang w:eastAsia="en-US"/>
        </w:rPr>
        <w:t xml:space="preserve"> at the heart of the European Green Deal</w:t>
      </w:r>
      <w:r w:rsidRPr="004328CC">
        <w:rPr>
          <w:vertAlign w:val="superscript"/>
        </w:rPr>
        <w:footnoteReference w:id="203"/>
      </w:r>
      <w:r w:rsidRPr="00051723">
        <w:rPr>
          <w:lang w:eastAsia="en-US"/>
        </w:rPr>
        <w:t xml:space="preserve">, </w:t>
      </w:r>
      <w:r>
        <w:rPr>
          <w:lang w:eastAsia="en-US"/>
        </w:rPr>
        <w:t xml:space="preserve">which </w:t>
      </w:r>
      <w:r w:rsidRPr="00991CB0">
        <w:rPr>
          <w:lang w:eastAsia="en-US"/>
        </w:rPr>
        <w:t xml:space="preserve">along </w:t>
      </w:r>
      <w:r w:rsidRPr="00A31F6E">
        <w:rPr>
          <w:lang w:eastAsia="en-US"/>
        </w:rPr>
        <w:t>with other policies</w:t>
      </w:r>
      <w:r w:rsidRPr="00F754B7">
        <w:rPr>
          <w:vertAlign w:val="superscript"/>
        </w:rPr>
        <w:footnoteReference w:id="204"/>
      </w:r>
      <w:r w:rsidRPr="00991CB0">
        <w:rPr>
          <w:lang w:eastAsia="en-US"/>
        </w:rPr>
        <w:t xml:space="preserve"> has set the EU on a course to become a sustainable climate-neutral and circular economy by 2050</w:t>
      </w:r>
      <w:r>
        <w:rPr>
          <w:lang w:eastAsia="en-US"/>
        </w:rPr>
        <w:t>.</w:t>
      </w:r>
    </w:p>
    <w:p w14:paraId="25C169D6" w14:textId="77777777" w:rsidR="00725EF4" w:rsidRDefault="00725EF4" w:rsidP="00E4788A">
      <w:pPr>
        <w:pStyle w:val="MAWP-Bodytext"/>
      </w:pPr>
      <w:r w:rsidRPr="00B55AD0">
        <w:rPr>
          <w:lang w:eastAsia="en-US"/>
        </w:rPr>
        <w:t>Building a circular economy means reducing its carbon</w:t>
      </w:r>
      <w:r>
        <w:rPr>
          <w:lang w:eastAsia="en-US"/>
        </w:rPr>
        <w:t xml:space="preserve"> </w:t>
      </w:r>
      <w:r w:rsidRPr="00B55AD0">
        <w:rPr>
          <w:lang w:eastAsia="en-US"/>
        </w:rPr>
        <w:t>and material footprint</w:t>
      </w:r>
      <w:r>
        <w:rPr>
          <w:lang w:eastAsia="en-US"/>
        </w:rPr>
        <w:t xml:space="preserve">, </w:t>
      </w:r>
      <w:r w:rsidRPr="001341C8">
        <w:rPr>
          <w:lang w:eastAsia="en-US"/>
        </w:rPr>
        <w:t>stimulating sustainable consumption and production patterns</w:t>
      </w:r>
      <w:r>
        <w:rPr>
          <w:lang w:eastAsia="en-US"/>
        </w:rPr>
        <w:t xml:space="preserve"> while bringing</w:t>
      </w:r>
      <w:r w:rsidRPr="001341C8">
        <w:rPr>
          <w:lang w:eastAsia="en-US"/>
        </w:rPr>
        <w:t xml:space="preserve"> significant new jobs and growth potential.</w:t>
      </w:r>
      <w:r>
        <w:rPr>
          <w:lang w:eastAsia="en-US"/>
        </w:rPr>
        <w:t xml:space="preserve"> C</w:t>
      </w:r>
      <w:r w:rsidRPr="001341C8">
        <w:rPr>
          <w:lang w:eastAsia="en-US"/>
        </w:rPr>
        <w:t xml:space="preserve">ircular economy </w:t>
      </w:r>
      <w:r w:rsidRPr="00E213BF">
        <w:rPr>
          <w:lang w:eastAsia="en-US"/>
        </w:rPr>
        <w:t xml:space="preserve">is </w:t>
      </w:r>
      <w:r w:rsidRPr="00FE7B29">
        <w:rPr>
          <w:lang w:eastAsia="en-US"/>
        </w:rPr>
        <w:t>about doing more and better with less</w:t>
      </w:r>
      <w:r>
        <w:rPr>
          <w:lang w:eastAsia="en-US"/>
        </w:rPr>
        <w:t xml:space="preserve">. It also </w:t>
      </w:r>
      <w:r w:rsidRPr="001D2796">
        <w:rPr>
          <w:lang w:eastAsia="en-US"/>
        </w:rPr>
        <w:t xml:space="preserve">aims at </w:t>
      </w:r>
      <w:r>
        <w:rPr>
          <w:lang w:eastAsia="en-US"/>
        </w:rPr>
        <w:t>reducing the</w:t>
      </w:r>
      <w:r w:rsidRPr="001D2796">
        <w:rPr>
          <w:lang w:eastAsia="en-US"/>
        </w:rPr>
        <w:t xml:space="preserve"> environmental impact by minimizing waste and excessive resource use </w:t>
      </w:r>
      <w:r w:rsidRPr="00773455">
        <w:rPr>
          <w:lang w:eastAsia="en-US"/>
        </w:rPr>
        <w:t xml:space="preserve">throughout </w:t>
      </w:r>
      <w:r w:rsidRPr="00773455">
        <w:rPr>
          <w:lang w:eastAsia="en-US"/>
        </w:rPr>
        <w:lastRenderedPageBreak/>
        <w:t>value chains and production</w:t>
      </w:r>
      <w:r>
        <w:rPr>
          <w:lang w:eastAsia="en-US"/>
        </w:rPr>
        <w:t xml:space="preserve"> </w:t>
      </w:r>
      <w:r w:rsidRPr="00773455">
        <w:rPr>
          <w:lang w:eastAsia="en-US"/>
        </w:rPr>
        <w:t>processes</w:t>
      </w:r>
      <w:r>
        <w:rPr>
          <w:lang w:eastAsia="en-US"/>
        </w:rPr>
        <w:t>,</w:t>
      </w:r>
      <w:r w:rsidRPr="00B55AD0">
        <w:rPr>
          <w:lang w:eastAsia="en-US"/>
        </w:rPr>
        <w:t xml:space="preserve"> </w:t>
      </w:r>
      <w:r>
        <w:rPr>
          <w:lang w:eastAsia="en-US"/>
        </w:rPr>
        <w:t xml:space="preserve">for example </w:t>
      </w:r>
      <w:r w:rsidRPr="001D2796">
        <w:rPr>
          <w:lang w:eastAsia="en-US"/>
        </w:rPr>
        <w:t>by turning goods at the end of their lifespan into</w:t>
      </w:r>
      <w:r>
        <w:rPr>
          <w:lang w:eastAsia="en-US"/>
        </w:rPr>
        <w:t xml:space="preserve"> </w:t>
      </w:r>
      <w:r w:rsidRPr="001D2796">
        <w:rPr>
          <w:lang w:eastAsia="en-US"/>
        </w:rPr>
        <w:t>resources for others through re-use, re-manufacture and recycle</w:t>
      </w:r>
      <w:r>
        <w:rPr>
          <w:lang w:eastAsia="en-US"/>
        </w:rPr>
        <w:t>,</w:t>
      </w:r>
      <w:r w:rsidRPr="00B77030">
        <w:rPr>
          <w:lang w:eastAsia="en-US"/>
        </w:rPr>
        <w:t xml:space="preserve"> trying to reflect natural ecosystems.</w:t>
      </w:r>
    </w:p>
    <w:p w14:paraId="08060040" w14:textId="550BDC61" w:rsidR="00725EF4" w:rsidRDefault="00725EF4" w:rsidP="00E4788A">
      <w:pPr>
        <w:pStyle w:val="MAWP-Bodytext"/>
      </w:pPr>
      <w:r w:rsidRPr="00773455">
        <w:rPr>
          <w:lang w:eastAsia="en-US"/>
        </w:rPr>
        <w:t>Circularity is an essential part of a wider transformation of</w:t>
      </w:r>
      <w:r>
        <w:rPr>
          <w:lang w:eastAsia="en-US"/>
        </w:rPr>
        <w:t xml:space="preserve"> the European</w:t>
      </w:r>
      <w:r w:rsidRPr="00773455">
        <w:rPr>
          <w:lang w:eastAsia="en-US"/>
        </w:rPr>
        <w:t xml:space="preserve"> industry towards climate</w:t>
      </w:r>
      <w:r>
        <w:rPr>
          <w:lang w:eastAsia="en-US"/>
        </w:rPr>
        <w:t xml:space="preserve"> </w:t>
      </w:r>
      <w:r w:rsidRPr="00773455">
        <w:rPr>
          <w:lang w:eastAsia="en-US"/>
        </w:rPr>
        <w:t>neutrality and long-term competitiveness</w:t>
      </w:r>
      <w:r>
        <w:rPr>
          <w:lang w:eastAsia="en-US"/>
        </w:rPr>
        <w:t xml:space="preserve">, </w:t>
      </w:r>
      <w:r w:rsidRPr="00FE7B29">
        <w:rPr>
          <w:lang w:eastAsia="en-US"/>
        </w:rPr>
        <w:t xml:space="preserve">and </w:t>
      </w:r>
      <w:r>
        <w:rPr>
          <w:lang w:eastAsia="en-US"/>
        </w:rPr>
        <w:t xml:space="preserve">represents </w:t>
      </w:r>
      <w:r w:rsidRPr="00FE7B29">
        <w:rPr>
          <w:lang w:eastAsia="en-US"/>
        </w:rPr>
        <w:t>one of the key building blocks of the New Industrial Strategy for Europe</w:t>
      </w:r>
      <w:bookmarkStart w:id="197" w:name="_Ref75253034"/>
      <w:r w:rsidRPr="00F754B7">
        <w:rPr>
          <w:vertAlign w:val="superscript"/>
        </w:rPr>
        <w:footnoteReference w:id="205"/>
      </w:r>
      <w:bookmarkEnd w:id="197"/>
      <w:r w:rsidRPr="00E4788A">
        <w:t xml:space="preserve"> </w:t>
      </w:r>
      <w:r w:rsidRPr="00FE7B29">
        <w:rPr>
          <w:lang w:eastAsia="en-US"/>
        </w:rPr>
        <w:t>and the Recovery Plan for Europe</w:t>
      </w:r>
      <w:r w:rsidRPr="00F754B7">
        <w:rPr>
          <w:vertAlign w:val="superscript"/>
        </w:rPr>
        <w:footnoteReference w:id="206"/>
      </w:r>
      <w:r>
        <w:rPr>
          <w:lang w:eastAsia="en-US"/>
        </w:rPr>
        <w:t>. T</w:t>
      </w:r>
      <w:r w:rsidRPr="00887BCF">
        <w:rPr>
          <w:lang w:eastAsia="en-US"/>
        </w:rPr>
        <w:t xml:space="preserve">he </w:t>
      </w:r>
      <w:r>
        <w:rPr>
          <w:lang w:eastAsia="en-US"/>
        </w:rPr>
        <w:t>first C</w:t>
      </w:r>
      <w:r w:rsidRPr="00887BCF">
        <w:rPr>
          <w:lang w:eastAsia="en-US"/>
        </w:rPr>
        <w:t xml:space="preserve">ircular </w:t>
      </w:r>
      <w:r>
        <w:rPr>
          <w:lang w:eastAsia="en-US"/>
        </w:rPr>
        <w:t>E</w:t>
      </w:r>
      <w:r w:rsidRPr="00887BCF">
        <w:rPr>
          <w:lang w:eastAsia="en-US"/>
        </w:rPr>
        <w:t xml:space="preserve">conomy </w:t>
      </w:r>
      <w:r>
        <w:rPr>
          <w:lang w:eastAsia="en-US"/>
        </w:rPr>
        <w:t>A</w:t>
      </w:r>
      <w:r w:rsidRPr="00887BCF">
        <w:rPr>
          <w:lang w:eastAsia="en-US"/>
        </w:rPr>
        <w:t xml:space="preserve">ction </w:t>
      </w:r>
      <w:r>
        <w:rPr>
          <w:lang w:eastAsia="en-US"/>
        </w:rPr>
        <w:t>P</w:t>
      </w:r>
      <w:r w:rsidRPr="00887BCF">
        <w:rPr>
          <w:lang w:eastAsia="en-US"/>
        </w:rPr>
        <w:t>lan</w:t>
      </w:r>
      <w:r>
        <w:rPr>
          <w:lang w:eastAsia="en-US"/>
        </w:rPr>
        <w:t xml:space="preserve"> (CEAP) was adopted by the Commission in 2015</w:t>
      </w:r>
      <w:r w:rsidRPr="00F754B7">
        <w:rPr>
          <w:vertAlign w:val="superscript"/>
        </w:rPr>
        <w:footnoteReference w:id="207"/>
      </w:r>
      <w:r>
        <w:rPr>
          <w:lang w:eastAsia="en-US"/>
        </w:rPr>
        <w:t xml:space="preserve">, </w:t>
      </w:r>
      <w:r w:rsidRPr="00DC2480">
        <w:rPr>
          <w:lang w:eastAsia="en-US"/>
        </w:rPr>
        <w:t>establish</w:t>
      </w:r>
      <w:r>
        <w:rPr>
          <w:lang w:eastAsia="en-US"/>
        </w:rPr>
        <w:t>ing</w:t>
      </w:r>
      <w:r w:rsidRPr="00DC2480">
        <w:rPr>
          <w:lang w:eastAsia="en-US"/>
        </w:rPr>
        <w:t xml:space="preserve"> concrete actions</w:t>
      </w:r>
      <w:r>
        <w:rPr>
          <w:lang w:eastAsia="en-US"/>
        </w:rPr>
        <w:t xml:space="preserve"> </w:t>
      </w:r>
      <w:r w:rsidRPr="00DC2480">
        <w:rPr>
          <w:lang w:eastAsia="en-US"/>
        </w:rPr>
        <w:t>covering the whole</w:t>
      </w:r>
      <w:r>
        <w:rPr>
          <w:lang w:eastAsia="en-US"/>
        </w:rPr>
        <w:t xml:space="preserve"> products</w:t>
      </w:r>
      <w:r w:rsidRPr="00DC2480">
        <w:rPr>
          <w:lang w:eastAsia="en-US"/>
        </w:rPr>
        <w:t xml:space="preserve"> life cycle: from </w:t>
      </w:r>
      <w:r>
        <w:rPr>
          <w:lang w:eastAsia="en-US"/>
        </w:rPr>
        <w:t>extraction</w:t>
      </w:r>
      <w:r w:rsidRPr="00DC2480">
        <w:rPr>
          <w:lang w:eastAsia="en-US"/>
        </w:rPr>
        <w:t xml:space="preserve"> and </w:t>
      </w:r>
      <w:r>
        <w:rPr>
          <w:lang w:eastAsia="en-US"/>
        </w:rPr>
        <w:t>transformation</w:t>
      </w:r>
      <w:r w:rsidRPr="00DC2480">
        <w:rPr>
          <w:lang w:eastAsia="en-US"/>
        </w:rPr>
        <w:t xml:space="preserve"> </w:t>
      </w:r>
      <w:r>
        <w:rPr>
          <w:lang w:eastAsia="en-US"/>
        </w:rPr>
        <w:t xml:space="preserve">of raw materials </w:t>
      </w:r>
      <w:r w:rsidRPr="00DC2480">
        <w:rPr>
          <w:lang w:eastAsia="en-US"/>
        </w:rPr>
        <w:t xml:space="preserve">to </w:t>
      </w:r>
      <w:r>
        <w:rPr>
          <w:lang w:eastAsia="en-US"/>
        </w:rPr>
        <w:t xml:space="preserve">advanced materials and components, to </w:t>
      </w:r>
      <w:r w:rsidRPr="00DC2480">
        <w:rPr>
          <w:lang w:eastAsia="en-US"/>
        </w:rPr>
        <w:t xml:space="preserve">waste management and the </w:t>
      </w:r>
      <w:r>
        <w:rPr>
          <w:lang w:eastAsia="en-US"/>
        </w:rPr>
        <w:t>production of</w:t>
      </w:r>
      <w:r w:rsidRPr="00DC2480">
        <w:rPr>
          <w:lang w:eastAsia="en-US"/>
        </w:rPr>
        <w:t xml:space="preserve"> secondary raw materials</w:t>
      </w:r>
      <w:r>
        <w:rPr>
          <w:lang w:eastAsia="en-US"/>
        </w:rPr>
        <w:t>. Building on the CEAP,</w:t>
      </w:r>
      <w:r w:rsidRPr="00A57EF4">
        <w:rPr>
          <w:lang w:eastAsia="en-US"/>
        </w:rPr>
        <w:t xml:space="preserve"> </w:t>
      </w:r>
      <w:r>
        <w:rPr>
          <w:lang w:eastAsia="en-US"/>
        </w:rPr>
        <w:t xml:space="preserve">in 2018 the </w:t>
      </w:r>
      <w:r w:rsidRPr="00327C31">
        <w:rPr>
          <w:lang w:eastAsia="en-US"/>
        </w:rPr>
        <w:t xml:space="preserve">Commission adopted </w:t>
      </w:r>
      <w:r>
        <w:rPr>
          <w:lang w:eastAsia="en-US"/>
        </w:rPr>
        <w:t xml:space="preserve">the </w:t>
      </w:r>
      <w:r w:rsidRPr="00327C31">
        <w:rPr>
          <w:lang w:eastAsia="en-US"/>
        </w:rPr>
        <w:t>circular economy package</w:t>
      </w:r>
      <w:r>
        <w:rPr>
          <w:lang w:eastAsia="en-US"/>
        </w:rPr>
        <w:t>, which included among others the d</w:t>
      </w:r>
      <w:r w:rsidRPr="00DB2F1F">
        <w:rPr>
          <w:lang w:eastAsia="en-US"/>
        </w:rPr>
        <w:t>evelopment of a monitoring framework for the circular economy</w:t>
      </w:r>
      <w:r w:rsidRPr="00F754B7">
        <w:rPr>
          <w:vertAlign w:val="superscript"/>
        </w:rPr>
        <w:footnoteReference w:id="208"/>
      </w:r>
      <w:r w:rsidRPr="00F754B7">
        <w:rPr>
          <w:vertAlign w:val="superscript"/>
          <w:lang w:eastAsia="en-US"/>
        </w:rPr>
        <w:t xml:space="preserve"> </w:t>
      </w:r>
      <w:r>
        <w:rPr>
          <w:lang w:eastAsia="en-US"/>
        </w:rPr>
        <w:t xml:space="preserve">and </w:t>
      </w:r>
      <w:r w:rsidRPr="00A46D61">
        <w:rPr>
          <w:lang w:eastAsia="en-US"/>
        </w:rPr>
        <w:t>a report</w:t>
      </w:r>
      <w:r w:rsidRPr="00DB2F1F">
        <w:rPr>
          <w:lang w:eastAsia="en-US"/>
        </w:rPr>
        <w:t xml:space="preserve"> on critical raw materials and the circular economy</w:t>
      </w:r>
      <w:r w:rsidRPr="00F754B7">
        <w:rPr>
          <w:vertAlign w:val="superscript"/>
        </w:rPr>
        <w:footnoteReference w:id="209"/>
      </w:r>
      <w:r>
        <w:rPr>
          <w:lang w:eastAsia="en-US"/>
        </w:rPr>
        <w:t xml:space="preserve">. In 2020, the </w:t>
      </w:r>
      <w:r w:rsidRPr="006313BA">
        <w:rPr>
          <w:lang w:eastAsia="en-US"/>
        </w:rPr>
        <w:t xml:space="preserve">Commission </w:t>
      </w:r>
      <w:r>
        <w:rPr>
          <w:lang w:eastAsia="en-US"/>
        </w:rPr>
        <w:t xml:space="preserve">has </w:t>
      </w:r>
      <w:r w:rsidRPr="006313BA">
        <w:rPr>
          <w:lang w:eastAsia="en-US"/>
        </w:rPr>
        <w:t xml:space="preserve">adopted the new </w:t>
      </w:r>
      <w:r w:rsidR="004C0494">
        <w:rPr>
          <w:lang w:eastAsia="en-US"/>
        </w:rPr>
        <w:t>CEAP</w:t>
      </w:r>
      <w:r w:rsidRPr="00F754B7">
        <w:rPr>
          <w:vertAlign w:val="superscript"/>
        </w:rPr>
        <w:footnoteReference w:id="210"/>
      </w:r>
      <w:r>
        <w:rPr>
          <w:lang w:eastAsia="en-US"/>
        </w:rPr>
        <w:t xml:space="preserve">, which represents </w:t>
      </w:r>
      <w:r w:rsidRPr="000C097A">
        <w:rPr>
          <w:lang w:eastAsia="en-US"/>
        </w:rPr>
        <w:t xml:space="preserve">Europe’s new agenda for </w:t>
      </w:r>
      <w:r>
        <w:rPr>
          <w:lang w:eastAsia="en-US"/>
        </w:rPr>
        <w:t xml:space="preserve">future </w:t>
      </w:r>
      <w:r w:rsidRPr="000C097A">
        <w:rPr>
          <w:lang w:eastAsia="en-US"/>
        </w:rPr>
        <w:t>sustainable growth</w:t>
      </w:r>
      <w:r>
        <w:rPr>
          <w:lang w:eastAsia="en-US"/>
        </w:rPr>
        <w:t>.</w:t>
      </w:r>
      <w:r w:rsidRPr="006313BA">
        <w:rPr>
          <w:lang w:eastAsia="en-US"/>
        </w:rPr>
        <w:t xml:space="preserve"> The new action plan </w:t>
      </w:r>
      <w:r>
        <w:rPr>
          <w:lang w:eastAsia="en-US"/>
        </w:rPr>
        <w:t xml:space="preserve">includes </w:t>
      </w:r>
      <w:r w:rsidRPr="006313BA">
        <w:rPr>
          <w:lang w:eastAsia="en-US"/>
        </w:rPr>
        <w:t>initiatives along the entire life cycle of products</w:t>
      </w:r>
      <w:r>
        <w:rPr>
          <w:lang w:eastAsia="en-US"/>
        </w:rPr>
        <w:t xml:space="preserve"> aiming to </w:t>
      </w:r>
      <w:r w:rsidRPr="00F576F6">
        <w:rPr>
          <w:lang w:eastAsia="en-US"/>
        </w:rPr>
        <w:t xml:space="preserve">reduce </w:t>
      </w:r>
      <w:r>
        <w:rPr>
          <w:lang w:eastAsia="en-US"/>
        </w:rPr>
        <w:t xml:space="preserve">the </w:t>
      </w:r>
      <w:r w:rsidRPr="00F576F6">
        <w:rPr>
          <w:lang w:eastAsia="en-US"/>
        </w:rPr>
        <w:t>pressure on natural resources</w:t>
      </w:r>
      <w:r w:rsidRPr="006313BA">
        <w:rPr>
          <w:lang w:eastAsia="en-US"/>
        </w:rPr>
        <w:t>, promote circular economy processes</w:t>
      </w:r>
      <w:r>
        <w:rPr>
          <w:lang w:eastAsia="en-US"/>
        </w:rPr>
        <w:t xml:space="preserve"> and </w:t>
      </w:r>
      <w:r w:rsidRPr="006313BA">
        <w:rPr>
          <w:lang w:eastAsia="en-US"/>
        </w:rPr>
        <w:t>encourag</w:t>
      </w:r>
      <w:r>
        <w:rPr>
          <w:lang w:eastAsia="en-US"/>
        </w:rPr>
        <w:t>e</w:t>
      </w:r>
      <w:r w:rsidRPr="006313BA">
        <w:rPr>
          <w:lang w:eastAsia="en-US"/>
        </w:rPr>
        <w:t xml:space="preserve"> sustainable consumption.</w:t>
      </w:r>
    </w:p>
    <w:p w14:paraId="694451FE" w14:textId="08767286" w:rsidR="00725EF4" w:rsidRDefault="00725EF4" w:rsidP="00E4788A">
      <w:pPr>
        <w:pStyle w:val="MAWP-Bodytext"/>
      </w:pPr>
      <w:r w:rsidRPr="001341C8">
        <w:rPr>
          <w:lang w:eastAsia="en-US"/>
        </w:rPr>
        <w:t>The linear economy is based on linear process</w:t>
      </w:r>
      <w:r>
        <w:rPr>
          <w:lang w:eastAsia="en-US"/>
        </w:rPr>
        <w:t>es</w:t>
      </w:r>
      <w:r w:rsidRPr="001341C8">
        <w:rPr>
          <w:lang w:eastAsia="en-US"/>
        </w:rPr>
        <w:t xml:space="preserve"> that rely on the abundant </w:t>
      </w:r>
      <w:r>
        <w:rPr>
          <w:lang w:eastAsia="en-US"/>
        </w:rPr>
        <w:t xml:space="preserve">and infinite </w:t>
      </w:r>
      <w:r w:rsidRPr="001341C8">
        <w:rPr>
          <w:lang w:eastAsia="en-US"/>
        </w:rPr>
        <w:t>availability of raw materials at a relatively low cost</w:t>
      </w:r>
      <w:r>
        <w:rPr>
          <w:lang w:eastAsia="en-US"/>
        </w:rPr>
        <w:t xml:space="preserve">, </w:t>
      </w:r>
      <w:r w:rsidRPr="00B77030">
        <w:rPr>
          <w:lang w:eastAsia="en-US"/>
        </w:rPr>
        <w:t>and endless waste sinks</w:t>
      </w:r>
      <w:r>
        <w:rPr>
          <w:lang w:eastAsia="en-US"/>
        </w:rPr>
        <w:t xml:space="preserve">. </w:t>
      </w:r>
      <w:r w:rsidRPr="00B77030">
        <w:rPr>
          <w:lang w:eastAsia="en-US"/>
        </w:rPr>
        <w:t xml:space="preserve">The typical linear </w:t>
      </w:r>
      <w:r>
        <w:rPr>
          <w:lang w:eastAsia="en-US"/>
        </w:rPr>
        <w:t>system</w:t>
      </w:r>
      <w:r w:rsidRPr="00B77030">
        <w:rPr>
          <w:lang w:eastAsia="en-US"/>
        </w:rPr>
        <w:t xml:space="preserve"> consists of a series of steps – resource extraction, manufacturing, consuming, and disposing of products at the end of their life cycle</w:t>
      </w:r>
      <w:r>
        <w:rPr>
          <w:lang w:eastAsia="en-US"/>
        </w:rPr>
        <w:t xml:space="preserve">- </w:t>
      </w:r>
      <w:r w:rsidRPr="00B77030">
        <w:rPr>
          <w:lang w:eastAsia="en-US"/>
        </w:rPr>
        <w:t>almost without any interaction among them</w:t>
      </w:r>
      <w:r>
        <w:rPr>
          <w:lang w:eastAsia="en-US"/>
        </w:rPr>
        <w:t xml:space="preserve">. However, the Earth’s resources are limited and the </w:t>
      </w:r>
      <w:r w:rsidRPr="008C5A10">
        <w:rPr>
          <w:lang w:eastAsia="en-US"/>
        </w:rPr>
        <w:t>depletion of raw material</w:t>
      </w:r>
      <w:r>
        <w:rPr>
          <w:lang w:eastAsia="en-US"/>
        </w:rPr>
        <w:t>s</w:t>
      </w:r>
      <w:r w:rsidRPr="008C5A10">
        <w:rPr>
          <w:lang w:eastAsia="en-US"/>
        </w:rPr>
        <w:t xml:space="preserve"> is inevitable</w:t>
      </w:r>
      <w:r>
        <w:rPr>
          <w:lang w:eastAsia="en-US"/>
        </w:rPr>
        <w:t xml:space="preserve"> without </w:t>
      </w:r>
      <w:r w:rsidRPr="008C5A10">
        <w:rPr>
          <w:lang w:eastAsia="en-US"/>
        </w:rPr>
        <w:t>sustainable development</w:t>
      </w:r>
      <w:r>
        <w:rPr>
          <w:lang w:eastAsia="en-US"/>
        </w:rPr>
        <w:t>. On the other side, d</w:t>
      </w:r>
      <w:r w:rsidRPr="00B55AD0">
        <w:rPr>
          <w:lang w:eastAsia="en-US"/>
        </w:rPr>
        <w:t>emand for raw materials is projected to double by 2050</w:t>
      </w:r>
      <w:r w:rsidR="004C0494" w:rsidRPr="004C0494">
        <w:rPr>
          <w:vertAlign w:val="superscript"/>
          <w:lang w:eastAsia="en-US"/>
        </w:rPr>
        <w:fldChar w:fldCharType="begin"/>
      </w:r>
      <w:r w:rsidR="004C0494" w:rsidRPr="004C0494">
        <w:rPr>
          <w:vertAlign w:val="superscript"/>
          <w:lang w:eastAsia="en-US"/>
        </w:rPr>
        <w:instrText xml:space="preserve"> NOTEREF _Ref75253034 \h </w:instrText>
      </w:r>
      <w:r w:rsidR="004C0494">
        <w:rPr>
          <w:vertAlign w:val="superscript"/>
          <w:lang w:eastAsia="en-US"/>
        </w:rPr>
        <w:instrText xml:space="preserve"> \* MERGEFORMAT </w:instrText>
      </w:r>
      <w:r w:rsidR="004C0494" w:rsidRPr="004C0494">
        <w:rPr>
          <w:vertAlign w:val="superscript"/>
          <w:lang w:eastAsia="en-US"/>
        </w:rPr>
      </w:r>
      <w:r w:rsidR="004C0494" w:rsidRPr="004C0494">
        <w:rPr>
          <w:vertAlign w:val="superscript"/>
          <w:lang w:eastAsia="en-US"/>
        </w:rPr>
        <w:fldChar w:fldCharType="separate"/>
      </w:r>
      <w:r w:rsidR="00331EBC">
        <w:rPr>
          <w:vertAlign w:val="superscript"/>
          <w:lang w:eastAsia="en-US"/>
        </w:rPr>
        <w:t>190</w:t>
      </w:r>
      <w:r w:rsidR="004C0494" w:rsidRPr="004C0494">
        <w:rPr>
          <w:vertAlign w:val="superscript"/>
          <w:lang w:eastAsia="en-US"/>
        </w:rPr>
        <w:fldChar w:fldCharType="end"/>
      </w:r>
      <w:r w:rsidRPr="00B55AD0">
        <w:rPr>
          <w:lang w:eastAsia="en-US"/>
        </w:rPr>
        <w:t xml:space="preserve">, making </w:t>
      </w:r>
      <w:r>
        <w:rPr>
          <w:lang w:eastAsia="en-US"/>
        </w:rPr>
        <w:t>sustainable</w:t>
      </w:r>
      <w:r w:rsidRPr="00B55AD0">
        <w:rPr>
          <w:lang w:eastAsia="en-US"/>
        </w:rPr>
        <w:t xml:space="preserve"> sourcing</w:t>
      </w:r>
      <w:r>
        <w:rPr>
          <w:lang w:eastAsia="en-US"/>
        </w:rPr>
        <w:t xml:space="preserve"> </w:t>
      </w:r>
      <w:r w:rsidRPr="00B55AD0">
        <w:rPr>
          <w:lang w:eastAsia="en-US"/>
        </w:rPr>
        <w:t xml:space="preserve">essential to increase Europe’s security of supply. </w:t>
      </w:r>
      <w:r>
        <w:rPr>
          <w:lang w:eastAsia="en-US"/>
        </w:rPr>
        <w:t>Indeed, among the</w:t>
      </w:r>
      <w:r w:rsidRPr="00F21534">
        <w:rPr>
          <w:lang w:eastAsia="en-US"/>
        </w:rPr>
        <w:t xml:space="preserve"> main environmental reasons</w:t>
      </w:r>
      <w:r>
        <w:rPr>
          <w:lang w:eastAsia="en-US"/>
        </w:rPr>
        <w:t xml:space="preserve"> towards a circular economy are</w:t>
      </w:r>
      <w:r w:rsidRPr="00F21534">
        <w:rPr>
          <w:lang w:eastAsia="en-US"/>
        </w:rPr>
        <w:t xml:space="preserve"> resource scarcity, particularly for strategic resources</w:t>
      </w:r>
      <w:r>
        <w:rPr>
          <w:lang w:eastAsia="en-US"/>
        </w:rPr>
        <w:t>,</w:t>
      </w:r>
      <w:r w:rsidRPr="00F21534">
        <w:rPr>
          <w:lang w:eastAsia="en-US"/>
        </w:rPr>
        <w:t xml:space="preserve"> </w:t>
      </w:r>
      <w:r w:rsidRPr="00853D0F">
        <w:rPr>
          <w:lang w:eastAsia="en-US"/>
        </w:rPr>
        <w:t>the volatility of (and rising) commodity prices</w:t>
      </w:r>
      <w:r>
        <w:rPr>
          <w:lang w:eastAsia="en-US"/>
        </w:rPr>
        <w:t>,</w:t>
      </w:r>
      <w:r w:rsidRPr="00853D0F">
        <w:rPr>
          <w:lang w:eastAsia="en-US"/>
        </w:rPr>
        <w:t xml:space="preserve"> </w:t>
      </w:r>
      <w:r w:rsidRPr="00F21534">
        <w:rPr>
          <w:lang w:eastAsia="en-US"/>
        </w:rPr>
        <w:t>and</w:t>
      </w:r>
      <w:r>
        <w:rPr>
          <w:lang w:eastAsia="en-US"/>
        </w:rPr>
        <w:t xml:space="preserve"> </w:t>
      </w:r>
      <w:r w:rsidRPr="00F21534">
        <w:rPr>
          <w:lang w:eastAsia="en-US"/>
        </w:rPr>
        <w:t>negative environmental impacts of unsustainable production and consumption</w:t>
      </w:r>
      <w:r>
        <w:rPr>
          <w:lang w:eastAsia="en-US"/>
        </w:rPr>
        <w:t>.</w:t>
      </w:r>
    </w:p>
    <w:p w14:paraId="7D0A66B2" w14:textId="77777777" w:rsidR="00725EF4" w:rsidRDefault="00725EF4" w:rsidP="00E4788A">
      <w:pPr>
        <w:pStyle w:val="MAWP-Bodytext"/>
      </w:pPr>
      <w:r w:rsidRPr="00C160B9">
        <w:rPr>
          <w:lang w:eastAsia="en-US"/>
        </w:rPr>
        <w:t>Reliable and unhindered access to certain raw materials is a growing concern within the EU</w:t>
      </w:r>
      <w:r>
        <w:rPr>
          <w:lang w:eastAsia="en-US"/>
        </w:rPr>
        <w:t>. T</w:t>
      </w:r>
      <w:r w:rsidRPr="00DB7A59">
        <w:rPr>
          <w:lang w:eastAsia="en-US"/>
        </w:rPr>
        <w:t xml:space="preserve">he strategic importance of securing the supply </w:t>
      </w:r>
      <w:r>
        <w:rPr>
          <w:lang w:eastAsia="en-US"/>
        </w:rPr>
        <w:t xml:space="preserve">of </w:t>
      </w:r>
      <w:r w:rsidRPr="00DB7A59">
        <w:rPr>
          <w:lang w:eastAsia="en-US"/>
        </w:rPr>
        <w:t xml:space="preserve">raw materials </w:t>
      </w:r>
      <w:r>
        <w:rPr>
          <w:lang w:eastAsia="en-US"/>
        </w:rPr>
        <w:t>was also recognised by the E</w:t>
      </w:r>
      <w:r w:rsidRPr="00DB7A59">
        <w:rPr>
          <w:lang w:eastAsia="en-US"/>
        </w:rPr>
        <w:t>U Green Deal to fulfil its ambition to become climate-neutral by 2050</w:t>
      </w:r>
      <w:r>
        <w:rPr>
          <w:lang w:eastAsia="en-US"/>
        </w:rPr>
        <w:t xml:space="preserve"> based on the use of several raw materials in strategic areas such as </w:t>
      </w:r>
      <w:r w:rsidRPr="00DB7A59">
        <w:rPr>
          <w:lang w:eastAsia="en-US"/>
        </w:rPr>
        <w:t>batteries, renewable energies</w:t>
      </w:r>
      <w:r>
        <w:rPr>
          <w:lang w:eastAsia="en-US"/>
        </w:rPr>
        <w:t>, hydrogen, digital applications, etc.</w:t>
      </w:r>
      <w:r w:rsidRPr="00F754B7">
        <w:rPr>
          <w:vertAlign w:val="superscript"/>
        </w:rPr>
        <w:footnoteReference w:id="211"/>
      </w:r>
    </w:p>
    <w:p w14:paraId="1312AA4F" w14:textId="6FC3ED5F" w:rsidR="00725EF4" w:rsidRDefault="00725EF4" w:rsidP="00E4788A">
      <w:pPr>
        <w:pStyle w:val="MAWP-Bodytext"/>
      </w:pPr>
      <w:r>
        <w:rPr>
          <w:lang w:eastAsia="en-US"/>
        </w:rPr>
        <w:t>The EU is addressing this challenge through the</w:t>
      </w:r>
      <w:r w:rsidRPr="00021ECB">
        <w:rPr>
          <w:lang w:eastAsia="en-US"/>
        </w:rPr>
        <w:t xml:space="preserve"> </w:t>
      </w:r>
      <w:r>
        <w:rPr>
          <w:lang w:eastAsia="en-US"/>
        </w:rPr>
        <w:t>Raw Materials Initiative</w:t>
      </w:r>
      <w:r w:rsidRPr="00F754B7">
        <w:rPr>
          <w:vertAlign w:val="superscript"/>
        </w:rPr>
        <w:footnoteReference w:id="212"/>
      </w:r>
      <w:r>
        <w:rPr>
          <w:lang w:eastAsia="en-US"/>
        </w:rPr>
        <w:t>,</w:t>
      </w:r>
      <w:r w:rsidRPr="00021ECB">
        <w:rPr>
          <w:lang w:eastAsia="en-US"/>
        </w:rPr>
        <w:t xml:space="preserve"> </w:t>
      </w:r>
      <w:r>
        <w:rPr>
          <w:lang w:eastAsia="en-US"/>
        </w:rPr>
        <w:t xml:space="preserve">which defines the </w:t>
      </w:r>
      <w:r w:rsidRPr="004663E1">
        <w:rPr>
          <w:lang w:eastAsia="en-US"/>
        </w:rPr>
        <w:t>strategic policy framework</w:t>
      </w:r>
      <w:r w:rsidRPr="009B3ABF">
        <w:rPr>
          <w:lang w:eastAsia="en-US"/>
        </w:rPr>
        <w:t xml:space="preserve"> to secure a sustainable supply of raw materials for Europe</w:t>
      </w:r>
      <w:r>
        <w:rPr>
          <w:lang w:eastAsia="en-US"/>
        </w:rPr>
        <w:t xml:space="preserve">. As part of this initiative, the </w:t>
      </w:r>
      <w:r w:rsidRPr="00213FA1">
        <w:rPr>
          <w:lang w:eastAsia="en-US"/>
        </w:rPr>
        <w:t>Co</w:t>
      </w:r>
      <w:r>
        <w:rPr>
          <w:lang w:eastAsia="en-US"/>
        </w:rPr>
        <w:t xml:space="preserve">mmission is monitoring the EU’s resilience in relation to raw materials and </w:t>
      </w:r>
      <w:r w:rsidRPr="008B24E3">
        <w:rPr>
          <w:lang w:eastAsia="en-US"/>
        </w:rPr>
        <w:t xml:space="preserve">reviews the list of critical raw materials </w:t>
      </w:r>
      <w:r>
        <w:rPr>
          <w:lang w:eastAsia="en-US"/>
        </w:rPr>
        <w:t xml:space="preserve">(CRMs) </w:t>
      </w:r>
      <w:r w:rsidRPr="008B24E3">
        <w:rPr>
          <w:lang w:eastAsia="en-US"/>
        </w:rPr>
        <w:t>for the EU every three years</w:t>
      </w:r>
      <w:r>
        <w:rPr>
          <w:lang w:eastAsia="en-US"/>
        </w:rPr>
        <w:t xml:space="preserve"> based on their </w:t>
      </w:r>
      <w:r w:rsidRPr="00C160B9">
        <w:rPr>
          <w:lang w:eastAsia="en-US"/>
        </w:rPr>
        <w:t>importance to the EU economy</w:t>
      </w:r>
      <w:r>
        <w:rPr>
          <w:lang w:eastAsia="en-US"/>
        </w:rPr>
        <w:t xml:space="preserve"> </w:t>
      </w:r>
      <w:r w:rsidRPr="00C160B9">
        <w:rPr>
          <w:lang w:eastAsia="en-US"/>
        </w:rPr>
        <w:t xml:space="preserve">and of </w:t>
      </w:r>
      <w:r>
        <w:rPr>
          <w:lang w:eastAsia="en-US"/>
        </w:rPr>
        <w:t xml:space="preserve">the </w:t>
      </w:r>
      <w:r w:rsidRPr="00C160B9">
        <w:rPr>
          <w:lang w:eastAsia="en-US"/>
        </w:rPr>
        <w:t>high risk associated with their supply</w:t>
      </w:r>
      <w:r>
        <w:rPr>
          <w:lang w:eastAsia="en-US"/>
        </w:rPr>
        <w:t>. The most recent assessment published in 2020 identified 30 CRMs</w:t>
      </w:r>
      <w:r w:rsidRPr="00F754B7">
        <w:rPr>
          <w:vertAlign w:val="superscript"/>
        </w:rPr>
        <w:footnoteReference w:id="213"/>
      </w:r>
      <w:r>
        <w:rPr>
          <w:lang w:eastAsia="en-US"/>
        </w:rPr>
        <w:t>, more than double compared to the CRMs list from 2011.</w:t>
      </w:r>
    </w:p>
    <w:p w14:paraId="4E1C650D" w14:textId="77777777" w:rsidR="00725EF4" w:rsidRDefault="00725EF4" w:rsidP="00E4788A">
      <w:pPr>
        <w:pStyle w:val="MAWP-Bodytext"/>
      </w:pPr>
      <w:r w:rsidRPr="00182FA3">
        <w:rPr>
          <w:lang w:eastAsia="en-US"/>
        </w:rPr>
        <w:lastRenderedPageBreak/>
        <w:t xml:space="preserve">Hydrogen and fuel cell technologies </w:t>
      </w:r>
      <w:r>
        <w:rPr>
          <w:lang w:eastAsia="en-US"/>
        </w:rPr>
        <w:t>will</w:t>
      </w:r>
      <w:r w:rsidRPr="00182FA3">
        <w:rPr>
          <w:lang w:eastAsia="en-US"/>
        </w:rPr>
        <w:t xml:space="preserve"> play an essential role in the sustainable transition and future energy system. Nevertheless, the</w:t>
      </w:r>
      <w:r>
        <w:rPr>
          <w:lang w:eastAsia="en-US"/>
        </w:rPr>
        <w:t xml:space="preserve"> hydrogen</w:t>
      </w:r>
      <w:r w:rsidRPr="00182FA3">
        <w:rPr>
          <w:lang w:eastAsia="en-US"/>
        </w:rPr>
        <w:t xml:space="preserve"> technologies </w:t>
      </w:r>
      <w:r>
        <w:rPr>
          <w:lang w:eastAsia="en-US"/>
        </w:rPr>
        <w:t>value chains are under development</w:t>
      </w:r>
      <w:r w:rsidRPr="00182FA3">
        <w:rPr>
          <w:lang w:eastAsia="en-US"/>
        </w:rPr>
        <w:t xml:space="preserve"> </w:t>
      </w:r>
      <w:r>
        <w:rPr>
          <w:lang w:eastAsia="en-US"/>
        </w:rPr>
        <w:t xml:space="preserve">and need </w:t>
      </w:r>
      <w:r w:rsidRPr="004E0593">
        <w:rPr>
          <w:lang w:eastAsia="en-US"/>
        </w:rPr>
        <w:t>further development to become an environmentally sustainable, socially responsible and circular market value proposition</w:t>
      </w:r>
      <w:r>
        <w:rPr>
          <w:lang w:eastAsia="en-US"/>
        </w:rPr>
        <w:t>. Overall, the European hydrogen sector is based on a</w:t>
      </w:r>
      <w:r w:rsidRPr="00D2219B">
        <w:rPr>
          <w:lang w:eastAsia="en-US"/>
        </w:rPr>
        <w:t xml:space="preserve"> linear economy approach and further </w:t>
      </w:r>
      <w:r>
        <w:rPr>
          <w:lang w:eastAsia="en-US"/>
        </w:rPr>
        <w:t>efforts are</w:t>
      </w:r>
      <w:r w:rsidRPr="00D2219B">
        <w:rPr>
          <w:lang w:eastAsia="en-US"/>
        </w:rPr>
        <w:t xml:space="preserve"> still required to minimise the impacts of these technologies from their design, manufacturing and deployment, to ensuring their recovery, re</w:t>
      </w:r>
      <w:r>
        <w:rPr>
          <w:lang w:eastAsia="en-US"/>
        </w:rPr>
        <w:t>use, and recycling or disposal.</w:t>
      </w:r>
    </w:p>
    <w:p w14:paraId="325D8116" w14:textId="77777777" w:rsidR="00725EF4" w:rsidRDefault="00725EF4" w:rsidP="00E4788A">
      <w:pPr>
        <w:pStyle w:val="MAWP-Bodytext"/>
      </w:pPr>
      <w:r>
        <w:rPr>
          <w:lang w:eastAsia="en-US"/>
        </w:rPr>
        <w:t xml:space="preserve">With regard to the upstream </w:t>
      </w:r>
      <w:r w:rsidRPr="00886BF7">
        <w:rPr>
          <w:lang w:eastAsia="en-US"/>
        </w:rPr>
        <w:t>supply chain</w:t>
      </w:r>
      <w:r>
        <w:rPr>
          <w:lang w:eastAsia="en-US"/>
        </w:rPr>
        <w:t>, a</w:t>
      </w:r>
      <w:r w:rsidRPr="00886BF7">
        <w:rPr>
          <w:lang w:eastAsia="en-US"/>
        </w:rPr>
        <w:t>round 30 raw materials are needed for producing</w:t>
      </w:r>
      <w:r>
        <w:rPr>
          <w:lang w:eastAsia="en-US"/>
        </w:rPr>
        <w:t xml:space="preserve"> and storage</w:t>
      </w:r>
      <w:r w:rsidRPr="00886BF7">
        <w:rPr>
          <w:lang w:eastAsia="en-US"/>
        </w:rPr>
        <w:t xml:space="preserve"> </w:t>
      </w:r>
      <w:r>
        <w:rPr>
          <w:lang w:eastAsia="en-US"/>
        </w:rPr>
        <w:t>of hydrogen and fuel</w:t>
      </w:r>
      <w:r w:rsidRPr="00886BF7">
        <w:rPr>
          <w:lang w:eastAsia="en-US"/>
        </w:rPr>
        <w:t xml:space="preserve"> </w:t>
      </w:r>
      <w:r>
        <w:rPr>
          <w:lang w:eastAsia="en-US"/>
        </w:rPr>
        <w:t xml:space="preserve">cell </w:t>
      </w:r>
      <w:r w:rsidRPr="00886BF7">
        <w:rPr>
          <w:lang w:eastAsia="en-US"/>
        </w:rPr>
        <w:t>technologies</w:t>
      </w:r>
      <w:r w:rsidRPr="00F754B7">
        <w:rPr>
          <w:vertAlign w:val="superscript"/>
        </w:rPr>
        <w:footnoteReference w:id="214"/>
      </w:r>
      <w:r w:rsidRPr="00886BF7">
        <w:rPr>
          <w:lang w:eastAsia="en-US"/>
        </w:rPr>
        <w:t>. Of these materials, 13 materials namely cobalt, magnesium, REEs, platinum, palladium,</w:t>
      </w:r>
      <w:r>
        <w:rPr>
          <w:lang w:eastAsia="en-US"/>
        </w:rPr>
        <w:t xml:space="preserve"> </w:t>
      </w:r>
      <w:r w:rsidRPr="00886BF7">
        <w:rPr>
          <w:lang w:eastAsia="en-US"/>
        </w:rPr>
        <w:t>borates, silicon metal, rhodium, ruthenium, graphite, lithium,</w:t>
      </w:r>
      <w:r>
        <w:rPr>
          <w:lang w:eastAsia="en-US"/>
        </w:rPr>
        <w:t xml:space="preserve"> </w:t>
      </w:r>
      <w:r w:rsidRPr="00886BF7">
        <w:rPr>
          <w:lang w:eastAsia="en-US"/>
        </w:rPr>
        <w:t>titanium</w:t>
      </w:r>
      <w:r>
        <w:rPr>
          <w:lang w:eastAsia="en-US"/>
        </w:rPr>
        <w:t>,</w:t>
      </w:r>
      <w:r w:rsidRPr="00886BF7">
        <w:rPr>
          <w:lang w:eastAsia="en-US"/>
        </w:rPr>
        <w:t xml:space="preserve"> and vanadium are deemed critical for the EU economy according to the 2020 CRM list</w:t>
      </w:r>
      <w:r>
        <w:rPr>
          <w:lang w:eastAsia="en-US"/>
        </w:rPr>
        <w:t>.</w:t>
      </w:r>
      <w:r w:rsidRPr="00487969">
        <w:rPr>
          <w:lang w:eastAsia="en-US"/>
        </w:rPr>
        <w:t xml:space="preserve"> </w:t>
      </w:r>
      <w:r w:rsidRPr="00886BF7">
        <w:rPr>
          <w:lang w:eastAsia="en-US"/>
        </w:rPr>
        <w:t>China</w:t>
      </w:r>
      <w:r>
        <w:rPr>
          <w:lang w:eastAsia="en-US"/>
        </w:rPr>
        <w:t xml:space="preserve"> </w:t>
      </w:r>
      <w:r w:rsidRPr="00886BF7">
        <w:rPr>
          <w:lang w:eastAsia="en-US"/>
        </w:rPr>
        <w:t>is the major supplier of</w:t>
      </w:r>
      <w:r>
        <w:rPr>
          <w:lang w:eastAsia="en-US"/>
        </w:rPr>
        <w:t xml:space="preserve"> these </w:t>
      </w:r>
      <w:r w:rsidRPr="00886BF7">
        <w:rPr>
          <w:lang w:eastAsia="en-US"/>
        </w:rPr>
        <w:t>raw materials</w:t>
      </w:r>
      <w:r w:rsidRPr="00FD2AE9">
        <w:rPr>
          <w:lang w:eastAsia="en-US"/>
        </w:rPr>
        <w:t xml:space="preserve"> </w:t>
      </w:r>
      <w:r w:rsidRPr="00886BF7">
        <w:rPr>
          <w:lang w:eastAsia="en-US"/>
        </w:rPr>
        <w:t xml:space="preserve">with more than 20% share, followed by South Africa and Russia. </w:t>
      </w:r>
    </w:p>
    <w:p w14:paraId="482DE8E8" w14:textId="77777777" w:rsidR="00725EF4" w:rsidRPr="00936235" w:rsidRDefault="00725EF4" w:rsidP="00E4788A">
      <w:pPr>
        <w:pStyle w:val="MAWP-Bodytext"/>
      </w:pPr>
      <w:r w:rsidRPr="0042247A">
        <w:rPr>
          <w:lang w:eastAsia="en-US"/>
        </w:rPr>
        <w:t>The fuel cell industry relies heavily on platinum-based catalysts, with platinum making up</w:t>
      </w:r>
      <w:r>
        <w:rPr>
          <w:lang w:eastAsia="en-US"/>
        </w:rPr>
        <w:t xml:space="preserve"> </w:t>
      </w:r>
      <w:r w:rsidRPr="0042247A">
        <w:rPr>
          <w:lang w:eastAsia="en-US"/>
        </w:rPr>
        <w:t>about half of the cost of a fuel cell stack</w:t>
      </w:r>
      <w:r>
        <w:rPr>
          <w:lang w:eastAsia="en-US"/>
        </w:rPr>
        <w:t xml:space="preserve">. Apart from the platinum group metals (PGM), major growth in demand is expected also for copper </w:t>
      </w:r>
      <w:r w:rsidRPr="00AD45F5">
        <w:rPr>
          <w:lang w:eastAsia="en-US"/>
        </w:rPr>
        <w:t>for use in fuel cell electric vehicles</w:t>
      </w:r>
      <w:r>
        <w:rPr>
          <w:lang w:eastAsia="en-US"/>
        </w:rPr>
        <w:t xml:space="preserve">. </w:t>
      </w:r>
      <w:r w:rsidRPr="00936235">
        <w:rPr>
          <w:lang w:eastAsia="en-US"/>
        </w:rPr>
        <w:t>Platinum is produced mainly in South Africa (71% of global production), followed by Russia (16%) and Zimbabwe (6%). Boosting recycling and the use of secondary raw materials will help reduce this dependency.</w:t>
      </w:r>
    </w:p>
    <w:p w14:paraId="244CE3CD" w14:textId="778B054F" w:rsidR="00725EF4" w:rsidRPr="00021ECB" w:rsidRDefault="00725EF4" w:rsidP="00E4788A">
      <w:pPr>
        <w:pStyle w:val="MAWP-Bodytext"/>
      </w:pPr>
      <w:r w:rsidRPr="00021ECB">
        <w:rPr>
          <w:lang w:eastAsia="en-US"/>
        </w:rPr>
        <w:t xml:space="preserve">The rapid </w:t>
      </w:r>
      <w:r>
        <w:rPr>
          <w:lang w:eastAsia="en-US"/>
        </w:rPr>
        <w:t xml:space="preserve">growth of clean hydrogen produced by water electrolysis using renewable energy will lead to high demand for nickel, zirconium, rare earth elements (i.e. lanthanum and yttrium) and PGM (i.e. platinum, palladium and iridium) </w:t>
      </w:r>
      <w:r w:rsidRPr="00936235">
        <w:rPr>
          <w:lang w:eastAsia="en-US"/>
        </w:rPr>
        <w:t>use</w:t>
      </w:r>
      <w:r>
        <w:rPr>
          <w:lang w:eastAsia="en-US"/>
        </w:rPr>
        <w:t>d</w:t>
      </w:r>
      <w:r w:rsidRPr="00936235">
        <w:rPr>
          <w:lang w:eastAsia="en-US"/>
        </w:rPr>
        <w:t xml:space="preserve"> in</w:t>
      </w:r>
      <w:r>
        <w:rPr>
          <w:lang w:eastAsia="en-US"/>
        </w:rPr>
        <w:t xml:space="preserve"> various types of</w:t>
      </w:r>
      <w:r w:rsidRPr="00936235">
        <w:rPr>
          <w:lang w:eastAsia="en-US"/>
        </w:rPr>
        <w:t xml:space="preserve"> electrolysers</w:t>
      </w:r>
      <w:r>
        <w:rPr>
          <w:lang w:eastAsia="en-US"/>
        </w:rPr>
        <w:t>.</w:t>
      </w:r>
      <w:r w:rsidRPr="00F754B7">
        <w:rPr>
          <w:vertAlign w:val="superscript"/>
        </w:rPr>
        <w:footnoteReference w:id="215"/>
      </w:r>
      <w:r>
        <w:rPr>
          <w:lang w:eastAsia="en-US"/>
        </w:rPr>
        <w:t xml:space="preserve"> Scarce raw materials such as iridium and platinum can represent a barrier to industrial scale up of PEM electrolysers and reducing their cost (e.g.</w:t>
      </w:r>
      <w:r w:rsidRPr="00515D6E">
        <w:rPr>
          <w:lang w:eastAsia="en-US"/>
        </w:rPr>
        <w:t xml:space="preserve"> </w:t>
      </w:r>
      <w:r>
        <w:rPr>
          <w:lang w:eastAsia="en-US"/>
        </w:rPr>
        <w:t>the c</w:t>
      </w:r>
      <w:r w:rsidRPr="00515D6E">
        <w:rPr>
          <w:lang w:eastAsia="en-US"/>
        </w:rPr>
        <w:t>urrent production of iridium</w:t>
      </w:r>
      <w:r>
        <w:rPr>
          <w:lang w:eastAsia="en-US"/>
        </w:rPr>
        <w:t xml:space="preserve"> </w:t>
      </w:r>
      <w:r w:rsidRPr="00515D6E">
        <w:rPr>
          <w:lang w:eastAsia="en-US"/>
        </w:rPr>
        <w:t>and platinum will only</w:t>
      </w:r>
      <w:r>
        <w:rPr>
          <w:lang w:eastAsia="en-US"/>
        </w:rPr>
        <w:t xml:space="preserve"> support an estimated 3-</w:t>
      </w:r>
      <w:r w:rsidRPr="00515D6E">
        <w:rPr>
          <w:lang w:eastAsia="en-US"/>
        </w:rPr>
        <w:t>7.5 GW annual</w:t>
      </w:r>
      <w:r>
        <w:rPr>
          <w:lang w:eastAsia="en-US"/>
        </w:rPr>
        <w:t xml:space="preserve"> </w:t>
      </w:r>
      <w:r w:rsidRPr="00515D6E">
        <w:rPr>
          <w:lang w:eastAsia="en-US"/>
        </w:rPr>
        <w:t>manufacturing capacity</w:t>
      </w:r>
      <w:r w:rsidRPr="00820B5D">
        <w:rPr>
          <w:lang w:eastAsia="en-US"/>
        </w:rPr>
        <w:t xml:space="preserve"> </w:t>
      </w:r>
      <w:r>
        <w:rPr>
          <w:lang w:eastAsia="en-US"/>
        </w:rPr>
        <w:t>of</w:t>
      </w:r>
      <w:r w:rsidRPr="00515D6E">
        <w:rPr>
          <w:lang w:eastAsia="en-US"/>
        </w:rPr>
        <w:t xml:space="preserve"> PEM electrolysers, compared to an</w:t>
      </w:r>
      <w:r>
        <w:rPr>
          <w:lang w:eastAsia="en-US"/>
        </w:rPr>
        <w:t xml:space="preserve"> </w:t>
      </w:r>
      <w:r w:rsidRPr="00515D6E">
        <w:rPr>
          <w:lang w:eastAsia="en-US"/>
        </w:rPr>
        <w:t>estimated annual manufacturing requirement</w:t>
      </w:r>
      <w:r>
        <w:rPr>
          <w:lang w:eastAsia="en-US"/>
        </w:rPr>
        <w:t xml:space="preserve"> </w:t>
      </w:r>
      <w:r w:rsidRPr="00515D6E">
        <w:rPr>
          <w:lang w:eastAsia="en-US"/>
        </w:rPr>
        <w:t>of around 100 GW by 2030</w:t>
      </w:r>
      <w:r>
        <w:rPr>
          <w:lang w:eastAsia="en-US"/>
        </w:rPr>
        <w:t>).</w:t>
      </w:r>
      <w:r w:rsidRPr="00F754B7">
        <w:rPr>
          <w:vertAlign w:val="superscript"/>
        </w:rPr>
        <w:footnoteReference w:id="216"/>
      </w:r>
    </w:p>
    <w:p w14:paraId="34CBE8F2" w14:textId="3A021453" w:rsidR="00725EF4" w:rsidRDefault="00725EF4" w:rsidP="00E4788A">
      <w:pPr>
        <w:pStyle w:val="MAWP-Bodytext"/>
      </w:pPr>
      <w:r>
        <w:rPr>
          <w:lang w:eastAsia="en-US"/>
        </w:rPr>
        <w:t xml:space="preserve">Diversifying </w:t>
      </w:r>
      <w:r w:rsidRPr="003C79EC">
        <w:rPr>
          <w:lang w:eastAsia="en-US"/>
        </w:rPr>
        <w:t>supply chains, foster</w:t>
      </w:r>
      <w:r>
        <w:rPr>
          <w:lang w:eastAsia="en-US"/>
        </w:rPr>
        <w:t>ing</w:t>
      </w:r>
      <w:r w:rsidRPr="003C79EC">
        <w:rPr>
          <w:lang w:eastAsia="en-US"/>
        </w:rPr>
        <w:t xml:space="preserve"> technology</w:t>
      </w:r>
      <w:r>
        <w:rPr>
          <w:lang w:eastAsia="en-US"/>
        </w:rPr>
        <w:t xml:space="preserve"> innovation, and </w:t>
      </w:r>
      <w:r w:rsidRPr="003C79EC">
        <w:rPr>
          <w:lang w:eastAsia="en-US"/>
        </w:rPr>
        <w:t>improve resource efficiency and circularity</w:t>
      </w:r>
      <w:r>
        <w:rPr>
          <w:lang w:eastAsia="en-US"/>
        </w:rPr>
        <w:t xml:space="preserve"> are potential solutions to increase the </w:t>
      </w:r>
      <w:r w:rsidRPr="003C79EC">
        <w:rPr>
          <w:lang w:eastAsia="en-US"/>
        </w:rPr>
        <w:t>EU’s resilience in relation to raw</w:t>
      </w:r>
      <w:r>
        <w:rPr>
          <w:lang w:eastAsia="en-US"/>
        </w:rPr>
        <w:t xml:space="preserve"> </w:t>
      </w:r>
      <w:r w:rsidRPr="003C79EC">
        <w:rPr>
          <w:lang w:eastAsia="en-US"/>
        </w:rPr>
        <w:t>materials</w:t>
      </w:r>
      <w:r>
        <w:rPr>
          <w:lang w:eastAsia="en-US"/>
        </w:rPr>
        <w:t xml:space="preserve"> used in hydrogen technologies (notably on electrolysers and fuel cells). The </w:t>
      </w:r>
      <w:r w:rsidRPr="00936235">
        <w:rPr>
          <w:lang w:eastAsia="en-US"/>
        </w:rPr>
        <w:t>EU can lead the way</w:t>
      </w:r>
      <w:r>
        <w:rPr>
          <w:lang w:eastAsia="en-US"/>
        </w:rPr>
        <w:t xml:space="preserve"> towards a sustainable and circular hydrogen economy. I</w:t>
      </w:r>
      <w:r w:rsidRPr="00F779BB">
        <w:rPr>
          <w:lang w:eastAsia="en-US"/>
        </w:rPr>
        <w:t xml:space="preserve">nnovation and technological progress are key to finding lasting solutions to both economic and environmental challenges, </w:t>
      </w:r>
      <w:r>
        <w:rPr>
          <w:lang w:eastAsia="en-US"/>
        </w:rPr>
        <w:t>including access to</w:t>
      </w:r>
      <w:r w:rsidRPr="00F779BB">
        <w:rPr>
          <w:lang w:eastAsia="en-US"/>
        </w:rPr>
        <w:t xml:space="preserve"> resource</w:t>
      </w:r>
      <w:r>
        <w:rPr>
          <w:lang w:eastAsia="en-US"/>
        </w:rPr>
        <w:t>s</w:t>
      </w:r>
      <w:r w:rsidRPr="00F779BB">
        <w:rPr>
          <w:lang w:eastAsia="en-US"/>
        </w:rPr>
        <w:t xml:space="preserve"> and </w:t>
      </w:r>
      <w:r>
        <w:rPr>
          <w:lang w:eastAsia="en-US"/>
        </w:rPr>
        <w:t xml:space="preserve">sustainability. </w:t>
      </w:r>
      <w:r w:rsidRPr="00F779BB">
        <w:rPr>
          <w:lang w:eastAsia="en-US"/>
        </w:rPr>
        <w:t xml:space="preserve">Indeed, </w:t>
      </w:r>
      <w:r>
        <w:rPr>
          <w:lang w:eastAsia="en-US"/>
        </w:rPr>
        <w:t>in line with the European Green Deal objectives, research and innovation activities should not make significant harm to any of the six environmental objectives (EU Taxonomy regulation</w:t>
      </w:r>
      <w:r w:rsidRPr="00F754B7">
        <w:rPr>
          <w:vertAlign w:val="superscript"/>
        </w:rPr>
        <w:footnoteReference w:id="217"/>
      </w:r>
      <w:r w:rsidRPr="004C0494">
        <w:rPr>
          <w:lang w:eastAsia="en-US"/>
        </w:rPr>
        <w:t>)</w:t>
      </w:r>
      <w:r>
        <w:rPr>
          <w:lang w:eastAsia="en-US"/>
        </w:rPr>
        <w:t>, and should follow the “Do No Significant Harm“</w:t>
      </w:r>
      <w:r w:rsidR="004C0494">
        <w:rPr>
          <w:lang w:eastAsia="en-US"/>
        </w:rPr>
        <w:t xml:space="preserve"> </w:t>
      </w:r>
      <w:r>
        <w:rPr>
          <w:lang w:eastAsia="en-US"/>
        </w:rPr>
        <w:t>principle.</w:t>
      </w:r>
    </w:p>
    <w:p w14:paraId="0DB44B9B" w14:textId="4B87312D" w:rsidR="00725EF4" w:rsidRDefault="00064D86" w:rsidP="00E4788A">
      <w:pPr>
        <w:pStyle w:val="MAWP-Bodytext"/>
      </w:pPr>
      <w:r>
        <w:rPr>
          <w:lang w:eastAsia="en-US"/>
        </w:rPr>
        <w:t>T</w:t>
      </w:r>
      <w:r w:rsidR="00725EF4" w:rsidRPr="00DE6076">
        <w:rPr>
          <w:lang w:eastAsia="en-US"/>
        </w:rPr>
        <w:t xml:space="preserve">he </w:t>
      </w:r>
      <w:r w:rsidR="00725EF4">
        <w:rPr>
          <w:lang w:eastAsia="en-US"/>
        </w:rPr>
        <w:t xml:space="preserve">Clean Hydrogen JU is committed to contributing to putting the EU hydrogen sector at the forefront of the sustainable and circular transition of hydrogen technologies and their associated value chains. </w:t>
      </w:r>
      <w:r w:rsidR="00725EF4" w:rsidRPr="00D2219B">
        <w:rPr>
          <w:lang w:eastAsia="en-US"/>
        </w:rPr>
        <w:t xml:space="preserve">To this end, the research and innovation actions included </w:t>
      </w:r>
      <w:r w:rsidR="00725EF4">
        <w:rPr>
          <w:lang w:eastAsia="en-US"/>
        </w:rPr>
        <w:t xml:space="preserve">in particular </w:t>
      </w:r>
      <w:r w:rsidR="00725EF4" w:rsidRPr="00D2219B">
        <w:rPr>
          <w:lang w:eastAsia="en-US"/>
        </w:rPr>
        <w:t xml:space="preserve">within </w:t>
      </w:r>
      <w:r w:rsidR="00725EF4">
        <w:rPr>
          <w:lang w:eastAsia="en-US"/>
        </w:rPr>
        <w:t xml:space="preserve">the </w:t>
      </w:r>
      <w:r w:rsidR="00725EF4" w:rsidRPr="00D2219B">
        <w:rPr>
          <w:lang w:eastAsia="en-US"/>
        </w:rPr>
        <w:t>section</w:t>
      </w:r>
      <w:r w:rsidR="00725EF4">
        <w:rPr>
          <w:lang w:eastAsia="en-US"/>
        </w:rPr>
        <w:t>s</w:t>
      </w:r>
      <w:r w:rsidR="00725EF4" w:rsidRPr="00D2219B">
        <w:rPr>
          <w:lang w:eastAsia="en-US"/>
        </w:rPr>
        <w:t xml:space="preserve"> “Sustainability, </w:t>
      </w:r>
      <w:r w:rsidR="00725EF4">
        <w:rPr>
          <w:lang w:eastAsia="en-US"/>
        </w:rPr>
        <w:t>LCSA, recycling and eco-design”</w:t>
      </w:r>
      <w:r w:rsidR="00725EF4" w:rsidRPr="00D2219B">
        <w:rPr>
          <w:lang w:eastAsia="en-US"/>
        </w:rPr>
        <w:t xml:space="preserve"> </w:t>
      </w:r>
      <w:r w:rsidR="00725EF4">
        <w:rPr>
          <w:lang w:eastAsia="en-US"/>
        </w:rPr>
        <w:t xml:space="preserve">and “Supply Chain” </w:t>
      </w:r>
      <w:r w:rsidR="00725EF4" w:rsidRPr="00D2219B">
        <w:rPr>
          <w:lang w:eastAsia="en-US"/>
        </w:rPr>
        <w:t xml:space="preserve">will play a key role in providing the </w:t>
      </w:r>
      <w:r w:rsidR="00DB7519">
        <w:rPr>
          <w:lang w:eastAsia="en-US"/>
        </w:rPr>
        <w:t xml:space="preserve">methodological </w:t>
      </w:r>
      <w:r w:rsidR="00725EF4" w:rsidRPr="00D2219B">
        <w:rPr>
          <w:lang w:eastAsia="en-US"/>
        </w:rPr>
        <w:t>foundation to strengthen the sustainability and circularity of these technologies an</w:t>
      </w:r>
      <w:r w:rsidR="00725EF4">
        <w:rPr>
          <w:lang w:eastAsia="en-US"/>
        </w:rPr>
        <w:t xml:space="preserve">d their industrial value chains in Europe. Nevertheless, the transition </w:t>
      </w:r>
      <w:r w:rsidR="00725EF4">
        <w:rPr>
          <w:lang w:eastAsia="en-US"/>
        </w:rPr>
        <w:lastRenderedPageBreak/>
        <w:t xml:space="preserve">towards a fully-fledged sustainable and circular hydrogen economy requires </w:t>
      </w:r>
      <w:r w:rsidR="00725EF4" w:rsidRPr="00CD0C36">
        <w:rPr>
          <w:lang w:eastAsia="en-US"/>
        </w:rPr>
        <w:t xml:space="preserve">an integrated approach </w:t>
      </w:r>
      <w:r w:rsidR="00725EF4">
        <w:rPr>
          <w:lang w:eastAsia="en-US"/>
        </w:rPr>
        <w:t xml:space="preserve">beyond these activities. To this end, the Clean Hydrogen JU will set up a </w:t>
      </w:r>
      <w:r w:rsidR="007B1A3A">
        <w:rPr>
          <w:lang w:eastAsia="en-US"/>
        </w:rPr>
        <w:t xml:space="preserve">European Hydrogen </w:t>
      </w:r>
      <w:r w:rsidR="00725EF4">
        <w:rPr>
          <w:lang w:eastAsia="en-US"/>
        </w:rPr>
        <w:t xml:space="preserve">Sustainability and Circularity Panel </w:t>
      </w:r>
      <w:r w:rsidR="004C0494" w:rsidRPr="0043532C">
        <w:rPr>
          <w:lang w:eastAsia="en-US"/>
        </w:rPr>
        <w:t>(</w:t>
      </w:r>
      <w:r w:rsidR="007B1A3A">
        <w:rPr>
          <w:lang w:eastAsia="en-US"/>
        </w:rPr>
        <w:t>EH</w:t>
      </w:r>
      <w:r w:rsidR="004C0494" w:rsidRPr="0043532C">
        <w:rPr>
          <w:lang w:eastAsia="en-US"/>
        </w:rPr>
        <w:t xml:space="preserve">S&amp;CP) </w:t>
      </w:r>
      <w:r w:rsidR="00725EF4">
        <w:rPr>
          <w:lang w:eastAsia="en-US"/>
        </w:rPr>
        <w:t>at the Programme level.</w:t>
      </w:r>
    </w:p>
    <w:p w14:paraId="58C53BEB" w14:textId="0568105D" w:rsidR="00725EF4" w:rsidRDefault="00725EF4" w:rsidP="00E4788A">
      <w:pPr>
        <w:pStyle w:val="MAWP-Bodytext"/>
      </w:pPr>
      <w:r w:rsidRPr="0043532C">
        <w:rPr>
          <w:lang w:eastAsia="en-US"/>
        </w:rPr>
        <w:t xml:space="preserve">The Sustainability and Circularity Panel will support the Clean Hydrogen JU Programme in the transition towards a sustainable and circular hydrogen economy. The </w:t>
      </w:r>
      <w:r w:rsidR="007B1A3A">
        <w:rPr>
          <w:lang w:eastAsia="en-US"/>
        </w:rPr>
        <w:t>EH</w:t>
      </w:r>
      <w:r w:rsidRPr="0043532C">
        <w:rPr>
          <w:lang w:eastAsia="en-US"/>
        </w:rPr>
        <w:t>S&amp;CP is envisaged as a multidisciplinary pool of experts</w:t>
      </w:r>
      <w:r>
        <w:rPr>
          <w:lang w:eastAsia="en-US"/>
        </w:rPr>
        <w:t xml:space="preserve"> (10-15 experts</w:t>
      </w:r>
      <w:r w:rsidRPr="001D0D7E">
        <w:rPr>
          <w:lang w:eastAsia="en-US"/>
        </w:rPr>
        <w:t xml:space="preserve"> approx.</w:t>
      </w:r>
      <w:r>
        <w:rPr>
          <w:lang w:eastAsia="en-US"/>
        </w:rPr>
        <w:t>)</w:t>
      </w:r>
      <w:r w:rsidRPr="0043532C">
        <w:rPr>
          <w:lang w:eastAsia="en-US"/>
        </w:rPr>
        <w:t xml:space="preserve"> </w:t>
      </w:r>
      <w:r>
        <w:rPr>
          <w:lang w:eastAsia="en-US"/>
        </w:rPr>
        <w:t>with</w:t>
      </w:r>
      <w:r w:rsidRPr="00A46D61">
        <w:rPr>
          <w:lang w:eastAsia="en-US"/>
        </w:rPr>
        <w:t xml:space="preserve"> knowledge and experience in the relevant areas</w:t>
      </w:r>
      <w:r>
        <w:rPr>
          <w:lang w:eastAsia="en-US"/>
        </w:rPr>
        <w:t>,</w:t>
      </w:r>
      <w:r w:rsidRPr="00A46D61">
        <w:rPr>
          <w:lang w:eastAsia="en-US"/>
        </w:rPr>
        <w:t xml:space="preserve"> </w:t>
      </w:r>
      <w:r w:rsidRPr="0043532C">
        <w:rPr>
          <w:lang w:eastAsia="en-US"/>
        </w:rPr>
        <w:t xml:space="preserve">covering the technical domain needed to make science-based recommendations to the </w:t>
      </w:r>
      <w:r w:rsidR="00831A2C">
        <w:t xml:space="preserve">Clean Hydrogen </w:t>
      </w:r>
      <w:r w:rsidRPr="0043532C">
        <w:rPr>
          <w:lang w:eastAsia="en-US"/>
        </w:rPr>
        <w:t>JU</w:t>
      </w:r>
      <w:r>
        <w:rPr>
          <w:lang w:eastAsia="en-US"/>
        </w:rPr>
        <w:t xml:space="preserve">. They will act as </w:t>
      </w:r>
      <w:r w:rsidRPr="008C0A7F">
        <w:rPr>
          <w:lang w:eastAsia="en-US"/>
        </w:rPr>
        <w:t>a focal point or “advisor” to the Programme</w:t>
      </w:r>
      <w:r>
        <w:rPr>
          <w:lang w:eastAsia="en-US"/>
        </w:rPr>
        <w:t xml:space="preserve"> in these matters </w:t>
      </w:r>
      <w:r w:rsidRPr="008C0A7F">
        <w:rPr>
          <w:lang w:eastAsia="en-US"/>
        </w:rPr>
        <w:t>in an independent, coordinated and</w:t>
      </w:r>
      <w:r>
        <w:rPr>
          <w:lang w:eastAsia="en-US"/>
        </w:rPr>
        <w:t xml:space="preserve"> </w:t>
      </w:r>
      <w:r w:rsidRPr="008C0A7F">
        <w:rPr>
          <w:lang w:eastAsia="en-US"/>
        </w:rPr>
        <w:t>consolidated way</w:t>
      </w:r>
      <w:r>
        <w:rPr>
          <w:lang w:eastAsia="en-US"/>
        </w:rPr>
        <w:t xml:space="preserve">. </w:t>
      </w:r>
    </w:p>
    <w:p w14:paraId="21989292" w14:textId="69BFCB6A" w:rsidR="00725EF4" w:rsidRPr="0043532C" w:rsidRDefault="00725EF4" w:rsidP="00E4788A">
      <w:pPr>
        <w:pStyle w:val="MAWP-Bodytext"/>
      </w:pPr>
      <w:r>
        <w:rPr>
          <w:lang w:eastAsia="en-US"/>
        </w:rPr>
        <w:t>T</w:t>
      </w:r>
      <w:r w:rsidRPr="0043532C">
        <w:rPr>
          <w:lang w:eastAsia="en-US"/>
        </w:rPr>
        <w:t xml:space="preserve">he mission of the </w:t>
      </w:r>
      <w:r w:rsidR="007B1A3A">
        <w:rPr>
          <w:lang w:eastAsia="en-US"/>
        </w:rPr>
        <w:t>EHS&amp;CP</w:t>
      </w:r>
      <w:r w:rsidRPr="0043532C">
        <w:rPr>
          <w:lang w:eastAsia="en-US"/>
        </w:rPr>
        <w:t xml:space="preserve"> in the Programme will be two</w:t>
      </w:r>
      <w:r>
        <w:rPr>
          <w:lang w:eastAsia="en-US"/>
        </w:rPr>
        <w:t>-</w:t>
      </w:r>
      <w:r w:rsidRPr="0043532C">
        <w:rPr>
          <w:lang w:eastAsia="en-US"/>
        </w:rPr>
        <w:t>fold:</w:t>
      </w:r>
    </w:p>
    <w:p w14:paraId="753BA99A" w14:textId="3A2199C7" w:rsidR="00725EF4" w:rsidRDefault="00725EF4" w:rsidP="00E4788A">
      <w:pPr>
        <w:pStyle w:val="MAWP-Bodytext"/>
        <w:numPr>
          <w:ilvl w:val="0"/>
          <w:numId w:val="6"/>
        </w:numPr>
      </w:pPr>
      <w:r>
        <w:t xml:space="preserve">To assist the </w:t>
      </w:r>
      <w:r w:rsidR="00831A2C">
        <w:t xml:space="preserve">Clean Hydrogen </w:t>
      </w:r>
      <w:r>
        <w:t xml:space="preserve">JU in assuring that sustainability and circularity aspects are adequately addressed and managed at both programme and project levels, </w:t>
      </w:r>
      <w:r w:rsidRPr="00FE7B29">
        <w:t xml:space="preserve">encompassing environmental, social </w:t>
      </w:r>
      <w:r>
        <w:t>and economic aspects as a whole,</w:t>
      </w:r>
      <w:r w:rsidRPr="00FE7B29">
        <w:t xml:space="preserve"> </w:t>
      </w:r>
      <w:r>
        <w:t>and</w:t>
      </w:r>
    </w:p>
    <w:p w14:paraId="0CE66C7D" w14:textId="77777777" w:rsidR="00725EF4" w:rsidRPr="0043532C" w:rsidRDefault="00725EF4" w:rsidP="00E4788A">
      <w:pPr>
        <w:pStyle w:val="MAWP-Bodytext"/>
        <w:numPr>
          <w:ilvl w:val="0"/>
          <w:numId w:val="6"/>
        </w:numPr>
      </w:pPr>
      <w:r w:rsidRPr="00A65309">
        <w:t xml:space="preserve">To promote and disseminate knowledge and a more sustainable and circular culture within and </w:t>
      </w:r>
      <w:r>
        <w:t>beyond</w:t>
      </w:r>
      <w:r w:rsidRPr="00A65309">
        <w:t xml:space="preserve"> the Programme.</w:t>
      </w:r>
    </w:p>
    <w:p w14:paraId="4D53035A" w14:textId="537C76BA" w:rsidR="000A3A62" w:rsidRDefault="00725EF4" w:rsidP="000A3A62">
      <w:pPr>
        <w:pStyle w:val="MAWP-Bodytext"/>
      </w:pPr>
      <w:r>
        <w:rPr>
          <w:lang w:eastAsia="en-US"/>
        </w:rPr>
        <w:t>To this end, t</w:t>
      </w:r>
      <w:r w:rsidRPr="008C0A7F">
        <w:rPr>
          <w:lang w:eastAsia="en-US"/>
        </w:rPr>
        <w:t xml:space="preserve">he scope of the activities of </w:t>
      </w:r>
      <w:r>
        <w:rPr>
          <w:lang w:eastAsia="en-US"/>
        </w:rPr>
        <w:t xml:space="preserve">the </w:t>
      </w:r>
      <w:r w:rsidR="007B1A3A">
        <w:rPr>
          <w:lang w:eastAsia="en-US"/>
        </w:rPr>
        <w:t>EHS&amp;CP</w:t>
      </w:r>
      <w:r w:rsidRPr="008C0A7F">
        <w:rPr>
          <w:lang w:eastAsia="en-US"/>
        </w:rPr>
        <w:t xml:space="preserve"> is preliminary </w:t>
      </w:r>
      <w:r>
        <w:rPr>
          <w:lang w:eastAsia="en-US"/>
        </w:rPr>
        <w:t>envisaged</w:t>
      </w:r>
      <w:r w:rsidRPr="008C0A7F">
        <w:rPr>
          <w:lang w:eastAsia="en-US"/>
        </w:rPr>
        <w:t xml:space="preserve"> around</w:t>
      </w:r>
      <w:r>
        <w:rPr>
          <w:lang w:eastAsia="en-US"/>
        </w:rPr>
        <w:t xml:space="preserve"> three</w:t>
      </w:r>
      <w:r w:rsidRPr="008C0A7F">
        <w:rPr>
          <w:lang w:eastAsia="en-US"/>
        </w:rPr>
        <w:t xml:space="preserve"> main </w:t>
      </w:r>
      <w:r w:rsidR="000A3A62">
        <w:rPr>
          <w:lang w:eastAsia="en-US"/>
        </w:rPr>
        <w:t>areas.</w:t>
      </w:r>
    </w:p>
    <w:p w14:paraId="0FFAE2D4" w14:textId="77777777" w:rsidR="000A3A62" w:rsidRDefault="00725EF4" w:rsidP="000A3A62">
      <w:pPr>
        <w:pStyle w:val="MAWPHeadingStyleLevel4"/>
      </w:pPr>
      <w:r w:rsidRPr="005C2637">
        <w:t xml:space="preserve">Support at programme </w:t>
      </w:r>
      <w:r>
        <w:t xml:space="preserve">and </w:t>
      </w:r>
      <w:r w:rsidRPr="005C2637">
        <w:t>project level</w:t>
      </w:r>
      <w:r>
        <w:t>s</w:t>
      </w:r>
    </w:p>
    <w:p w14:paraId="731E91ED" w14:textId="6044B71A" w:rsidR="00725EF4" w:rsidRDefault="00725EF4" w:rsidP="000A3A62">
      <w:pPr>
        <w:pStyle w:val="MAWP-Bodytext"/>
      </w:pPr>
      <w:r w:rsidRPr="001028F9">
        <w:t xml:space="preserve">The </w:t>
      </w:r>
      <w:r w:rsidR="007B1A3A">
        <w:t>EHS&amp;CP</w:t>
      </w:r>
      <w:r w:rsidRPr="001028F9">
        <w:t xml:space="preserve"> will provide advice for developing an overarching and comprehensive strategy on sustainability and circularity at the Programme level.</w:t>
      </w:r>
      <w:r>
        <w:t xml:space="preserve"> To this end, t</w:t>
      </w:r>
      <w:r w:rsidRPr="001028F9">
        <w:t xml:space="preserve">he </w:t>
      </w:r>
      <w:r w:rsidR="007B1A3A">
        <w:t>EHS&amp;CP</w:t>
      </w:r>
      <w:r>
        <w:t xml:space="preserve"> will </w:t>
      </w:r>
      <w:r w:rsidRPr="005C2637">
        <w:t>define and coordinate a package of measures to raise the sustainability and circularity of the projects by integrating learnings, expertise and planning with respect to sustainability and circularity so that the DNSH principle is taken into consideration in the Programme as a whole. This could include the provision of specific guidelines on sustainability and circularity measures in projects, strengthening the impacts and influence of the R&amp;I actions undertaken in the cross-cutting</w:t>
      </w:r>
      <w:r>
        <w:t xml:space="preserve"> issues</w:t>
      </w:r>
      <w:r w:rsidRPr="005C2637">
        <w:t xml:space="preserve"> and supply chain areas across the Programme, and proposing new methodologies and tools to ensure actual sustainable and circular systems</w:t>
      </w:r>
      <w:r>
        <w:t>.</w:t>
      </w:r>
    </w:p>
    <w:p w14:paraId="670454C5" w14:textId="6FF493E4" w:rsidR="000A3A62" w:rsidRDefault="00725EF4" w:rsidP="000A3A62">
      <w:pPr>
        <w:pStyle w:val="MAWPHeadingStyleLevel4"/>
      </w:pPr>
      <w:r w:rsidRPr="004751B2">
        <w:t>Data collec</w:t>
      </w:r>
      <w:r w:rsidR="000A3A62">
        <w:t>tion and assessment</w:t>
      </w:r>
    </w:p>
    <w:p w14:paraId="76D12B01" w14:textId="4A5E889C" w:rsidR="00725EF4" w:rsidRDefault="00725EF4" w:rsidP="000A3A62">
      <w:pPr>
        <w:pStyle w:val="MAWP-Bodytext"/>
      </w:pPr>
      <w:r w:rsidRPr="004751B2">
        <w:t xml:space="preserve">In this regard, the </w:t>
      </w:r>
      <w:r w:rsidR="007B1A3A">
        <w:t>EHS&amp;CP</w:t>
      </w:r>
      <w:r w:rsidRPr="004751B2">
        <w:t xml:space="preserve"> tasks may include the coordination and development</w:t>
      </w:r>
      <w:r>
        <w:t xml:space="preserve"> of </w:t>
      </w:r>
      <w:r w:rsidRPr="004751B2">
        <w:t>a systematic data</w:t>
      </w:r>
      <w:r>
        <w:t xml:space="preserve"> </w:t>
      </w:r>
      <w:r w:rsidRPr="004751B2">
        <w:t xml:space="preserve">collection </w:t>
      </w:r>
      <w:r>
        <w:t>approach</w:t>
      </w:r>
      <w:r w:rsidRPr="004751B2">
        <w:t xml:space="preserve"> to extract valuable information </w:t>
      </w:r>
      <w:r>
        <w:t xml:space="preserve">from projects to provide further guidance to both projects and the </w:t>
      </w:r>
      <w:r w:rsidR="00831A2C">
        <w:t xml:space="preserve">Clean Hydrogen </w:t>
      </w:r>
      <w:r>
        <w:t>JU based on a regular monitoring activity. This could include the development of sustainability and circularity indicators to monitor progress</w:t>
      </w:r>
      <w:r w:rsidRPr="001028F9">
        <w:t xml:space="preserve"> </w:t>
      </w:r>
      <w:r>
        <w:t xml:space="preserve">and a </w:t>
      </w:r>
      <w:r w:rsidRPr="001028F9">
        <w:t>better understanding of environmental and social impacts of products and services</w:t>
      </w:r>
      <w:r>
        <w:t>, i</w:t>
      </w:r>
      <w:r w:rsidRPr="001028F9">
        <w:t>dentifying “hot spots” within the value chain</w:t>
      </w:r>
      <w:r>
        <w:t>s</w:t>
      </w:r>
      <w:r w:rsidRPr="001028F9">
        <w:t xml:space="preserve"> where interventions have the greatest potential to improve </w:t>
      </w:r>
      <w:r>
        <w:t xml:space="preserve">the sustainability and circularity, providing data and </w:t>
      </w:r>
      <w:r w:rsidRPr="001028F9">
        <w:t xml:space="preserve">knowledge to make informed decisions, </w:t>
      </w:r>
      <w:r w:rsidRPr="005C2637">
        <w:t>etc.</w:t>
      </w:r>
    </w:p>
    <w:p w14:paraId="7D4EEFE4" w14:textId="77777777" w:rsidR="000A3A62" w:rsidRDefault="00725EF4" w:rsidP="000A3A62">
      <w:pPr>
        <w:pStyle w:val="MAWPHeadingStyleLevel4"/>
      </w:pPr>
      <w:r w:rsidRPr="004751B2">
        <w:t>Public outreach</w:t>
      </w:r>
    </w:p>
    <w:p w14:paraId="516BB395" w14:textId="5B3F4319" w:rsidR="00725EF4" w:rsidRDefault="000A3A62" w:rsidP="000A3A62">
      <w:pPr>
        <w:pStyle w:val="MAWP-Bodytext"/>
      </w:pPr>
      <w:r>
        <w:t>F</w:t>
      </w:r>
      <w:r w:rsidR="00725EF4" w:rsidRPr="004751B2">
        <w:t>ramed within the context of the intended broad information, activities in this category may include the development of news</w:t>
      </w:r>
      <w:r w:rsidR="00725EF4">
        <w:t>letters, set up events</w:t>
      </w:r>
      <w:r w:rsidR="00725EF4" w:rsidRPr="004751B2">
        <w:t xml:space="preserve"> and a regularly updated webpage, containing for example lessons learned and links to other important hydrogen-sustainable and circular-related information.</w:t>
      </w:r>
    </w:p>
    <w:p w14:paraId="2BD53C76" w14:textId="7D4CFB5B" w:rsidR="00725EF4" w:rsidRDefault="00725EF4" w:rsidP="00E4788A">
      <w:pPr>
        <w:pStyle w:val="MAWP-Bodytext"/>
      </w:pPr>
      <w:r>
        <w:rPr>
          <w:lang w:eastAsia="en-US"/>
        </w:rPr>
        <w:t>Altogether, t</w:t>
      </w:r>
      <w:r w:rsidRPr="008C0A7F">
        <w:rPr>
          <w:lang w:eastAsia="en-US"/>
        </w:rPr>
        <w:t>he</w:t>
      </w:r>
      <w:r>
        <w:rPr>
          <w:lang w:eastAsia="en-US"/>
        </w:rPr>
        <w:t xml:space="preserve"> </w:t>
      </w:r>
      <w:r w:rsidR="007B1A3A">
        <w:rPr>
          <w:lang w:eastAsia="en-US"/>
        </w:rPr>
        <w:t>EHS&amp;CP</w:t>
      </w:r>
      <w:r>
        <w:rPr>
          <w:lang w:eastAsia="en-US"/>
        </w:rPr>
        <w:t xml:space="preserve"> </w:t>
      </w:r>
      <w:r w:rsidRPr="008C0A7F">
        <w:rPr>
          <w:lang w:eastAsia="en-US"/>
        </w:rPr>
        <w:t xml:space="preserve">will provide the </w:t>
      </w:r>
      <w:r>
        <w:rPr>
          <w:lang w:eastAsia="en-US"/>
        </w:rPr>
        <w:t xml:space="preserve">Clean Hydrogen JU </w:t>
      </w:r>
      <w:r w:rsidRPr="008C0A7F">
        <w:rPr>
          <w:lang w:eastAsia="en-US"/>
        </w:rPr>
        <w:t>a unique, practical</w:t>
      </w:r>
      <w:r>
        <w:rPr>
          <w:lang w:eastAsia="en-US"/>
        </w:rPr>
        <w:t xml:space="preserve"> </w:t>
      </w:r>
      <w:r w:rsidRPr="008C0A7F">
        <w:rPr>
          <w:lang w:eastAsia="en-US"/>
        </w:rPr>
        <w:t xml:space="preserve">and direct </w:t>
      </w:r>
      <w:r>
        <w:rPr>
          <w:lang w:eastAsia="en-US"/>
        </w:rPr>
        <w:t>support</w:t>
      </w:r>
      <w:r w:rsidRPr="008C0A7F">
        <w:rPr>
          <w:lang w:eastAsia="en-US"/>
        </w:rPr>
        <w:t xml:space="preserve"> to </w:t>
      </w:r>
      <w:r>
        <w:rPr>
          <w:lang w:eastAsia="en-US"/>
        </w:rPr>
        <w:t>reach the following</w:t>
      </w:r>
      <w:r w:rsidRPr="008C0A7F">
        <w:rPr>
          <w:lang w:eastAsia="en-US"/>
        </w:rPr>
        <w:t xml:space="preserve"> objective: </w:t>
      </w:r>
      <w:r w:rsidRPr="00034412">
        <w:rPr>
          <w:lang w:eastAsia="en-US"/>
        </w:rPr>
        <w:t xml:space="preserve">ensure that </w:t>
      </w:r>
      <w:r>
        <w:rPr>
          <w:lang w:eastAsia="en-US"/>
        </w:rPr>
        <w:t xml:space="preserve">the sustainability and </w:t>
      </w:r>
      <w:r w:rsidRPr="00034412">
        <w:rPr>
          <w:lang w:eastAsia="en-US"/>
        </w:rPr>
        <w:t xml:space="preserve">circularity </w:t>
      </w:r>
      <w:r w:rsidRPr="00034412">
        <w:rPr>
          <w:lang w:eastAsia="en-US"/>
        </w:rPr>
        <w:lastRenderedPageBreak/>
        <w:t>considerations are taken into account in the development and implementation of research and innovation</w:t>
      </w:r>
      <w:r>
        <w:rPr>
          <w:lang w:eastAsia="en-US"/>
        </w:rPr>
        <w:t xml:space="preserve"> actions and are embedded in the Programme as a whole, i</w:t>
      </w:r>
      <w:r w:rsidRPr="004E0593">
        <w:rPr>
          <w:lang w:eastAsia="en-US"/>
        </w:rPr>
        <w:t>ntegrating and balancing the three dimensions of sustainable development: the economic, social and environmental.</w:t>
      </w:r>
    </w:p>
    <w:p w14:paraId="4AA8E5C8" w14:textId="39BC5BD5" w:rsidR="00E34C2F" w:rsidRPr="00B364CB" w:rsidRDefault="00341A2E" w:rsidP="006802D3">
      <w:pPr>
        <w:pStyle w:val="Subtitle"/>
      </w:pPr>
      <w:bookmarkStart w:id="198" w:name="_Ref63444048"/>
      <w:bookmarkStart w:id="199" w:name="_Toc64640583"/>
      <w:bookmarkStart w:id="200" w:name="_Toc93907350"/>
      <w:r w:rsidRPr="00B364CB">
        <w:t>Knowledge management</w:t>
      </w:r>
      <w:bookmarkEnd w:id="198"/>
      <w:bookmarkEnd w:id="199"/>
      <w:bookmarkEnd w:id="200"/>
    </w:p>
    <w:p w14:paraId="26D5A922" w14:textId="67DE49EF" w:rsidR="00F218CD" w:rsidRPr="00B364CB" w:rsidRDefault="00957E38" w:rsidP="006802D3">
      <w:pPr>
        <w:pStyle w:val="MAWPsubtitle2"/>
      </w:pPr>
      <w:bookmarkStart w:id="201" w:name="_Toc64640584"/>
      <w:bookmarkStart w:id="202" w:name="_Toc93907351"/>
      <w:r>
        <w:t xml:space="preserve">(Current) </w:t>
      </w:r>
      <w:r w:rsidR="00F218CD" w:rsidRPr="00B364CB">
        <w:t xml:space="preserve">Knowledge activities in </w:t>
      </w:r>
      <w:bookmarkEnd w:id="201"/>
      <w:r>
        <w:t>previous JUs</w:t>
      </w:r>
      <w:bookmarkEnd w:id="202"/>
    </w:p>
    <w:p w14:paraId="6DC6498D" w14:textId="6544ADBC" w:rsidR="00F218CD" w:rsidRPr="00B364CB" w:rsidRDefault="00F218CD" w:rsidP="00F218CD">
      <w:pPr>
        <w:pStyle w:val="MAWP-Bodytext"/>
      </w:pPr>
      <w:r w:rsidRPr="00B364CB">
        <w:t xml:space="preserve">Knowledge management refers to a range of practices and techniques used by organisations to create, share and exploit knowledge to achieve organisational goals. </w:t>
      </w:r>
      <w:r w:rsidR="00957E38">
        <w:t xml:space="preserve">The predecessor </w:t>
      </w:r>
      <w:r w:rsidRPr="00B364CB">
        <w:t xml:space="preserve">FCH 2 JU, being at the </w:t>
      </w:r>
      <w:r w:rsidR="001F3B60" w:rsidRPr="00B364CB">
        <w:t>centre</w:t>
      </w:r>
      <w:r w:rsidR="00713AF7" w:rsidRPr="00B364CB">
        <w:t xml:space="preserve"> </w:t>
      </w:r>
      <w:r w:rsidRPr="00B364CB">
        <w:t xml:space="preserve">of creation of knowledge for fuel cell and hydrogen technologies, has been implementing knowledge management activities since its beginning. </w:t>
      </w:r>
    </w:p>
    <w:p w14:paraId="6B009C02" w14:textId="58283DE4" w:rsidR="00F218CD" w:rsidRPr="00B364CB" w:rsidRDefault="00F218CD" w:rsidP="00F218CD">
      <w:pPr>
        <w:pStyle w:val="MAWP-Bodytext"/>
      </w:pPr>
      <w:r w:rsidRPr="00B364CB">
        <w:t>The initial focus of these activities was to improve technology monitoring. Initially based on the TEMONAS tool developed under FCH JU</w:t>
      </w:r>
      <w:r w:rsidRPr="00B364CB">
        <w:rPr>
          <w:rStyle w:val="FootnoteReference"/>
        </w:rPr>
        <w:footnoteReference w:id="218"/>
      </w:r>
      <w:r w:rsidRPr="00B364CB">
        <w:t>, technologies began to be monitored in a more structured way, assisting in measuring the progress of the research &amp; innovation and innovation activities of FCH 2 JU Key Performance Indicators (KPI). TEMONAS was subsequently replaced by the platform TRUST</w:t>
      </w:r>
      <w:r w:rsidRPr="00B364CB">
        <w:rPr>
          <w:rStyle w:val="FootnoteReference"/>
        </w:rPr>
        <w:footnoteReference w:id="219"/>
      </w:r>
      <w:r w:rsidRPr="00B364CB">
        <w:t xml:space="preserve">, developed in 2017, which was at the heart of a more elaborate annual data collection exercise from the FCH 2 JU projects. The findings of the data collection exercise were presented in the annual Programme Review Report, focusing mainly </w:t>
      </w:r>
      <w:r w:rsidR="00713AF7" w:rsidRPr="00B364CB">
        <w:t xml:space="preserve">on </w:t>
      </w:r>
      <w:r w:rsidRPr="00B364CB">
        <w:t xml:space="preserve">the added value, effectiveness and techno-economic efficiency of FCH 2 JU projects. </w:t>
      </w:r>
    </w:p>
    <w:p w14:paraId="116DE740" w14:textId="3EEC2505" w:rsidR="00F218CD" w:rsidRPr="00B364CB" w:rsidRDefault="00F218CD" w:rsidP="00F218CD">
      <w:pPr>
        <w:pStyle w:val="MAWP-Bodytext"/>
      </w:pPr>
      <w:r w:rsidRPr="00B364CB">
        <w:t xml:space="preserve">Parallel to the development of TRUST, the knowledge management activities expanded beyond technology monitoring. The FCH 2 JU website </w:t>
      </w:r>
      <w:r w:rsidR="00957E38">
        <w:t xml:space="preserve">has </w:t>
      </w:r>
      <w:r w:rsidRPr="00B364CB">
        <w:t xml:space="preserve">provided </w:t>
      </w:r>
      <w:r w:rsidR="00957E38">
        <w:t xml:space="preserve">already </w:t>
      </w:r>
      <w:r w:rsidRPr="00B364CB">
        <w:t>detailed information on projects, while an internal database following the deployment of fuel cell and hydrogen deployment was developed and maintained. The collaboration with JRC</w:t>
      </w:r>
      <w:r w:rsidR="004247C9" w:rsidRPr="00B364CB">
        <w:t xml:space="preserve"> on knowledge management activities, dating back to FCH JU, was</w:t>
      </w:r>
      <w:r w:rsidRPr="00B364CB">
        <w:t xml:space="preserve"> strengthened further, both via the development of the </w:t>
      </w:r>
      <w:r w:rsidR="00672374" w:rsidRPr="00B364CB">
        <w:t>Tools for Innovation Monitoring (</w:t>
      </w:r>
      <w:r w:rsidRPr="00B364CB">
        <w:t>TIM</w:t>
      </w:r>
      <w:r w:rsidR="00672374" w:rsidRPr="00B364CB">
        <w:t>)</w:t>
      </w:r>
      <w:r w:rsidRPr="00B364CB">
        <w:t xml:space="preserve"> database</w:t>
      </w:r>
      <w:r w:rsidRPr="00B364CB">
        <w:rPr>
          <w:rStyle w:val="FootnoteReference"/>
        </w:rPr>
        <w:footnoteReference w:id="220"/>
      </w:r>
      <w:r w:rsidRPr="00B364CB">
        <w:t xml:space="preserve">, the preparation and publication of reports on the developments in specific technological areas and by supporting the Programme Office on mapping the international state-of-the-art for the various technologies and benchmarking FCH JU activities against it. Moreover, on 15 September 2020, there was the launch of the Fuel Cell Hydrogen Observatory, providing data and up to date information about the entire hydrogen sector. It focuses on technology and market statistics, socio-economic indicators, policy and regulation, as well as financial support. </w:t>
      </w:r>
    </w:p>
    <w:p w14:paraId="404D32BB" w14:textId="453A8E9B" w:rsidR="00F218CD" w:rsidRPr="00B364CB" w:rsidRDefault="00405F45" w:rsidP="006802D3">
      <w:pPr>
        <w:pStyle w:val="MAWPsubtitle2"/>
      </w:pPr>
      <w:bookmarkStart w:id="203" w:name="_Toc64640585"/>
      <w:bookmarkStart w:id="204" w:name="_Ref75991482"/>
      <w:bookmarkStart w:id="205" w:name="_Toc93907352"/>
      <w:r w:rsidRPr="00B364CB">
        <w:t>Clean Hydrogen</w:t>
      </w:r>
      <w:r w:rsidR="008D6304" w:rsidRPr="00B364CB">
        <w:t xml:space="preserve"> </w:t>
      </w:r>
      <w:r w:rsidR="006F3210">
        <w:t xml:space="preserve">as the </w:t>
      </w:r>
      <w:bookmarkEnd w:id="203"/>
      <w:bookmarkEnd w:id="204"/>
      <w:r w:rsidR="006F3210" w:rsidRPr="00B364CB">
        <w:t>Knowledge Hub for Hydrogen in Europe</w:t>
      </w:r>
      <w:bookmarkEnd w:id="205"/>
    </w:p>
    <w:p w14:paraId="4FE38249" w14:textId="0B5B2F96" w:rsidR="00F218CD" w:rsidRPr="00B364CB" w:rsidRDefault="008D6304" w:rsidP="00F218CD">
      <w:pPr>
        <w:pStyle w:val="MAWP-Bodytext"/>
      </w:pPr>
      <w:r w:rsidRPr="00B364CB">
        <w:t xml:space="preserve">The </w:t>
      </w:r>
      <w:r w:rsidR="00831A2C">
        <w:t xml:space="preserve">Clean Hydrogen </w:t>
      </w:r>
      <w:r w:rsidR="00F218CD" w:rsidRPr="00B364CB">
        <w:t xml:space="preserve">JU will build on the wide range of activities and experience acquired so far by </w:t>
      </w:r>
      <w:r w:rsidR="00957E38">
        <w:t xml:space="preserve">the predecessors </w:t>
      </w:r>
      <w:r w:rsidR="00F218CD" w:rsidRPr="00B364CB">
        <w:t>JU</w:t>
      </w:r>
      <w:r w:rsidR="00957E38">
        <w:t>s</w:t>
      </w:r>
      <w:r w:rsidR="00F218CD" w:rsidRPr="00B364CB">
        <w:t xml:space="preserve">, further developing them in order for </w:t>
      </w:r>
      <w:r w:rsidRPr="00B364CB">
        <w:t xml:space="preserve">the </w:t>
      </w:r>
      <w:r w:rsidR="00831A2C">
        <w:t xml:space="preserve">Clean Hydrogen </w:t>
      </w:r>
      <w:r w:rsidR="00F218CD" w:rsidRPr="00B364CB">
        <w:t>JU to better accomplish its objectives and improve its operations</w:t>
      </w:r>
      <w:r w:rsidR="00C26362" w:rsidRPr="00B364CB">
        <w:t xml:space="preserve">. </w:t>
      </w:r>
      <w:r w:rsidR="00F218CD" w:rsidRPr="00B364CB">
        <w:t xml:space="preserve">In particular, the main goals of </w:t>
      </w:r>
      <w:r w:rsidRPr="00B364CB">
        <w:t xml:space="preserve">the </w:t>
      </w:r>
      <w:r w:rsidR="00831A2C">
        <w:t xml:space="preserve">Clean Hydrogen </w:t>
      </w:r>
      <w:r w:rsidR="00F218CD" w:rsidRPr="00B364CB">
        <w:t>JU knowledge activities will be:</w:t>
      </w:r>
    </w:p>
    <w:p w14:paraId="660A1032" w14:textId="69BA5FA1" w:rsidR="00F218CD" w:rsidRPr="00B364CB" w:rsidRDefault="00F218CD" w:rsidP="002256F6">
      <w:pPr>
        <w:pStyle w:val="MAWPBodyTextNumbered"/>
        <w:numPr>
          <w:ilvl w:val="0"/>
          <w:numId w:val="39"/>
        </w:numPr>
      </w:pPr>
      <w:r w:rsidRPr="00B364CB">
        <w:t xml:space="preserve">Support the </w:t>
      </w:r>
      <w:r w:rsidR="00C26362" w:rsidRPr="00B364CB">
        <w:t>collection</w:t>
      </w:r>
      <w:r w:rsidRPr="00B364CB">
        <w:t xml:space="preserve"> and diffusion of high quality new knowledge; </w:t>
      </w:r>
    </w:p>
    <w:p w14:paraId="2B1C3AA9" w14:textId="703F2B35" w:rsidR="00F218CD" w:rsidRPr="00B364CB" w:rsidRDefault="00F218CD" w:rsidP="002256F6">
      <w:pPr>
        <w:pStyle w:val="MAWPBodyTextNumbered"/>
        <w:numPr>
          <w:ilvl w:val="0"/>
          <w:numId w:val="39"/>
        </w:numPr>
      </w:pPr>
      <w:r w:rsidRPr="00B364CB">
        <w:t xml:space="preserve">Contribute to the </w:t>
      </w:r>
      <w:r w:rsidR="0051748F">
        <w:t xml:space="preserve">implementation of the </w:t>
      </w:r>
      <w:r w:rsidR="00883496" w:rsidRPr="00B364CB">
        <w:t xml:space="preserve">European </w:t>
      </w:r>
      <w:r w:rsidRPr="00B364CB">
        <w:t>Clean Hydrogen Strategy;</w:t>
      </w:r>
    </w:p>
    <w:p w14:paraId="75033FD4" w14:textId="426976C2" w:rsidR="00F218CD" w:rsidRPr="00B364CB" w:rsidRDefault="00F218CD" w:rsidP="002256F6">
      <w:pPr>
        <w:pStyle w:val="MAWPBodyTextNumbered"/>
        <w:numPr>
          <w:ilvl w:val="0"/>
          <w:numId w:val="39"/>
        </w:numPr>
      </w:pPr>
      <w:r w:rsidRPr="00B364CB">
        <w:t>Strengthen the knowledge capacity of hydrogen value chain actors</w:t>
      </w:r>
      <w:r w:rsidR="0051748F">
        <w:t xml:space="preserve"> through data collection and knowledge collection</w:t>
      </w:r>
      <w:r w:rsidRPr="00B364CB">
        <w:t xml:space="preserve">; </w:t>
      </w:r>
    </w:p>
    <w:p w14:paraId="18B4B170" w14:textId="62FDB688" w:rsidR="00F218CD" w:rsidRPr="00B364CB" w:rsidRDefault="00F218CD" w:rsidP="002256F6">
      <w:pPr>
        <w:pStyle w:val="MAWPBodyTextNumbered"/>
        <w:numPr>
          <w:ilvl w:val="0"/>
          <w:numId w:val="39"/>
        </w:numPr>
      </w:pPr>
      <w:r w:rsidRPr="00B364CB">
        <w:lastRenderedPageBreak/>
        <w:t>Support evidence-based implementation of Union policies;</w:t>
      </w:r>
    </w:p>
    <w:p w14:paraId="6707CE42" w14:textId="5B3B1C47" w:rsidR="00F218CD" w:rsidRPr="00B364CB" w:rsidRDefault="00F218CD" w:rsidP="002256F6">
      <w:pPr>
        <w:pStyle w:val="MAWPBodyTextNumbered"/>
        <w:numPr>
          <w:ilvl w:val="0"/>
          <w:numId w:val="39"/>
        </w:numPr>
      </w:pPr>
      <w:r w:rsidRPr="00B364CB">
        <w:t>Monitor</w:t>
      </w:r>
      <w:r w:rsidRPr="00B364CB">
        <w:rPr>
          <w:noProof/>
        </w:rPr>
        <w:t xml:space="preserve"> progress towards the achievement of the objectives</w:t>
      </w:r>
      <w:r w:rsidRPr="00B364CB">
        <w:t xml:space="preserve"> of the </w:t>
      </w:r>
      <w:r w:rsidR="00831A2C">
        <w:t xml:space="preserve">Clean Hydrogen </w:t>
      </w:r>
      <w:r w:rsidRPr="00B364CB">
        <w:t>JU objectives and its technology KPI;</w:t>
      </w:r>
    </w:p>
    <w:p w14:paraId="31809923" w14:textId="5EE0BAA2" w:rsidR="00F218CD" w:rsidRPr="00B364CB" w:rsidRDefault="00F218CD" w:rsidP="002256F6">
      <w:pPr>
        <w:pStyle w:val="MAWPBodyTextNumbered"/>
        <w:numPr>
          <w:ilvl w:val="0"/>
          <w:numId w:val="39"/>
        </w:numPr>
      </w:pPr>
      <w:r w:rsidRPr="00B364CB">
        <w:t xml:space="preserve">Improve </w:t>
      </w:r>
      <w:r w:rsidR="00831A2C">
        <w:t xml:space="preserve">Clean Hydrogen </w:t>
      </w:r>
      <w:r w:rsidRPr="00B364CB">
        <w:t>JU</w:t>
      </w:r>
      <w:r w:rsidR="008D6304" w:rsidRPr="00B364CB">
        <w:t>’s</w:t>
      </w:r>
      <w:r w:rsidRPr="00B364CB">
        <w:t xml:space="preserve"> operational and planning capacity;</w:t>
      </w:r>
    </w:p>
    <w:p w14:paraId="4C98A514" w14:textId="42AEF869" w:rsidR="00F218CD" w:rsidRPr="00B364CB" w:rsidRDefault="00F218CD" w:rsidP="00F218CD">
      <w:pPr>
        <w:pStyle w:val="MAWP-Bodytext"/>
      </w:pPr>
      <w:r w:rsidRPr="00B364CB">
        <w:t>The ultimate goal of this Strategy is to gradually turn the Clean Hydrogen</w:t>
      </w:r>
      <w:r w:rsidR="008D6304" w:rsidRPr="00B364CB">
        <w:t xml:space="preserve"> Joint Undertaking</w:t>
      </w:r>
      <w:r w:rsidRPr="00B364CB">
        <w:t xml:space="preserve"> into the Knowledge Hub for Hydrogen in Europe</w:t>
      </w:r>
      <w:r w:rsidR="00ED21A4" w:rsidRPr="00B364CB">
        <w:t>,</w:t>
      </w:r>
      <w:r w:rsidRPr="00B364CB">
        <w:t xml:space="preserve"> and the Programme Office </w:t>
      </w:r>
      <w:r w:rsidR="00ED21A4" w:rsidRPr="00B364CB">
        <w:t xml:space="preserve">into </w:t>
      </w:r>
      <w:r w:rsidRPr="00B364CB">
        <w:t>a knowledge intensive organisation.</w:t>
      </w:r>
    </w:p>
    <w:p w14:paraId="1701CE87" w14:textId="2D937774" w:rsidR="00F218CD" w:rsidRPr="00B364CB" w:rsidRDefault="00F218CD" w:rsidP="00F218CD">
      <w:pPr>
        <w:pStyle w:val="MAWP-Bodytext"/>
      </w:pPr>
      <w:r w:rsidRPr="00B364CB">
        <w:t xml:space="preserve">The strategy for turning the </w:t>
      </w:r>
      <w:r w:rsidR="00831A2C">
        <w:t xml:space="preserve">Clean Hydrogen </w:t>
      </w:r>
      <w:r w:rsidRPr="00B364CB">
        <w:t>JU into a hydrogen Knowledge Hub will be based on the following pillars:</w:t>
      </w:r>
    </w:p>
    <w:p w14:paraId="3B5CD7DA" w14:textId="77777777" w:rsidR="00F218CD" w:rsidRPr="00B364CB" w:rsidRDefault="00F218CD" w:rsidP="005B7353">
      <w:pPr>
        <w:pStyle w:val="MAWPHeadingStyleLevel4"/>
      </w:pPr>
      <w:r w:rsidRPr="00B364CB">
        <w:t>Annual Data Collection Exercise and Programme Review Report</w:t>
      </w:r>
    </w:p>
    <w:p w14:paraId="73D1929F" w14:textId="44F26C95" w:rsidR="00F218CD" w:rsidRPr="00B364CB" w:rsidRDefault="00F218CD" w:rsidP="00F218CD">
      <w:pPr>
        <w:pStyle w:val="MAWP-Bodytext"/>
      </w:pPr>
      <w:r w:rsidRPr="00B364CB">
        <w:t xml:space="preserve">The </w:t>
      </w:r>
      <w:r w:rsidR="00795159" w:rsidRPr="00B364CB">
        <w:t>annual</w:t>
      </w:r>
      <w:r w:rsidRPr="00B364CB">
        <w:t xml:space="preserve"> data collection exercise, monitoring the progress towards the technology KPI</w:t>
      </w:r>
      <w:r w:rsidR="00ED21A4" w:rsidRPr="00B364CB">
        <w:t xml:space="preserve"> targets</w:t>
      </w:r>
      <w:r w:rsidRPr="00B364CB">
        <w:t xml:space="preserve">, and the </w:t>
      </w:r>
      <w:r w:rsidR="00795159" w:rsidRPr="00B364CB">
        <w:t xml:space="preserve">Programme Review </w:t>
      </w:r>
      <w:r w:rsidRPr="00B364CB">
        <w:t>report, presenting the findings of the exercise,</w:t>
      </w:r>
      <w:r w:rsidR="00795159" w:rsidRPr="00B364CB">
        <w:t xml:space="preserve"> have </w:t>
      </w:r>
      <w:r w:rsidR="00ED5AB0" w:rsidRPr="00B364CB">
        <w:t>proven to be very successful and will be continued as a main source of knowledge for the successor of FCH 2 JU</w:t>
      </w:r>
      <w:r w:rsidRPr="00B364CB">
        <w:t>. An effort will be made to reduce the duration of the exercise</w:t>
      </w:r>
      <w:r w:rsidR="00795159" w:rsidRPr="00B364CB">
        <w:t>, starting from 2021</w:t>
      </w:r>
      <w:r w:rsidRPr="00B364CB">
        <w:t>, bring</w:t>
      </w:r>
      <w:r w:rsidR="00795159" w:rsidRPr="00B364CB">
        <w:t>ing</w:t>
      </w:r>
      <w:r w:rsidRPr="00B364CB">
        <w:t xml:space="preserve"> the reporting period </w:t>
      </w:r>
      <w:r w:rsidR="00ED21A4" w:rsidRPr="00B364CB">
        <w:t xml:space="preserve">forward </w:t>
      </w:r>
      <w:r w:rsidRPr="00B364CB">
        <w:t>and enrich</w:t>
      </w:r>
      <w:r w:rsidR="00795159" w:rsidRPr="00B364CB">
        <w:t>ing</w:t>
      </w:r>
      <w:r w:rsidRPr="00B364CB">
        <w:t xml:space="preserve"> the report with more information valuable to its readers.</w:t>
      </w:r>
    </w:p>
    <w:p w14:paraId="49F2C217" w14:textId="52255261" w:rsidR="00F218CD" w:rsidRPr="00B364CB" w:rsidRDefault="00F218CD" w:rsidP="005B7353">
      <w:pPr>
        <w:pStyle w:val="MAWPHeadingStyleLevel4"/>
      </w:pPr>
      <w:r w:rsidRPr="00B364CB">
        <w:t>Monitoring hydrogen technolog</w:t>
      </w:r>
      <w:r w:rsidR="00E61F0D" w:rsidRPr="00B364CB">
        <w:t>ies</w:t>
      </w:r>
      <w:r w:rsidRPr="00B364CB">
        <w:t xml:space="preserve"> across EU programmes and partnerships </w:t>
      </w:r>
    </w:p>
    <w:p w14:paraId="04E279EF" w14:textId="37B7A866" w:rsidR="000454E0" w:rsidRPr="00B364CB" w:rsidRDefault="00F218CD" w:rsidP="00885001">
      <w:pPr>
        <w:pStyle w:val="MAWP-Bodytext"/>
      </w:pPr>
      <w:r w:rsidRPr="00B364CB">
        <w:t xml:space="preserve">The </w:t>
      </w:r>
      <w:r w:rsidR="00831A2C">
        <w:t xml:space="preserve">Clean Hydrogen </w:t>
      </w:r>
      <w:r w:rsidRPr="00B364CB">
        <w:t xml:space="preserve">JU is mandated to keep the key competence knowledge for hydrogen and fuel cell technology. Hydrogen topics (and related projects) are addressed in various EU programmes and partnerships under Horizon Europe. </w:t>
      </w:r>
      <w:r w:rsidR="008D6304" w:rsidRPr="00B364CB">
        <w:t xml:space="preserve">The </w:t>
      </w:r>
      <w:r w:rsidR="00831A2C">
        <w:t xml:space="preserve">Clean Hydrogen </w:t>
      </w:r>
      <w:r w:rsidRPr="00B364CB">
        <w:t xml:space="preserve">JU will examine ways to monitor </w:t>
      </w:r>
      <w:r w:rsidR="000454E0">
        <w:t xml:space="preserve">and assess </w:t>
      </w:r>
      <w:r w:rsidRPr="00B364CB">
        <w:t>technology progress and deployment for all these</w:t>
      </w:r>
      <w:r w:rsidR="00ED5AB0" w:rsidRPr="00B364CB">
        <w:t xml:space="preserve"> projects</w:t>
      </w:r>
      <w:r w:rsidRPr="00B364CB">
        <w:t>, integrating this information in one EU hydrogen database.</w:t>
      </w:r>
      <w:r w:rsidR="00885001" w:rsidRPr="00B364CB">
        <w:t xml:space="preserve"> The </w:t>
      </w:r>
      <w:r w:rsidR="001545AB">
        <w:t>ultimate goal</w:t>
      </w:r>
      <w:r w:rsidR="00885001" w:rsidRPr="00B364CB">
        <w:t xml:space="preserve"> would be that all projects relevant to hydrogen participate in the </w:t>
      </w:r>
      <w:r w:rsidR="00831A2C">
        <w:t xml:space="preserve">Clean Hydrogen </w:t>
      </w:r>
      <w:r w:rsidR="00885001" w:rsidRPr="00B364CB">
        <w:t xml:space="preserve">JU’s annual data collection exercise, thus </w:t>
      </w:r>
      <w:r w:rsidR="00ED21A4" w:rsidRPr="00B364CB">
        <w:t>providing an up to date</w:t>
      </w:r>
      <w:r w:rsidR="00885001" w:rsidRPr="00B364CB">
        <w:t xml:space="preserve"> and complete database of </w:t>
      </w:r>
      <w:r w:rsidR="00ED21A4" w:rsidRPr="00B364CB">
        <w:t>the output from</w:t>
      </w:r>
      <w:r w:rsidR="00885001" w:rsidRPr="00B364CB">
        <w:t xml:space="preserve"> all European funded projects.</w:t>
      </w:r>
    </w:p>
    <w:p w14:paraId="635E2F59" w14:textId="3E66DDDA" w:rsidR="00F218CD" w:rsidRPr="00B364CB" w:rsidRDefault="00F218CD" w:rsidP="005B7353">
      <w:pPr>
        <w:pStyle w:val="MAWPHeadingStyleLevel4"/>
      </w:pPr>
      <w:r w:rsidRPr="00B364CB">
        <w:t>Knowledge Management Tools</w:t>
      </w:r>
    </w:p>
    <w:p w14:paraId="2F4B67E3" w14:textId="06133708" w:rsidR="00F218CD" w:rsidRPr="00B364CB" w:rsidRDefault="00F218CD" w:rsidP="00F218CD">
      <w:pPr>
        <w:pStyle w:val="MAWP-Bodytext"/>
      </w:pPr>
      <w:r w:rsidRPr="00B364CB">
        <w:t>The Programme Office will continue to use and further develop the tools used in FCH 2 JU to collect and monitor information, most notably the data collection platform TRUST and the TIM tool developed by JRC. These will be complemented by the tools provided by DG RTD</w:t>
      </w:r>
      <w:r w:rsidR="00ED5AB0" w:rsidRPr="00B364CB">
        <w:t xml:space="preserve"> (CORDA, COMPASS, CORTEX, etc)</w:t>
      </w:r>
      <w:r w:rsidRPr="00B364CB">
        <w:t>, as well as the databases and tools developed internally to better manage information for supporting the operations of the Programme Office.</w:t>
      </w:r>
    </w:p>
    <w:p w14:paraId="7ADD4CBF" w14:textId="7FE4661C" w:rsidR="00F218CD" w:rsidRPr="00B364CB" w:rsidRDefault="00F218CD" w:rsidP="00F218CD">
      <w:pPr>
        <w:pStyle w:val="MAWP-Bodytext"/>
      </w:pPr>
      <w:r w:rsidRPr="00B364CB">
        <w:t>As all the above-mentioned tools are independent and accessed separately, it is envisaged that a new knowledge management tool should be introduced, either replacing or integrating the existing tools and further enhancing their capacity. Such a tool would include, in the same platform, a data collection tool (which could also be TRUST), an extended database fed by many different source</w:t>
      </w:r>
      <w:r w:rsidR="00ED21A4" w:rsidRPr="00B364CB">
        <w:t>s</w:t>
      </w:r>
      <w:r w:rsidR="00D5609B" w:rsidRPr="00B364CB">
        <w:t xml:space="preserve">, </w:t>
      </w:r>
      <w:r w:rsidRPr="00B364CB">
        <w:t>analysis capabilities and strong reporting and visualisation capabilities</w:t>
      </w:r>
      <w:r w:rsidR="00C83F14" w:rsidRPr="00B364CB">
        <w:t xml:space="preserve">. </w:t>
      </w:r>
    </w:p>
    <w:p w14:paraId="16D64110" w14:textId="77777777" w:rsidR="00F218CD" w:rsidRPr="00B364CB" w:rsidRDefault="00F218CD" w:rsidP="005B7353">
      <w:pPr>
        <w:pStyle w:val="MAWPHeadingStyleLevel4"/>
      </w:pPr>
      <w:r w:rsidRPr="00B364CB">
        <w:t>Fuel Cell and Hydrogen Observatory (FCHO)</w:t>
      </w:r>
    </w:p>
    <w:p w14:paraId="348AB816" w14:textId="1326F500" w:rsidR="00F218CD" w:rsidRPr="00B364CB" w:rsidRDefault="00F218CD" w:rsidP="00F218CD">
      <w:pPr>
        <w:pStyle w:val="MAWP-Bodytext"/>
      </w:pPr>
      <w:r w:rsidRPr="00B364CB">
        <w:t xml:space="preserve">The FCHO shall remain as the main portal for European hydrogen data. Considering the development of similar observatories and knowledge hubs by other international organisations, there will be </w:t>
      </w:r>
      <w:r w:rsidR="00894D03" w:rsidRPr="00B364CB">
        <w:t>initiatives</w:t>
      </w:r>
      <w:r w:rsidRPr="00B364CB">
        <w:t xml:space="preserve"> to collaborate with them</w:t>
      </w:r>
      <w:r w:rsidR="000525AF" w:rsidRPr="00B364CB">
        <w:t>.</w:t>
      </w:r>
      <w:r w:rsidR="00894D03" w:rsidRPr="00B364CB">
        <w:t xml:space="preserve"> </w:t>
      </w:r>
    </w:p>
    <w:p w14:paraId="7E68BCBA" w14:textId="318CB4CE" w:rsidR="00894D03" w:rsidRPr="00B364CB" w:rsidRDefault="00894D03" w:rsidP="00F218CD">
      <w:pPr>
        <w:pStyle w:val="MAWP-Bodytext"/>
      </w:pPr>
      <w:r w:rsidRPr="00B364CB">
        <w:t xml:space="preserve">At the same time FCHO will be further populated with data, aiming to fill in current knowledge gaps. Data quality controls shall be further enhanced, to ensure FCHO provides a robust set of </w:t>
      </w:r>
      <w:r w:rsidRPr="00B364CB">
        <w:lastRenderedPageBreak/>
        <w:t>data, allowing it to become the reference point for European hydrogen data.</w:t>
      </w:r>
    </w:p>
    <w:p w14:paraId="48C50373" w14:textId="3178899E" w:rsidR="00F218CD" w:rsidRPr="00B364CB" w:rsidRDefault="00831A2C" w:rsidP="005B7353">
      <w:pPr>
        <w:pStyle w:val="MAWPHeadingStyleLevel4"/>
      </w:pPr>
      <w:r>
        <w:t xml:space="preserve">Clean Hydrogen </w:t>
      </w:r>
      <w:r w:rsidR="00F52583" w:rsidRPr="00B364CB">
        <w:t>JU</w:t>
      </w:r>
      <w:r w:rsidR="00F218CD" w:rsidRPr="00B364CB">
        <w:t xml:space="preserve"> website</w:t>
      </w:r>
    </w:p>
    <w:p w14:paraId="49223C5A" w14:textId="34514958" w:rsidR="00F218CD" w:rsidRPr="00931872" w:rsidRDefault="00F218CD" w:rsidP="00F218CD">
      <w:pPr>
        <w:pStyle w:val="MAWP-Bodytext"/>
      </w:pPr>
      <w:r w:rsidRPr="00B364CB">
        <w:t xml:space="preserve">The </w:t>
      </w:r>
      <w:r w:rsidR="00831A2C">
        <w:t xml:space="preserve">Clean Hydrogen </w:t>
      </w:r>
      <w:r w:rsidR="00F52583" w:rsidRPr="00B364CB">
        <w:t>JU</w:t>
      </w:r>
      <w:r w:rsidRPr="00B364CB">
        <w:t xml:space="preserve"> website will be enriched with more information concerning the </w:t>
      </w:r>
      <w:r w:rsidR="00831A2C">
        <w:t xml:space="preserve">Clean Hydrogen </w:t>
      </w:r>
      <w:r w:rsidRPr="00B364CB">
        <w:t>JU’s projects, technology developments, etc. Combined with FCHO, the two websites should become a one stop</w:t>
      </w:r>
      <w:r w:rsidR="00B35157" w:rsidRPr="00B364CB">
        <w:t xml:space="preserve"> </w:t>
      </w:r>
      <w:r w:rsidRPr="00B364CB">
        <w:t xml:space="preserve">shop for all information related to clean hydrogen in </w:t>
      </w:r>
      <w:r w:rsidRPr="00931872">
        <w:t>Europe.</w:t>
      </w:r>
    </w:p>
    <w:p w14:paraId="6B1BC605" w14:textId="24959F1F" w:rsidR="00EE3725" w:rsidRPr="00931872" w:rsidRDefault="00EE3725" w:rsidP="005B7353">
      <w:pPr>
        <w:pStyle w:val="MAWPHeadingStyleLevel4"/>
      </w:pPr>
      <w:r w:rsidRPr="00931872">
        <w:t>Feedback to Policy</w:t>
      </w:r>
    </w:p>
    <w:p w14:paraId="7B2FC01B" w14:textId="1334C76C" w:rsidR="00931872" w:rsidRDefault="00931872" w:rsidP="00931872">
      <w:pPr>
        <w:pStyle w:val="MAWP-Bodytext"/>
      </w:pPr>
      <w:r w:rsidRPr="00931872">
        <w:t>The JU will identify</w:t>
      </w:r>
      <w:r>
        <w:t xml:space="preserve"> and report, in line with the common policy feedback framework and with strategies and actions to support the European Green Deal objectives, the relevant knowledge acquired from the management of research and innovation projects and their results to the Commission to serve as input for monitoring, evaluating and rectifying, where necessary, existing policy measures or shaping new policy initiatives and decisions.</w:t>
      </w:r>
    </w:p>
    <w:p w14:paraId="2E3C43C2" w14:textId="037E8CB2" w:rsidR="00931872" w:rsidRDefault="00931872" w:rsidP="00931872">
      <w:pPr>
        <w:pStyle w:val="MAWP-Bodytext"/>
      </w:pPr>
      <w:r>
        <w:t xml:space="preserve">Moreover, it will provide the Commission with the necessary technical, scientific and administrative support to carry out its tasks for the purposes of ensuring the proper functioning and development in the Union of the hydrogen sector. </w:t>
      </w:r>
    </w:p>
    <w:p w14:paraId="41721FE9" w14:textId="185BC696" w:rsidR="00F218CD" w:rsidRPr="00B364CB" w:rsidRDefault="00F218CD" w:rsidP="005B7353">
      <w:pPr>
        <w:pStyle w:val="MAWPHeadingStyleLevel4"/>
      </w:pPr>
      <w:r w:rsidRPr="00B364CB">
        <w:t>Support from JRC</w:t>
      </w:r>
    </w:p>
    <w:p w14:paraId="523F17F8" w14:textId="0A369ED2" w:rsidR="00F218CD" w:rsidRPr="00B364CB" w:rsidRDefault="00F218CD" w:rsidP="00F218CD">
      <w:pPr>
        <w:pStyle w:val="MAWP-Bodytext"/>
      </w:pPr>
      <w:r w:rsidRPr="00B364CB">
        <w:t xml:space="preserve">JRC will continue being an important partner to </w:t>
      </w:r>
      <w:r w:rsidR="00334945" w:rsidRPr="00B364CB">
        <w:t xml:space="preserve">the </w:t>
      </w:r>
      <w:r w:rsidR="007B70F5">
        <w:t xml:space="preserve">Clean Hydrogen </w:t>
      </w:r>
      <w:r w:rsidRPr="00B364CB">
        <w:t xml:space="preserve">JU, supporting all knowledge activities, as described in Section </w:t>
      </w:r>
      <w:r w:rsidR="00334945" w:rsidRPr="00B364CB">
        <w:fldChar w:fldCharType="begin"/>
      </w:r>
      <w:r w:rsidR="00334945" w:rsidRPr="00B364CB">
        <w:instrText xml:space="preserve"> REF _Ref63887677 \r \h </w:instrText>
      </w:r>
      <w:r w:rsidR="00334945" w:rsidRPr="00B364CB">
        <w:fldChar w:fldCharType="separate"/>
      </w:r>
      <w:r w:rsidR="00331EBC">
        <w:t>4.2</w:t>
      </w:r>
      <w:r w:rsidR="00334945" w:rsidRPr="00B364CB">
        <w:fldChar w:fldCharType="end"/>
      </w:r>
      <w:r w:rsidR="00334945" w:rsidRPr="00B364CB">
        <w:t>.</w:t>
      </w:r>
    </w:p>
    <w:p w14:paraId="59875544" w14:textId="176B31E8" w:rsidR="00F218CD" w:rsidRPr="00B364CB" w:rsidRDefault="00F218CD" w:rsidP="005B7353">
      <w:pPr>
        <w:pStyle w:val="MAWPHeadingStyleLevel4"/>
      </w:pPr>
      <w:r w:rsidRPr="00B364CB">
        <w:t xml:space="preserve">Co-operation </w:t>
      </w:r>
      <w:r w:rsidR="00E76BB3">
        <w:t xml:space="preserve">in terms of knowledge management </w:t>
      </w:r>
      <w:r w:rsidRPr="00B364CB">
        <w:t>with Member States and Hydrogen Valleys</w:t>
      </w:r>
    </w:p>
    <w:p w14:paraId="37DEF92E" w14:textId="61C9060B" w:rsidR="00F218CD" w:rsidRPr="00B364CB" w:rsidRDefault="00F218CD" w:rsidP="00F218CD">
      <w:pPr>
        <w:pStyle w:val="MAWP-Bodytext"/>
      </w:pPr>
      <w:r w:rsidRPr="00B364CB">
        <w:t xml:space="preserve">Co-operation with Member States and Hydrogen Valleys will be vital in ensuring the Knowledge Hub goal of </w:t>
      </w:r>
      <w:r w:rsidR="00334945" w:rsidRPr="00B364CB">
        <w:t xml:space="preserve">the </w:t>
      </w:r>
      <w:r w:rsidR="007B70F5">
        <w:t xml:space="preserve">Clean Hydrogen </w:t>
      </w:r>
      <w:r w:rsidRPr="00B364CB">
        <w:t xml:space="preserve">JU. There will be significant mutual benefits by exchanging information on hydrogen activities and technology developments. Moreover, the </w:t>
      </w:r>
      <w:r w:rsidR="007B70F5">
        <w:t xml:space="preserve">Clean Hydrogen </w:t>
      </w:r>
      <w:r w:rsidRPr="00B364CB">
        <w:t>JU will provide the opportunity to the Member States and Hydrogen Valleys to present more widely their activities</w:t>
      </w:r>
      <w:r w:rsidR="001545AB">
        <w:t>, mainly through the State Representative Group (SRG)</w:t>
      </w:r>
      <w:r w:rsidRPr="00B364CB">
        <w:t>. To achieve this</w:t>
      </w:r>
      <w:r w:rsidR="00E76BB3">
        <w:t>,</w:t>
      </w:r>
      <w:r w:rsidRPr="00B364CB">
        <w:t xml:space="preserve"> it will </w:t>
      </w:r>
      <w:r w:rsidR="00E76BB3">
        <w:t xml:space="preserve">also </w:t>
      </w:r>
      <w:r w:rsidRPr="00B364CB">
        <w:t xml:space="preserve">be </w:t>
      </w:r>
      <w:r w:rsidR="001545AB">
        <w:t>useful</w:t>
      </w:r>
      <w:r w:rsidR="001545AB" w:rsidRPr="00B364CB">
        <w:t xml:space="preserve"> </w:t>
      </w:r>
      <w:r w:rsidRPr="00B364CB">
        <w:t xml:space="preserve">to develop links with the associated organisations, in charge of implementing national hydrogen strategies. The Hydrogen Valley </w:t>
      </w:r>
      <w:r w:rsidR="006A3A6A">
        <w:t>Platform</w:t>
      </w:r>
      <w:r w:rsidR="00931F34" w:rsidRPr="00B364CB">
        <w:t>,</w:t>
      </w:r>
      <w:r w:rsidRPr="00B364CB">
        <w:rPr>
          <w:rStyle w:val="FootnoteReference"/>
        </w:rPr>
        <w:footnoteReference w:id="221"/>
      </w:r>
      <w:r w:rsidR="00931F34" w:rsidRPr="00B364CB">
        <w:t xml:space="preserve"> </w:t>
      </w:r>
      <w:r w:rsidRPr="00B364CB">
        <w:t>co-funded by FCH</w:t>
      </w:r>
      <w:r w:rsidR="00931F34" w:rsidRPr="00B364CB">
        <w:t xml:space="preserve"> 2</w:t>
      </w:r>
      <w:r w:rsidR="00334945" w:rsidRPr="00B364CB">
        <w:t xml:space="preserve"> </w:t>
      </w:r>
      <w:r w:rsidRPr="00B364CB">
        <w:t>JU and Mission Innovation</w:t>
      </w:r>
      <w:r w:rsidR="00931F34" w:rsidRPr="00B364CB">
        <w:t>,</w:t>
      </w:r>
      <w:r w:rsidRPr="00B364CB">
        <w:t xml:space="preserve"> will be further developed to foster exchange of know-how and best practices at the European and international level.</w:t>
      </w:r>
    </w:p>
    <w:p w14:paraId="000A2DA3" w14:textId="3AA5D3A1" w:rsidR="00F218CD" w:rsidRPr="00B364CB" w:rsidRDefault="00F218CD" w:rsidP="005B7353">
      <w:pPr>
        <w:pStyle w:val="MAWPHeadingStyleLevel4"/>
      </w:pPr>
      <w:r w:rsidRPr="00B364CB">
        <w:t>Targeted studies</w:t>
      </w:r>
      <w:r w:rsidR="006A3A6A">
        <w:t>/roadmaps</w:t>
      </w:r>
    </w:p>
    <w:p w14:paraId="2185641D" w14:textId="7769741E" w:rsidR="00F218CD" w:rsidRPr="00B364CB" w:rsidRDefault="00F218CD" w:rsidP="00F218CD">
      <w:pPr>
        <w:pStyle w:val="MAWP-Bodytext"/>
      </w:pPr>
      <w:r w:rsidRPr="00B364CB">
        <w:t>The knowledge spectr</w:t>
      </w:r>
      <w:r w:rsidR="004247C9" w:rsidRPr="00B364CB">
        <w:t>um</w:t>
      </w:r>
      <w:r w:rsidRPr="00B364CB">
        <w:t xml:space="preserve"> shall be complemented with studies, focusing on the areas where gaps are identified.</w:t>
      </w:r>
      <w:r w:rsidR="000454E0">
        <w:t xml:space="preserve"> One particular area where studies will be required, mandated by the SBA</w:t>
      </w:r>
      <w:r w:rsidR="000454E0">
        <w:rPr>
          <w:rStyle w:val="FootnoteReference"/>
        </w:rPr>
        <w:footnoteReference w:id="222"/>
      </w:r>
      <w:r w:rsidR="000454E0">
        <w:t xml:space="preserve">, concern the assessment and monitoring of </w:t>
      </w:r>
      <w:r w:rsidR="000454E0" w:rsidRPr="000454E0">
        <w:t>technological, economic and societal barriers to market entry, including in emerging hydrogen markets</w:t>
      </w:r>
      <w:r w:rsidR="000454E0">
        <w:t>.</w:t>
      </w:r>
    </w:p>
    <w:p w14:paraId="155E7239" w14:textId="481597CF" w:rsidR="00F218CD" w:rsidRPr="00B364CB" w:rsidRDefault="00F218CD" w:rsidP="005B7353">
      <w:pPr>
        <w:pStyle w:val="MAWPHeadingStyleLevel4"/>
      </w:pPr>
      <w:r w:rsidRPr="00B364CB">
        <w:t>Sharing public data, while guarding confidential data</w:t>
      </w:r>
    </w:p>
    <w:p w14:paraId="6350B2F8" w14:textId="28BE7900" w:rsidR="00F218CD" w:rsidRPr="00B364CB" w:rsidRDefault="00F218CD" w:rsidP="00F218CD">
      <w:pPr>
        <w:pStyle w:val="MAWP-Bodytext"/>
      </w:pPr>
      <w:r w:rsidRPr="00B364CB">
        <w:t xml:space="preserve">The </w:t>
      </w:r>
      <w:r w:rsidR="007B70F5">
        <w:t xml:space="preserve">Clean Hydrogen </w:t>
      </w:r>
      <w:r w:rsidRPr="00B364CB">
        <w:t xml:space="preserve">JU is accumulating significant knowledge from its projects and activities, sharing of which could benefit the whole hydrogen community. Considering the increasing interest in hydrogen related technology data, the </w:t>
      </w:r>
      <w:r w:rsidR="007B70F5">
        <w:t xml:space="preserve">Clean Hydrogen </w:t>
      </w:r>
      <w:r w:rsidRPr="00B364CB">
        <w:t xml:space="preserve">JU will investigate ways to make non-confidential technology and deployment data </w:t>
      </w:r>
      <w:r w:rsidR="00931F34" w:rsidRPr="00B364CB">
        <w:t xml:space="preserve">from hydrogen projects </w:t>
      </w:r>
      <w:r w:rsidRPr="00B364CB">
        <w:t>increasingly available to the stakeholders and public</w:t>
      </w:r>
      <w:r w:rsidR="00931F34" w:rsidRPr="00B364CB">
        <w:t>, complementing the ones available via FCHO</w:t>
      </w:r>
      <w:r w:rsidRPr="00B364CB">
        <w:t xml:space="preserve">. At the same time it will continue guarding all confidential data, as declared by the beneficiaries of its </w:t>
      </w:r>
      <w:r w:rsidRPr="00B364CB">
        <w:lastRenderedPageBreak/>
        <w:t>funding, protecting the trust relationship built between the partnership and its beneficiaries.</w:t>
      </w:r>
    </w:p>
    <w:p w14:paraId="29EED220" w14:textId="77777777" w:rsidR="00F218CD" w:rsidRPr="00B364CB" w:rsidRDefault="00F218CD" w:rsidP="006802D3">
      <w:pPr>
        <w:pStyle w:val="MAWPsubtitle2"/>
      </w:pPr>
      <w:bookmarkStart w:id="206" w:name="_Toc64640586"/>
      <w:bookmarkStart w:id="207" w:name="_Toc93907353"/>
      <w:r w:rsidRPr="00B364CB">
        <w:t>Dissemination &amp; Exploitation of the project results</w:t>
      </w:r>
      <w:bookmarkEnd w:id="206"/>
      <w:bookmarkEnd w:id="207"/>
    </w:p>
    <w:p w14:paraId="49FFDD08" w14:textId="019CAB5A" w:rsidR="00F218CD" w:rsidRPr="00B364CB" w:rsidRDefault="00F218CD" w:rsidP="00F218CD">
      <w:pPr>
        <w:pStyle w:val="MAWP-Bodytext"/>
      </w:pPr>
      <w:r w:rsidRPr="00B364CB">
        <w:t xml:space="preserve">Hydrogen is currently gaining more and more attention, its visibility increased significantly since 2019. The </w:t>
      </w:r>
      <w:r w:rsidR="007B70F5">
        <w:t xml:space="preserve">Clean Hydrogen </w:t>
      </w:r>
      <w:r w:rsidRPr="00B364CB">
        <w:t>JU will play a key role in strengthening and closely monitoring the dissemination of the results/outcomes of hydrogen projects, as well as the exploitation of their results.</w:t>
      </w:r>
    </w:p>
    <w:p w14:paraId="68B1AB34" w14:textId="2D020C59" w:rsidR="00F218CD" w:rsidRPr="00B364CB" w:rsidRDefault="00F218CD" w:rsidP="00F218CD">
      <w:pPr>
        <w:pStyle w:val="MAWP-Bodytext"/>
      </w:pPr>
      <w:r w:rsidRPr="00B364CB">
        <w:t xml:space="preserve">Efficient and pro-active dissemination activities are of great importance for the success of the </w:t>
      </w:r>
      <w:r w:rsidR="007B70F5">
        <w:t xml:space="preserve">Clean Hydrogen </w:t>
      </w:r>
      <w:r w:rsidRPr="00B364CB">
        <w:t xml:space="preserve">JU, with objectives to: </w:t>
      </w:r>
    </w:p>
    <w:p w14:paraId="0301CF1F" w14:textId="4F6E1892" w:rsidR="00F218CD" w:rsidRPr="00B364CB" w:rsidRDefault="00F218CD" w:rsidP="00FE28B2">
      <w:pPr>
        <w:pStyle w:val="MAWP-Bodytext"/>
        <w:numPr>
          <w:ilvl w:val="0"/>
          <w:numId w:val="6"/>
        </w:numPr>
      </w:pPr>
      <w:r w:rsidRPr="00B364CB">
        <w:t xml:space="preserve">Ensure that the </w:t>
      </w:r>
      <w:r w:rsidR="007B70F5">
        <w:t xml:space="preserve">Clean Hydrogen </w:t>
      </w:r>
      <w:r w:rsidRPr="00B364CB">
        <w:t>JU is perceived as the key European strategic initiative for focused, coordinated and competitive innovation activities in the field of clean hydrogen;</w:t>
      </w:r>
    </w:p>
    <w:p w14:paraId="77739AF2" w14:textId="1DE3CC78" w:rsidR="00F218CD" w:rsidRPr="00B364CB" w:rsidRDefault="00F218CD" w:rsidP="00FE28B2">
      <w:pPr>
        <w:pStyle w:val="MAWP-Bodytext"/>
        <w:numPr>
          <w:ilvl w:val="0"/>
          <w:numId w:val="6"/>
        </w:numPr>
      </w:pPr>
      <w:r w:rsidRPr="00B364CB">
        <w:t xml:space="preserve">Raise awareness of the role of clean hydrogen in creating a sustainable, secure and affordable energy system, </w:t>
      </w:r>
      <w:r w:rsidR="004247C9" w:rsidRPr="00B364CB">
        <w:t>while at the same time increasing EU competitiveness and contributing to job creation</w:t>
      </w:r>
      <w:r w:rsidRPr="00B364CB">
        <w:t>;</w:t>
      </w:r>
    </w:p>
    <w:p w14:paraId="290C2915" w14:textId="4BCE11CF" w:rsidR="00F218CD" w:rsidRPr="00B364CB" w:rsidRDefault="00F218CD" w:rsidP="00FE28B2">
      <w:pPr>
        <w:pStyle w:val="MAWP-Bodytext"/>
        <w:numPr>
          <w:ilvl w:val="0"/>
          <w:numId w:val="6"/>
        </w:numPr>
      </w:pPr>
      <w:r w:rsidRPr="00B364CB">
        <w:t xml:space="preserve">Ensure internal interaction and coordination with members and stakeholders managing their expectations and promoting continued interest in the </w:t>
      </w:r>
      <w:r w:rsidR="007B70F5">
        <w:t xml:space="preserve">Clean Hydrogen </w:t>
      </w:r>
      <w:r w:rsidRPr="00B364CB">
        <w:t>JU activities speaking with one voice;</w:t>
      </w:r>
    </w:p>
    <w:p w14:paraId="5290DC13" w14:textId="77777777" w:rsidR="00F218CD" w:rsidRPr="00B364CB" w:rsidRDefault="00F218CD" w:rsidP="00FE28B2">
      <w:pPr>
        <w:pStyle w:val="MAWP-Bodytext"/>
        <w:numPr>
          <w:ilvl w:val="0"/>
          <w:numId w:val="6"/>
        </w:numPr>
      </w:pPr>
      <w:r w:rsidRPr="00B364CB">
        <w:t xml:space="preserve">Engage external stakeholders to encourage increased innovation investment in clean hydrogen technologies. </w:t>
      </w:r>
    </w:p>
    <w:p w14:paraId="44B4FEBC" w14:textId="77777777" w:rsidR="005B7353" w:rsidRPr="008E4155" w:rsidRDefault="00F218CD" w:rsidP="005B7353">
      <w:pPr>
        <w:pStyle w:val="MAWPHeadingStyleLevel4"/>
        <w:rPr>
          <w:lang w:val="fr-BE"/>
        </w:rPr>
      </w:pPr>
      <w:r w:rsidRPr="008E4155">
        <w:rPr>
          <w:lang w:val="fr-BE"/>
        </w:rPr>
        <w:t>Dissemination &amp; Exploitation (D&amp;E) Tools/Services</w:t>
      </w:r>
    </w:p>
    <w:p w14:paraId="30FE3357" w14:textId="176BB0E0" w:rsidR="00F218CD" w:rsidRPr="00B364CB" w:rsidRDefault="00F218CD" w:rsidP="00F218CD">
      <w:pPr>
        <w:pStyle w:val="MAWP-Bodytext"/>
      </w:pPr>
      <w:r w:rsidRPr="00B364CB">
        <w:t>All dissemination and communication activities will be in line with the European Commission’s strategies for dissemination and exploitation of the projects results in Horizon Europe. According to the governance of D&amp;E Strategy for the post-H2020 period and the Horizon Europe, the governance structure for implementation will consist of the following coordination groups (which will replace the former D&amp;E Network configuration and its six Working Groups):</w:t>
      </w:r>
    </w:p>
    <w:p w14:paraId="23045B3C" w14:textId="77777777" w:rsidR="00F218CD" w:rsidRPr="00B364CB" w:rsidRDefault="00F218CD" w:rsidP="00FE28B2">
      <w:pPr>
        <w:pStyle w:val="MAWP-Bodytext"/>
        <w:numPr>
          <w:ilvl w:val="0"/>
          <w:numId w:val="7"/>
        </w:numPr>
      </w:pPr>
      <w:r w:rsidRPr="00B364CB">
        <w:t xml:space="preserve">The Horizon Dissemination &amp; Exploitation Group, and </w:t>
      </w:r>
    </w:p>
    <w:p w14:paraId="792CE356" w14:textId="77777777" w:rsidR="00F218CD" w:rsidRPr="00B364CB" w:rsidRDefault="00F218CD" w:rsidP="00FE28B2">
      <w:pPr>
        <w:pStyle w:val="MAWP-Bodytext"/>
        <w:numPr>
          <w:ilvl w:val="0"/>
          <w:numId w:val="7"/>
        </w:numPr>
      </w:pPr>
      <w:r w:rsidRPr="00B364CB">
        <w:t>The Horizon Feedback to Policy Group.</w:t>
      </w:r>
    </w:p>
    <w:p w14:paraId="6EDEC6D0" w14:textId="77777777" w:rsidR="00F218CD" w:rsidRPr="00B364CB" w:rsidRDefault="00F218CD" w:rsidP="00F218CD">
      <w:pPr>
        <w:pStyle w:val="MAWP-Bodytext"/>
      </w:pPr>
      <w:r w:rsidRPr="00B364CB">
        <w:t>Also the D&amp;E Action Plan 2021 – 2022 aims to create a D&amp;E ecosystem for R&amp;I results, in which all main actors (e.g. beneficiaries, EU policy makers, investors, social entrepreneurs, national and regional administrations, etc.) will be contributing to and benefiting from a dynamic circulation of knowledge stemming from R&amp;I projects. A non-exhaustive list of already existing services and tools, parts of the EC D&amp;E ecosystem follows:</w:t>
      </w:r>
    </w:p>
    <w:p w14:paraId="458FFE78" w14:textId="77777777" w:rsidR="00F218CD" w:rsidRPr="00B364CB" w:rsidRDefault="00F218CD" w:rsidP="00FE28B2">
      <w:pPr>
        <w:pStyle w:val="MAWP-Bodytext"/>
        <w:numPr>
          <w:ilvl w:val="0"/>
          <w:numId w:val="8"/>
        </w:numPr>
      </w:pPr>
      <w:r w:rsidRPr="00B364CB">
        <w:t>Horizon Results Platform</w:t>
      </w:r>
      <w:r w:rsidRPr="00B364CB">
        <w:rPr>
          <w:rStyle w:val="FootnoteReference"/>
          <w:rFonts w:asciiTheme="minorHAnsi" w:hAnsiTheme="minorHAnsi" w:cstheme="minorHAnsi"/>
        </w:rPr>
        <w:footnoteReference w:id="223"/>
      </w:r>
      <w:r w:rsidRPr="00B364CB">
        <w:t>: A result-oriented platform for project beneficiaries to upload their results, to valorise and promote them to the targeted groups (e.g. business partners, angel investors, venture capitals, policy makers, business development assistance etc);</w:t>
      </w:r>
    </w:p>
    <w:p w14:paraId="40220E3F" w14:textId="77777777" w:rsidR="00F218CD" w:rsidRPr="00B364CB" w:rsidRDefault="00F218CD" w:rsidP="00FE28B2">
      <w:pPr>
        <w:pStyle w:val="MAWP-Bodytext"/>
        <w:numPr>
          <w:ilvl w:val="0"/>
          <w:numId w:val="8"/>
        </w:numPr>
      </w:pPr>
      <w:r w:rsidRPr="00B364CB">
        <w:t>Innovation Radar</w:t>
      </w:r>
      <w:r w:rsidRPr="00B364CB">
        <w:rPr>
          <w:rStyle w:val="FootnoteReference"/>
          <w:rFonts w:asciiTheme="minorHAnsi" w:hAnsiTheme="minorHAnsi" w:cstheme="minorHAnsi"/>
        </w:rPr>
        <w:footnoteReference w:id="224"/>
      </w:r>
      <w:r w:rsidRPr="00B364CB">
        <w:t xml:space="preserve">: A European Commission initiative to identify high potential </w:t>
      </w:r>
      <w:r w:rsidRPr="00B364CB">
        <w:lastRenderedPageBreak/>
        <w:t>innovations and innovators in EU-funded research and innovation projects, based on a data driven method;</w:t>
      </w:r>
    </w:p>
    <w:p w14:paraId="758959C1" w14:textId="77777777" w:rsidR="00F218CD" w:rsidRPr="00B364CB" w:rsidRDefault="00F218CD" w:rsidP="00FE28B2">
      <w:pPr>
        <w:pStyle w:val="MAWP-Bodytext"/>
        <w:numPr>
          <w:ilvl w:val="0"/>
          <w:numId w:val="8"/>
        </w:numPr>
      </w:pPr>
      <w:r w:rsidRPr="00B364CB">
        <w:t>Horizon Results Booster</w:t>
      </w:r>
      <w:r w:rsidRPr="00B364CB">
        <w:rPr>
          <w:rStyle w:val="FootnoteReference"/>
          <w:rFonts w:asciiTheme="minorHAnsi" w:hAnsiTheme="minorHAnsi" w:cstheme="minorHAnsi"/>
        </w:rPr>
        <w:footnoteReference w:id="225"/>
      </w:r>
      <w:r w:rsidRPr="00B364CB">
        <w:t>: A package of tailor-made specialised services to maximise the impact of R&amp;I public investment and further amplify the added value of the Programme, by building the capacity of projects for disseminating research results, increasing their potential for exploitation and improving access to markets;</w:t>
      </w:r>
    </w:p>
    <w:p w14:paraId="31453D45" w14:textId="77777777" w:rsidR="00F218CD" w:rsidRPr="00B364CB" w:rsidRDefault="00F218CD" w:rsidP="00FE28B2">
      <w:pPr>
        <w:pStyle w:val="MAWP-Bodytext"/>
        <w:numPr>
          <w:ilvl w:val="0"/>
          <w:numId w:val="8"/>
        </w:numPr>
      </w:pPr>
      <w:r w:rsidRPr="00B364CB">
        <w:t>Dealflow.eu</w:t>
      </w:r>
      <w:r w:rsidRPr="00B364CB">
        <w:rPr>
          <w:rStyle w:val="FootnoteReference"/>
          <w:rFonts w:asciiTheme="minorHAnsi" w:hAnsiTheme="minorHAnsi" w:cstheme="minorHAnsi"/>
        </w:rPr>
        <w:footnoteReference w:id="226"/>
      </w:r>
      <w:r w:rsidRPr="00B364CB">
        <w:t xml:space="preserve">: Mainly addressed to innovations analysed by the Innovation Radar, this package of services aims to support EU-funded start-ups in commercialising their innovations and connect them with investors and corporates (fundraising, venture building and networking). </w:t>
      </w:r>
    </w:p>
    <w:p w14:paraId="484C5928" w14:textId="77777777" w:rsidR="00F218CD" w:rsidRPr="00B364CB" w:rsidRDefault="00F218CD" w:rsidP="00FE28B2">
      <w:pPr>
        <w:pStyle w:val="MAWP-Bodytext"/>
        <w:numPr>
          <w:ilvl w:val="0"/>
          <w:numId w:val="8"/>
        </w:numPr>
      </w:pPr>
      <w:r w:rsidRPr="00B364CB">
        <w:t>IP Booster</w:t>
      </w:r>
      <w:r w:rsidRPr="00B364CB">
        <w:rPr>
          <w:rStyle w:val="FootnoteReference"/>
          <w:rFonts w:asciiTheme="minorHAnsi" w:hAnsiTheme="minorHAnsi" w:cstheme="minorHAnsi"/>
        </w:rPr>
        <w:footnoteReference w:id="227"/>
      </w:r>
      <w:r w:rsidRPr="00B364CB">
        <w:t>: Specialised professional Intellectual Property service for public research organisations looking to realise value from their research results;</w:t>
      </w:r>
    </w:p>
    <w:p w14:paraId="34052C3F" w14:textId="77777777" w:rsidR="00F218CD" w:rsidRPr="00B364CB" w:rsidRDefault="00F218CD" w:rsidP="00FE28B2">
      <w:pPr>
        <w:pStyle w:val="MAWP-Bodytext"/>
        <w:numPr>
          <w:ilvl w:val="0"/>
          <w:numId w:val="8"/>
        </w:numPr>
      </w:pPr>
      <w:r w:rsidRPr="00B364CB">
        <w:t>Open Research Europe</w:t>
      </w:r>
      <w:r w:rsidRPr="00B364CB">
        <w:rPr>
          <w:rStyle w:val="FootnoteReference"/>
          <w:rFonts w:asciiTheme="minorHAnsi" w:hAnsiTheme="minorHAnsi" w:cstheme="minorHAnsi"/>
        </w:rPr>
        <w:footnoteReference w:id="228"/>
      </w:r>
      <w:r w:rsidRPr="00B364CB">
        <w:t>: The new EC scientific publishing service for fast publication and open peer review for research scientific articles stemming from H2020 projects.</w:t>
      </w:r>
    </w:p>
    <w:p w14:paraId="3F251B1B" w14:textId="3AD481F7" w:rsidR="00F218CD" w:rsidRPr="00B364CB" w:rsidRDefault="00F218CD" w:rsidP="00F218CD">
      <w:pPr>
        <w:pStyle w:val="MAWP-Bodytext"/>
      </w:pPr>
      <w:r w:rsidRPr="00B364CB">
        <w:t>Also, 1000 Solutions</w:t>
      </w:r>
      <w:r w:rsidRPr="00B364CB">
        <w:rPr>
          <w:rStyle w:val="FootnoteReference"/>
          <w:rFonts w:asciiTheme="minorHAnsi" w:hAnsiTheme="minorHAnsi" w:cstheme="minorHAnsi"/>
        </w:rPr>
        <w:footnoteReference w:id="229"/>
      </w:r>
      <w:r w:rsidRPr="00B364CB">
        <w:t xml:space="preserve">, an initiative of the Solar Impulse foundation to grant a Solar Impulse Efficient Solution Label to 1000 products, processes or services that meet high standards of both sustainability and profitability, can be an additional platform for the </w:t>
      </w:r>
      <w:r w:rsidR="007B70F5">
        <w:t xml:space="preserve">Clean Hydrogen </w:t>
      </w:r>
      <w:r w:rsidRPr="00B364CB">
        <w:t>JU to disseminate the projects results.</w:t>
      </w:r>
    </w:p>
    <w:p w14:paraId="0DC2F3BA" w14:textId="04B23CE5" w:rsidR="00F218CD" w:rsidRPr="00B364CB" w:rsidRDefault="00F218CD" w:rsidP="00F218CD">
      <w:pPr>
        <w:pStyle w:val="MAWP-Bodytext"/>
      </w:pPr>
      <w:r w:rsidRPr="00B364CB">
        <w:t xml:space="preserve">These tools and services are expected to improve the dissemination of information within and beyond the </w:t>
      </w:r>
      <w:r w:rsidR="00E61F0D" w:rsidRPr="00B364CB">
        <w:t xml:space="preserve">hydrogen </w:t>
      </w:r>
      <w:r w:rsidRPr="00B364CB">
        <w:t xml:space="preserve">community, and to enable further exploitation of the project results and a larger impact of the </w:t>
      </w:r>
      <w:r w:rsidR="007B70F5">
        <w:t xml:space="preserve">Clean Hydrogen </w:t>
      </w:r>
      <w:r w:rsidRPr="00B364CB">
        <w:t>JU on European society.</w:t>
      </w:r>
    </w:p>
    <w:p w14:paraId="3EDFF691" w14:textId="2C385B69" w:rsidR="005B7353" w:rsidRPr="00B364CB" w:rsidRDefault="00F218CD" w:rsidP="005B7353">
      <w:pPr>
        <w:pStyle w:val="MAWPHeadingStyleLevel4"/>
      </w:pPr>
      <w:r w:rsidRPr="00B364CB">
        <w:t xml:space="preserve">Programme Review Days </w:t>
      </w:r>
    </w:p>
    <w:p w14:paraId="05556436" w14:textId="6E727DCF" w:rsidR="00F218CD" w:rsidRPr="00B364CB" w:rsidRDefault="00F218CD" w:rsidP="00F218CD">
      <w:pPr>
        <w:pStyle w:val="MAWP-Bodytext"/>
      </w:pPr>
      <w:r w:rsidRPr="00B364CB">
        <w:t xml:space="preserve">The </w:t>
      </w:r>
      <w:r w:rsidR="007B70F5">
        <w:t xml:space="preserve">Clean Hydrogen </w:t>
      </w:r>
      <w:r w:rsidRPr="00B364CB">
        <w:t xml:space="preserve">JU will organise annually the Program Review Days as part of the Hydrogen Week event, a major opportunity to raise visibility on </w:t>
      </w:r>
      <w:r w:rsidR="007B70F5">
        <w:t xml:space="preserve">Clean Hydrogen </w:t>
      </w:r>
      <w:r w:rsidRPr="00B364CB">
        <w:t xml:space="preserve">JU activities and to assess projects and innovation pillars, as well as ultimately </w:t>
      </w:r>
      <w:r w:rsidR="00334945" w:rsidRPr="00B364CB">
        <w:t>its P</w:t>
      </w:r>
      <w:r w:rsidRPr="00B364CB">
        <w:t>rogramme development, especially in relation to international developments. Support material produced and provided parallel to the event for D&amp;E purposes consists of:</w:t>
      </w:r>
    </w:p>
    <w:p w14:paraId="37F2155A" w14:textId="77777777" w:rsidR="00F218CD" w:rsidRPr="00B364CB" w:rsidRDefault="00F218CD" w:rsidP="00FE28B2">
      <w:pPr>
        <w:pStyle w:val="MAWP-Bodytext"/>
        <w:numPr>
          <w:ilvl w:val="0"/>
          <w:numId w:val="9"/>
        </w:numPr>
      </w:pPr>
      <w:r w:rsidRPr="00B364CB">
        <w:t xml:space="preserve">The publishable version of the Programme Review Report, presenting briefly the major developments in each panel and the non-confidential major outcomes of the active projects, and </w:t>
      </w:r>
    </w:p>
    <w:p w14:paraId="5D29FE34" w14:textId="77777777" w:rsidR="00F218CD" w:rsidRPr="00B364CB" w:rsidRDefault="00F218CD" w:rsidP="00FE28B2">
      <w:pPr>
        <w:pStyle w:val="MAWP-Bodytext"/>
        <w:numPr>
          <w:ilvl w:val="0"/>
          <w:numId w:val="9"/>
        </w:numPr>
      </w:pPr>
      <w:r w:rsidRPr="00B364CB">
        <w:t>The Success Stories, a portfolio of narratives that highlight the most prominent achievements of a single project or a cluster of projects and the progress they make.</w:t>
      </w:r>
    </w:p>
    <w:p w14:paraId="2A39DCB6" w14:textId="42D215DB" w:rsidR="00F218CD" w:rsidRPr="00B364CB" w:rsidRDefault="00F218CD" w:rsidP="00F218CD">
      <w:pPr>
        <w:pStyle w:val="MAWP-Bodytext"/>
        <w:rPr>
          <w:rFonts w:asciiTheme="minorHAnsi" w:hAnsiTheme="minorHAnsi" w:cstheme="minorHAnsi"/>
        </w:rPr>
      </w:pPr>
      <w:r w:rsidRPr="00B364CB">
        <w:t xml:space="preserve">Additionally, the </w:t>
      </w:r>
      <w:r w:rsidR="007B70F5">
        <w:t xml:space="preserve">Clean Hydrogen </w:t>
      </w:r>
      <w:r w:rsidRPr="00B364CB">
        <w:t xml:space="preserve">JU will also upgrade existing tools already used in the previous period to support D&amp;E activities in program level, like the new upgraded website in which the project results will continue to be published. These type of tools/activities </w:t>
      </w:r>
      <w:r w:rsidRPr="00120F40">
        <w:t xml:space="preserve">are presented in Section </w:t>
      </w:r>
      <w:r w:rsidR="00120F40" w:rsidRPr="00120F40">
        <w:fldChar w:fldCharType="begin"/>
      </w:r>
      <w:r w:rsidR="00120F40" w:rsidRPr="00120F40">
        <w:instrText xml:space="preserve"> REF _Ref75991482 \r \h </w:instrText>
      </w:r>
      <w:r w:rsidR="00120F40">
        <w:instrText xml:space="preserve"> \* MERGEFORMAT </w:instrText>
      </w:r>
      <w:r w:rsidR="00120F40" w:rsidRPr="00120F40">
        <w:fldChar w:fldCharType="separate"/>
      </w:r>
      <w:r w:rsidR="00331EBC">
        <w:t>4.6.2</w:t>
      </w:r>
      <w:r w:rsidR="00120F40" w:rsidRPr="00120F40">
        <w:fldChar w:fldCharType="end"/>
      </w:r>
      <w:r w:rsidR="00120F40" w:rsidRPr="00120F40">
        <w:t xml:space="preserve"> </w:t>
      </w:r>
      <w:r w:rsidRPr="00120F40">
        <w:t>of this document.</w:t>
      </w:r>
      <w:r w:rsidRPr="00B364CB">
        <w:t xml:space="preserve"> </w:t>
      </w:r>
    </w:p>
    <w:p w14:paraId="4F4FD43F" w14:textId="510CF3AC" w:rsidR="0068049C" w:rsidRPr="00B364CB" w:rsidRDefault="0068049C" w:rsidP="006802D3">
      <w:pPr>
        <w:pStyle w:val="Subtitle"/>
      </w:pPr>
      <w:bookmarkStart w:id="208" w:name="_Toc64640587"/>
      <w:bookmarkStart w:id="209" w:name="_Toc93907354"/>
      <w:r w:rsidRPr="00B364CB">
        <w:lastRenderedPageBreak/>
        <w:t>The role of small and medium</w:t>
      </w:r>
      <w:r w:rsidR="00914EF7" w:rsidRPr="00B364CB">
        <w:t>-</w:t>
      </w:r>
      <w:r w:rsidRPr="00B364CB">
        <w:t>size</w:t>
      </w:r>
      <w:r w:rsidR="00914EF7" w:rsidRPr="00B364CB">
        <w:t>d</w:t>
      </w:r>
      <w:r w:rsidRPr="00B364CB">
        <w:t xml:space="preserve"> enterprises</w:t>
      </w:r>
      <w:bookmarkEnd w:id="208"/>
      <w:bookmarkEnd w:id="209"/>
    </w:p>
    <w:p w14:paraId="7019E343" w14:textId="496C9924" w:rsidR="00F10CD6" w:rsidRPr="00B364CB" w:rsidRDefault="00F10CD6" w:rsidP="00F10CD6">
      <w:pPr>
        <w:pStyle w:val="MAWP-Bodytext"/>
        <w:rPr>
          <w:lang w:eastAsia="en-US"/>
        </w:rPr>
      </w:pPr>
      <w:r w:rsidRPr="00B364CB">
        <w:rPr>
          <w:lang w:eastAsia="en-US"/>
        </w:rPr>
        <w:t>Small and medium-sized enterprises are an important source of innovation and represent a large share of companies engaged in early markets, involved in many industrial supply chains. Their role is crucial for future commercialisation and are best placed to take advantage of the opportunities offered by new technologies and grow by creating new jobs requiring advanced skills. This is possible through adapting existing methods as well as through novel methods of production.</w:t>
      </w:r>
    </w:p>
    <w:p w14:paraId="2C307209" w14:textId="77777777" w:rsidR="00F10CD6" w:rsidRPr="00B364CB" w:rsidRDefault="00F10CD6" w:rsidP="00F10CD6">
      <w:pPr>
        <w:pStyle w:val="MAWP-Bodytext"/>
        <w:rPr>
          <w:lang w:eastAsia="en-US"/>
        </w:rPr>
      </w:pPr>
      <w:r w:rsidRPr="00B364CB">
        <w:rPr>
          <w:lang w:eastAsia="en-US"/>
        </w:rPr>
        <w:t xml:space="preserve">The hydrogen sector includes a series of highly successful SMEs that have developed products and are eager to move to massive large-scale manufacturing to enable cost reductions and market penetration to match the growing demand. This allows them </w:t>
      </w:r>
      <w:r w:rsidRPr="00B364CB">
        <w:rPr>
          <w:rFonts w:eastAsiaTheme="minorEastAsia"/>
          <w:szCs w:val="24"/>
          <w:lang w:eastAsia="ja-JP"/>
        </w:rPr>
        <w:t>to grow successful businesses and position themselves strongly within the hydrogen supply chain.</w:t>
      </w:r>
    </w:p>
    <w:p w14:paraId="59937DF0" w14:textId="020E3B34" w:rsidR="00F10CD6" w:rsidRPr="00B364CB" w:rsidRDefault="00F10CD6" w:rsidP="00F10CD6">
      <w:pPr>
        <w:pStyle w:val="MAWP-Bodytext"/>
        <w:rPr>
          <w:lang w:eastAsia="en-US"/>
        </w:rPr>
      </w:pPr>
      <w:r w:rsidRPr="00B364CB">
        <w:t xml:space="preserve">The </w:t>
      </w:r>
      <w:r w:rsidR="006A3A6A">
        <w:t>predecessors</w:t>
      </w:r>
      <w:r w:rsidRPr="00B364CB">
        <w:t xml:space="preserve"> JU</w:t>
      </w:r>
      <w:r w:rsidR="006A3A6A">
        <w:t>s</w:t>
      </w:r>
      <w:r w:rsidRPr="00B364CB">
        <w:t xml:space="preserve"> ha</w:t>
      </w:r>
      <w:r w:rsidR="006A3A6A">
        <w:t>ve</w:t>
      </w:r>
      <w:r w:rsidRPr="00B364CB">
        <w:t>s been a key instrument for SMEs, providing a stable regulatory environment as well as the long-term stability that comes with public sector funding. Working alongside larger companies in the same field enables SMEs to tap into the expertise, distribution networks, support and customer pools of those organisations. Through financial and networking support, FCH</w:t>
      </w:r>
      <w:r w:rsidR="006A3A6A">
        <w:t xml:space="preserve"> and FCH 2</w:t>
      </w:r>
      <w:r w:rsidRPr="00B364CB">
        <w:t xml:space="preserve"> JU</w:t>
      </w:r>
      <w:r w:rsidR="006A3A6A">
        <w:t>s</w:t>
      </w:r>
      <w:r w:rsidRPr="00B364CB">
        <w:t xml:space="preserve"> ha</w:t>
      </w:r>
      <w:r w:rsidR="006A3A6A">
        <w:t>ve</w:t>
      </w:r>
      <w:r w:rsidRPr="00B364CB">
        <w:t xml:space="preserve"> helped many SMEs in the fuel cell and hydrogen sectors to achieve their business goals, from obtaining private investment to the marketing of new products and services. There are plenty of successful SME beneficiaries in the areas of electrolysis, gasification of biomass and biowaste and the development of hydrogen carriers. </w:t>
      </w:r>
    </w:p>
    <w:p w14:paraId="0A5342A6" w14:textId="081EE797" w:rsidR="00F10CD6" w:rsidRDefault="00334945" w:rsidP="00F10CD6">
      <w:pPr>
        <w:pStyle w:val="MAWP-Bodytext"/>
      </w:pPr>
      <w:r w:rsidRPr="00B364CB">
        <w:rPr>
          <w:lang w:eastAsia="en-US"/>
        </w:rPr>
        <w:t xml:space="preserve">The </w:t>
      </w:r>
      <w:r w:rsidR="007B70F5">
        <w:t xml:space="preserve">Clean Hydrogen </w:t>
      </w:r>
      <w:r w:rsidR="00F10CD6" w:rsidRPr="00B364CB">
        <w:rPr>
          <w:lang w:eastAsia="en-US"/>
        </w:rPr>
        <w:t xml:space="preserve">JU will continue to rely on the innovativeness of SMEs. To do this, it will need to deal with two </w:t>
      </w:r>
      <w:r w:rsidR="00F10CD6" w:rsidRPr="00B364CB">
        <w:t>of the largest obstacles that SMEs must overcome, the need to raise financing, especially in the early stages of growth, and to kick-start sales and thereby gain valuable field experience. In order to address the specific limitations and risks of SMEs, the</w:t>
      </w:r>
      <w:r w:rsidR="007B70F5" w:rsidRPr="007B70F5">
        <w:t xml:space="preserve"> </w:t>
      </w:r>
      <w:r w:rsidR="007B70F5">
        <w:t>Clean Hydrogen</w:t>
      </w:r>
      <w:r w:rsidR="00F10CD6" w:rsidRPr="00B364CB">
        <w:t xml:space="preserve"> JU will continue to explore ways to open access to the necessary manufacturing and process capabilities through partnership schemes and education initiatives. It will help raise awareness of projects’ results within the finance community, while at the same time try</w:t>
      </w:r>
      <w:r w:rsidR="001C1396" w:rsidRPr="00B364CB">
        <w:t>ing</w:t>
      </w:r>
      <w:r w:rsidR="00F10CD6" w:rsidRPr="00B364CB">
        <w:t xml:space="preserve"> to address the private sector funding and financing challenge that acts as a market barrier for deployment of hydrogen technologies and wider hydrogen integrated solutions.</w:t>
      </w:r>
    </w:p>
    <w:p w14:paraId="24A730B9" w14:textId="2546A6A3" w:rsidR="000A741A" w:rsidRDefault="000A741A" w:rsidP="00F10CD6">
      <w:pPr>
        <w:pStyle w:val="MAWP-Bodytext"/>
      </w:pPr>
      <w:r>
        <w:t xml:space="preserve">In parallel, the JU will </w:t>
      </w:r>
      <w:r w:rsidRPr="000A741A">
        <w:t xml:space="preserve">promote the involvement of SMEs and start-ups in </w:t>
      </w:r>
      <w:r w:rsidR="006802D3">
        <w:t>its</w:t>
      </w:r>
      <w:r w:rsidRPr="000A741A">
        <w:t xml:space="preserve"> activities and ensure the provision of timely information to them, in line with the objectives of Horizon Europe</w:t>
      </w:r>
      <w:r w:rsidR="006802D3">
        <w:t xml:space="preserve"> and the SBA, by implementing measures for attracting newcomers</w:t>
      </w:r>
      <w:r w:rsidR="002929F5">
        <w:t xml:space="preserve"> (see also Section </w:t>
      </w:r>
      <w:r w:rsidR="002929F5">
        <w:fldChar w:fldCharType="begin"/>
      </w:r>
      <w:r w:rsidR="002929F5">
        <w:instrText xml:space="preserve"> REF _Ref93512725 \r \h </w:instrText>
      </w:r>
      <w:r w:rsidR="002929F5">
        <w:fldChar w:fldCharType="separate"/>
      </w:r>
      <w:r w:rsidR="002929F5">
        <w:t>5.2</w:t>
      </w:r>
      <w:r w:rsidR="002929F5">
        <w:fldChar w:fldCharType="end"/>
      </w:r>
      <w:r w:rsidR="002929F5">
        <w:t>)</w:t>
      </w:r>
      <w:r w:rsidR="006802D3">
        <w:t xml:space="preserve">. </w:t>
      </w:r>
    </w:p>
    <w:p w14:paraId="5BBD10EC" w14:textId="2FBEAC65" w:rsidR="00055C07" w:rsidRDefault="0068049C" w:rsidP="006802D3">
      <w:pPr>
        <w:pStyle w:val="Subtitle"/>
      </w:pPr>
      <w:bookmarkStart w:id="210" w:name="_Toc64640588"/>
      <w:bookmarkStart w:id="211" w:name="_Toc93907355"/>
      <w:r w:rsidRPr="00B364CB">
        <w:t>International cooperation strategy</w:t>
      </w:r>
      <w:bookmarkStart w:id="212" w:name="_Ref63443838"/>
      <w:bookmarkStart w:id="213" w:name="_Ref63887634"/>
      <w:bookmarkStart w:id="214" w:name="_Toc64640589"/>
      <w:bookmarkEnd w:id="210"/>
      <w:bookmarkEnd w:id="211"/>
    </w:p>
    <w:p w14:paraId="1FC5FA20" w14:textId="77777777" w:rsidR="00E66A9C" w:rsidRPr="00B364CB" w:rsidRDefault="00E66A9C" w:rsidP="00E66A9C">
      <w:pPr>
        <w:pStyle w:val="MAWP-Bodytext"/>
      </w:pPr>
      <w:r w:rsidRPr="00B364CB">
        <w:t>The recent Communication of the European Commission on the global approach to research and innovation</w:t>
      </w:r>
      <w:r w:rsidRPr="00E4788A">
        <w:rPr>
          <w:vertAlign w:val="superscript"/>
        </w:rPr>
        <w:footnoteReference w:id="230"/>
      </w:r>
      <w:r w:rsidRPr="00B364CB">
        <w:t xml:space="preserve"> presents </w:t>
      </w:r>
      <w:r>
        <w:t xml:space="preserve">the </w:t>
      </w:r>
      <w:r w:rsidRPr="00B364CB">
        <w:t xml:space="preserve">EU’s new strategy on international cooperation on research and innovation. </w:t>
      </w:r>
      <w:r>
        <w:t xml:space="preserve">The </w:t>
      </w:r>
      <w:r w:rsidRPr="00B364CB">
        <w:t>EU aims to take a leading role in supporting international research and innovation partnerships and to deliver innovative solutions for making our societies green, digital and healthy.</w:t>
      </w:r>
    </w:p>
    <w:p w14:paraId="09196C61" w14:textId="77777777" w:rsidR="00E66A9C" w:rsidRPr="00B364CB" w:rsidRDefault="00E66A9C" w:rsidP="00E66A9C">
      <w:pPr>
        <w:pStyle w:val="MAWP-Bodytext"/>
      </w:pPr>
      <w:r w:rsidRPr="00B364CB">
        <w:t xml:space="preserve">The strategy builds on two principal objectives: preserving openness in international research and innovation cooperation, while promoting a level playing field and reciprocity underpinned by fundamental values. To achieve its goals, the EU will embark on several actions, implemented through EU bilateral cooperation and pooling global efforts to tackle global </w:t>
      </w:r>
      <w:r w:rsidRPr="00B364CB">
        <w:lastRenderedPageBreak/>
        <w:t>challenges. It will modulate cooperation with priority countries and region, by:</w:t>
      </w:r>
    </w:p>
    <w:p w14:paraId="2F5F750B" w14:textId="77777777" w:rsidR="00E66A9C" w:rsidRPr="00B364CB" w:rsidRDefault="00E66A9C" w:rsidP="00E66A9C">
      <w:pPr>
        <w:pStyle w:val="MAWP-Bodytext"/>
        <w:numPr>
          <w:ilvl w:val="0"/>
          <w:numId w:val="7"/>
        </w:numPr>
      </w:pPr>
      <w:r w:rsidRPr="00B364CB">
        <w:t>Strengthening cooperation with industrialised non-EU countries and emerging economies;</w:t>
      </w:r>
    </w:p>
    <w:p w14:paraId="7C19FC7C" w14:textId="77777777" w:rsidR="00E66A9C" w:rsidRPr="00B364CB" w:rsidRDefault="00E66A9C" w:rsidP="00E66A9C">
      <w:pPr>
        <w:pStyle w:val="MAWP-Bodytext"/>
        <w:numPr>
          <w:ilvl w:val="0"/>
          <w:numId w:val="7"/>
        </w:numPr>
      </w:pPr>
      <w:r w:rsidRPr="00B364CB">
        <w:t>Giving particular priority to partners in its immediate vicinity, including through association to Horizon Europe;</w:t>
      </w:r>
    </w:p>
    <w:p w14:paraId="0BF82AEB" w14:textId="77777777" w:rsidR="00E66A9C" w:rsidRPr="00B364CB" w:rsidRDefault="00E66A9C" w:rsidP="00E66A9C">
      <w:pPr>
        <w:pStyle w:val="MAWP-Bodytext"/>
        <w:numPr>
          <w:ilvl w:val="0"/>
          <w:numId w:val="7"/>
        </w:numPr>
      </w:pPr>
      <w:r w:rsidRPr="00B364CB">
        <w:t>Deepening EU partnerships with Africa, Latin America and other regions and countries.</w:t>
      </w:r>
    </w:p>
    <w:p w14:paraId="4A93353D" w14:textId="77777777" w:rsidR="00E66A9C" w:rsidRPr="00B364CB" w:rsidRDefault="00E66A9C" w:rsidP="00E66A9C">
      <w:pPr>
        <w:pStyle w:val="MAWP-Bodytext"/>
      </w:pPr>
      <w:r w:rsidRPr="00B364CB">
        <w:t>Examples of such cooperation include the support of researchers and their organisations to help accelerate sustainable and inclusive development in low and middle-income countries</w:t>
      </w:r>
      <w:r w:rsidRPr="003B4BA2">
        <w:rPr>
          <w:vertAlign w:val="superscript"/>
        </w:rPr>
        <w:footnoteReference w:id="231"/>
      </w:r>
      <w:r w:rsidRPr="00B364CB">
        <w:t>, as well as leading international efforts in climate and environmental science towards a just green transition.</w:t>
      </w:r>
    </w:p>
    <w:p w14:paraId="0C6E4406" w14:textId="77777777" w:rsidR="00E66A9C" w:rsidRPr="00B364CB" w:rsidRDefault="00E66A9C" w:rsidP="00E66A9C">
      <w:pPr>
        <w:pStyle w:val="MAWP-Bodytext"/>
      </w:pPr>
      <w:r w:rsidRPr="00637F43">
        <w:t xml:space="preserve">The </w:t>
      </w:r>
      <w:r>
        <w:t xml:space="preserve">Clean Hydrogen </w:t>
      </w:r>
      <w:r w:rsidRPr="00637F43">
        <w:t>JU will support the Commission in the endeavour, in accordance with its objectives under Articles 4, 5 and 7</w:t>
      </w:r>
      <w:r>
        <w:t>3</w:t>
      </w:r>
      <w:r w:rsidRPr="00637F43">
        <w:t xml:space="preserve"> of the SBA, as well as the additional tasks described under Article 7</w:t>
      </w:r>
      <w:r>
        <w:t>4</w:t>
      </w:r>
      <w:r w:rsidRPr="00637F43">
        <w:t xml:space="preserve">. In particular, the SBA calls for the </w:t>
      </w:r>
      <w:r>
        <w:t xml:space="preserve">Clean Hydrogen </w:t>
      </w:r>
      <w:r w:rsidRPr="00637F43">
        <w:t>JU to:</w:t>
      </w:r>
    </w:p>
    <w:p w14:paraId="7D344C01" w14:textId="77777777" w:rsidR="00E66A9C" w:rsidRPr="00B364CB" w:rsidRDefault="00E66A9C" w:rsidP="002256F6">
      <w:pPr>
        <w:pStyle w:val="MAWP-Bodytext"/>
        <w:numPr>
          <w:ilvl w:val="0"/>
          <w:numId w:val="50"/>
        </w:numPr>
      </w:pPr>
      <w:r w:rsidRPr="00B364CB">
        <w:t xml:space="preserve">Contribute to the objectives set out in the 2030 Climate Target Plan, which foresee actions on the international dimension. </w:t>
      </w:r>
      <w:r>
        <w:t xml:space="preserve">In particular, the European Commission will </w:t>
      </w:r>
      <w:r w:rsidRPr="00B364CB">
        <w:t>seek mutually beneficial alliances around new sustainable technologies, such as renewable hydrogen, and using EU’s cooperation platforms</w:t>
      </w:r>
      <w:r w:rsidRPr="00E4788A">
        <w:rPr>
          <w:vertAlign w:val="superscript"/>
        </w:rPr>
        <w:footnoteReference w:id="232"/>
      </w:r>
      <w:r w:rsidRPr="00B364CB">
        <w:t xml:space="preserve"> for the deployment of international environmental standards and promotion of clean technologies through trade</w:t>
      </w:r>
      <w:r>
        <w:t>. Following the Commission’s request, the Clean Hydrogen JU could potentially support the Commission in these actions</w:t>
      </w:r>
      <w:r w:rsidRPr="00A51870">
        <w:t>;</w:t>
      </w:r>
    </w:p>
    <w:p w14:paraId="5A54BA8C" w14:textId="77777777" w:rsidR="00E66A9C" w:rsidRPr="00B364CB" w:rsidRDefault="00E66A9C" w:rsidP="002256F6">
      <w:pPr>
        <w:pStyle w:val="MAWP-Bodytext"/>
        <w:numPr>
          <w:ilvl w:val="0"/>
          <w:numId w:val="50"/>
        </w:numPr>
      </w:pPr>
      <w:r w:rsidRPr="00B364CB">
        <w:t>Support the</w:t>
      </w:r>
      <w:r w:rsidRPr="004F7D2C">
        <w:t xml:space="preserve"> Commission, including through technical expertise,</w:t>
      </w:r>
      <w:r>
        <w:t xml:space="preserve"> </w:t>
      </w:r>
      <w:r w:rsidRPr="00B364CB">
        <w:t xml:space="preserve">in its international initiatives on the hydrogen strategy, such as the International Partnership for Hydrogen </w:t>
      </w:r>
      <w:r>
        <w:t xml:space="preserve">Economy (IPHE) </w:t>
      </w:r>
      <w:r w:rsidRPr="00B364CB">
        <w:t xml:space="preserve">and fuel cells in the Economy, Mission Innovation </w:t>
      </w:r>
      <w:r>
        <w:t>(and notably the Clean Hydrogen Mission)</w:t>
      </w:r>
      <w:r w:rsidRPr="00B364CB">
        <w:t xml:space="preserve"> and the Clean Energy Ministerial </w:t>
      </w:r>
      <w:r>
        <w:t>(CEM)</w:t>
      </w:r>
      <w:r w:rsidRPr="00B364CB">
        <w:t xml:space="preserve"> Hydrogen Initiative;</w:t>
      </w:r>
    </w:p>
    <w:p w14:paraId="7F85742F" w14:textId="77777777" w:rsidR="00E66A9C" w:rsidRDefault="00E66A9C" w:rsidP="002256F6">
      <w:pPr>
        <w:pStyle w:val="MAWP-Bodytext"/>
        <w:numPr>
          <w:ilvl w:val="0"/>
          <w:numId w:val="50"/>
        </w:numPr>
      </w:pPr>
      <w:r>
        <w:t>N</w:t>
      </w:r>
      <w:r w:rsidRPr="00CC64B5">
        <w:t xml:space="preserve">otwithstanding the Commission’s policy prerogatives, </w:t>
      </w:r>
      <w:bookmarkStart w:id="215" w:name="_Hlk87178189"/>
      <w:r w:rsidRPr="00CC64B5">
        <w:t>under the Commission’s policy guidance and supervision</w:t>
      </w:r>
      <w:bookmarkEnd w:id="215"/>
      <w:r w:rsidRPr="00CC64B5">
        <w:t>, contribute to the development of regulations and standards with the view to eliminating barriers to market entry and to supporting interchangeability, inter-operability, and trade across the internal market and globally;</w:t>
      </w:r>
    </w:p>
    <w:p w14:paraId="3DC71B6C" w14:textId="77777777" w:rsidR="00E66A9C" w:rsidRPr="00B364CB" w:rsidRDefault="00E66A9C" w:rsidP="002256F6">
      <w:pPr>
        <w:pStyle w:val="MAWP-Bodytext"/>
        <w:numPr>
          <w:ilvl w:val="0"/>
          <w:numId w:val="50"/>
        </w:numPr>
      </w:pPr>
      <w:r>
        <w:t>S</w:t>
      </w:r>
      <w:r w:rsidRPr="00CC64B5">
        <w:t>trengthen international cooperation in support of Union policy objectives and international commitments;</w:t>
      </w:r>
    </w:p>
    <w:p w14:paraId="1A73CAE3" w14:textId="77777777" w:rsidR="00E66A9C" w:rsidRDefault="00E66A9C" w:rsidP="00E66A9C">
      <w:pPr>
        <w:pStyle w:val="MAWP-Bodytext"/>
      </w:pPr>
      <w:r w:rsidRPr="00B364CB">
        <w:t xml:space="preserve">In order to meet these objectives, the </w:t>
      </w:r>
      <w:r>
        <w:t xml:space="preserve">Clean Hydrogen </w:t>
      </w:r>
      <w:r w:rsidRPr="00B364CB">
        <w:t>JU</w:t>
      </w:r>
      <w:r w:rsidRPr="00CC64B5">
        <w:t xml:space="preserve"> </w:t>
      </w:r>
      <w:r w:rsidRPr="00B364CB">
        <w:t xml:space="preserve">will build on the actions undertaken by its predecessor and expand them accordingly, in order to support the European Commission in </w:t>
      </w:r>
      <w:r>
        <w:t xml:space="preserve">the implementation of </w:t>
      </w:r>
      <w:r w:rsidRPr="00B364CB">
        <w:t xml:space="preserve">its international cooperation agenda in research and innovation. </w:t>
      </w:r>
    </w:p>
    <w:p w14:paraId="673B3955" w14:textId="77777777" w:rsidR="00E66A9C" w:rsidRPr="00B364CB" w:rsidRDefault="00E66A9C" w:rsidP="00E66A9C">
      <w:pPr>
        <w:pStyle w:val="MAWP-Bodytext"/>
      </w:pPr>
      <w:r w:rsidRPr="00B364CB">
        <w:t xml:space="preserve">It will further strengthen close links with the major deployment programmes globally of hydrogen technologies, continue </w:t>
      </w:r>
      <w:r>
        <w:t xml:space="preserve">to support the Commission in </w:t>
      </w:r>
      <w:r w:rsidRPr="00B364CB">
        <w:t xml:space="preserve">the work on standards and regulations harmonisation, as well as to accelerate the market uptake of these technologies. </w:t>
      </w:r>
      <w:r>
        <w:t>U</w:t>
      </w:r>
      <w:r w:rsidRPr="00CC64B5">
        <w:t>nder the Commission’s policy guidance and supervision</w:t>
      </w:r>
      <w:r>
        <w:t>,</w:t>
      </w:r>
      <w:r w:rsidRPr="00B364CB">
        <w:t xml:space="preserve"> </w:t>
      </w:r>
      <w:r>
        <w:t>t</w:t>
      </w:r>
      <w:r w:rsidRPr="00B364CB">
        <w:t>he Regulations, Codes and Standards Strategy Coordination group</w:t>
      </w:r>
      <w:r w:rsidRPr="00647429">
        <w:t xml:space="preserve"> </w:t>
      </w:r>
      <w:r>
        <w:t xml:space="preserve">and the </w:t>
      </w:r>
      <w:r w:rsidRPr="00647429">
        <w:t>Sustainability and Circularity Panel</w:t>
      </w:r>
      <w:r w:rsidRPr="00B364CB">
        <w:t xml:space="preserve">, described in more detail in </w:t>
      </w:r>
      <w:r w:rsidRPr="00E4788A">
        <w:t>Section</w:t>
      </w:r>
      <w:r>
        <w:t>s</w:t>
      </w:r>
      <w:r w:rsidRPr="00B364CB">
        <w:t xml:space="preserve"> </w:t>
      </w:r>
      <w:r w:rsidRPr="00E4788A">
        <w:fldChar w:fldCharType="begin"/>
      </w:r>
      <w:r w:rsidRPr="00B364CB">
        <w:instrText xml:space="preserve"> REF _Ref74837720 \r \h </w:instrText>
      </w:r>
      <w:r w:rsidRPr="00E4788A">
        <w:instrText xml:space="preserve"> \* MERGEFORMAT </w:instrText>
      </w:r>
      <w:r w:rsidRPr="00E4788A">
        <w:fldChar w:fldCharType="separate"/>
      </w:r>
      <w:r>
        <w:t>4.3</w:t>
      </w:r>
      <w:r w:rsidRPr="00E4788A">
        <w:fldChar w:fldCharType="end"/>
      </w:r>
      <w:r>
        <w:t xml:space="preserve"> and </w:t>
      </w:r>
      <w:r>
        <w:fldChar w:fldCharType="begin"/>
      </w:r>
      <w:r>
        <w:instrText xml:space="preserve"> REF _Ref92893407 \r \h </w:instrText>
      </w:r>
      <w:r>
        <w:fldChar w:fldCharType="separate"/>
      </w:r>
      <w:r>
        <w:t>4.7</w:t>
      </w:r>
      <w:r>
        <w:fldChar w:fldCharType="end"/>
      </w:r>
      <w:r w:rsidRPr="00B364CB">
        <w:t xml:space="preserve">, will support the Commission in its activities on international </w:t>
      </w:r>
      <w:r w:rsidRPr="00B364CB">
        <w:lastRenderedPageBreak/>
        <w:t xml:space="preserve">cooperation when required. The European Hydrogen Safety Panel, presented in </w:t>
      </w:r>
      <w:r w:rsidRPr="00E4788A">
        <w:t>Section</w:t>
      </w:r>
      <w:r w:rsidRPr="00B364CB">
        <w:t xml:space="preserve"> </w:t>
      </w:r>
      <w:r w:rsidRPr="00E4788A">
        <w:fldChar w:fldCharType="begin"/>
      </w:r>
      <w:r w:rsidRPr="00B364CB">
        <w:instrText xml:space="preserve"> REF _Ref74837731 \r \h </w:instrText>
      </w:r>
      <w:r w:rsidRPr="00E4788A">
        <w:instrText xml:space="preserve"> \* MERGEFORMAT </w:instrText>
      </w:r>
      <w:r w:rsidRPr="00E4788A">
        <w:fldChar w:fldCharType="separate"/>
      </w:r>
      <w:r>
        <w:t>4.4</w:t>
      </w:r>
      <w:r w:rsidRPr="00E4788A">
        <w:fldChar w:fldCharType="end"/>
      </w:r>
      <w:r w:rsidRPr="00B364CB">
        <w:t>, will continue and expand its collaboration with European and international stakeholders in order to maximise safety and development of the future state-of-the-art.</w:t>
      </w:r>
    </w:p>
    <w:p w14:paraId="66136E08" w14:textId="77777777" w:rsidR="00E66A9C" w:rsidRPr="00B364CB" w:rsidRDefault="00E66A9C" w:rsidP="00E66A9C">
      <w:pPr>
        <w:pStyle w:val="MAWP-Bodytext"/>
      </w:pPr>
      <w:r w:rsidRPr="00B364CB">
        <w:rPr>
          <w:rFonts w:eastAsia="Times New Roman"/>
          <w:noProof/>
          <w:szCs w:val="24"/>
        </w:rPr>
        <w:t xml:space="preserve">The </w:t>
      </w:r>
      <w:r>
        <w:t xml:space="preserve">Clean Hydrogen </w:t>
      </w:r>
      <w:r w:rsidRPr="00B364CB">
        <w:rPr>
          <w:rFonts w:eastAsia="Times New Roman"/>
          <w:noProof/>
          <w:szCs w:val="24"/>
        </w:rPr>
        <w:t xml:space="preserve">JU will continue to provide technical support to the European Commission on its international activities in relation to hydrogen research and innovation, as well as promote its Calls for Proposals intended for international cooperation. The main envisaged </w:t>
      </w:r>
      <w:r>
        <w:rPr>
          <w:rFonts w:eastAsia="Times New Roman"/>
          <w:noProof/>
          <w:szCs w:val="24"/>
        </w:rPr>
        <w:t>support to the Commission</w:t>
      </w:r>
      <w:r w:rsidRPr="00B364CB">
        <w:rPr>
          <w:rFonts w:eastAsia="Times New Roman"/>
          <w:noProof/>
          <w:szCs w:val="24"/>
        </w:rPr>
        <w:t xml:space="preserve"> relate to the </w:t>
      </w:r>
      <w:r w:rsidRPr="00B364CB">
        <w:t xml:space="preserve">IPHE, </w:t>
      </w:r>
      <w:r w:rsidRPr="00B364CB">
        <w:rPr>
          <w:noProof/>
        </w:rPr>
        <w:t>the Clean Energy Ministerial Hydrogen Initiative,</w:t>
      </w:r>
      <w:r w:rsidRPr="00B364CB">
        <w:t xml:space="preserve"> Mission Innovation 2.0</w:t>
      </w:r>
      <w:r>
        <w:t xml:space="preserve"> and</w:t>
      </w:r>
      <w:r w:rsidRPr="00B364CB">
        <w:t xml:space="preserve"> Hydrogen Energy Ministerial. </w:t>
      </w:r>
    </w:p>
    <w:p w14:paraId="1271284A" w14:textId="77777777" w:rsidR="00E66A9C" w:rsidRPr="00B364CB" w:rsidRDefault="00E66A9C" w:rsidP="00E66A9C">
      <w:pPr>
        <w:pStyle w:val="MAWP-Bodytext"/>
      </w:pPr>
      <w:r w:rsidRPr="00B364CB">
        <w:t xml:space="preserve">For the purpose of the IPHE, the </w:t>
      </w:r>
      <w:r>
        <w:t xml:space="preserve">Clean Hydrogen </w:t>
      </w:r>
      <w:r w:rsidRPr="00B364CB">
        <w:t>JU can support the European Commission</w:t>
      </w:r>
      <w:r>
        <w:t xml:space="preserve"> </w:t>
      </w:r>
      <w:r w:rsidRPr="00B364CB">
        <w:t>in the current and forthcoming working groups, such as Standards, Education and Certification, as well as support with technical expertise the European Commission in the Steering Group. In addition</w:t>
      </w:r>
      <w:r>
        <w:t>,</w:t>
      </w:r>
      <w:r w:rsidRPr="00B364CB">
        <w:t xml:space="preserve"> the </w:t>
      </w:r>
      <w:r>
        <w:t xml:space="preserve">Clean Hydrogen </w:t>
      </w:r>
      <w:r w:rsidRPr="00B364CB">
        <w:t xml:space="preserve">JU will continue to </w:t>
      </w:r>
      <w:r>
        <w:t xml:space="preserve">support the European Commission in </w:t>
      </w:r>
      <w:r w:rsidRPr="00B364CB">
        <w:t>provid</w:t>
      </w:r>
      <w:r>
        <w:t>ing</w:t>
      </w:r>
      <w:r w:rsidRPr="00B364CB">
        <w:t xml:space="preserve"> periodical updates on hydrogen activities at EU level to the IPHE</w:t>
      </w:r>
    </w:p>
    <w:p w14:paraId="1A234A45" w14:textId="77777777" w:rsidR="00E66A9C" w:rsidRPr="00B364CB" w:rsidRDefault="00E66A9C" w:rsidP="00E66A9C">
      <w:pPr>
        <w:pStyle w:val="MAWP-Bodytext"/>
      </w:pPr>
      <w:r w:rsidRPr="00B364CB">
        <w:t xml:space="preserve">In the context of the Clean Energy Ministerial Hydrogen Initiative, the </w:t>
      </w:r>
      <w:r>
        <w:t xml:space="preserve">Clean Hydrogen </w:t>
      </w:r>
      <w:r w:rsidRPr="00B364CB">
        <w:t xml:space="preserve">JU will support the European Commission with technical expertise in the different tasks </w:t>
      </w:r>
      <w:r>
        <w:t>the Commission</w:t>
      </w:r>
      <w:r w:rsidRPr="00B364CB">
        <w:t xml:space="preserve"> either co-leads or participates, such as enabling deployment of hydrogen technologies in transport (e.g. ports) and identification of national targets and definition of Global Aspirational goals for hydrogen.</w:t>
      </w:r>
    </w:p>
    <w:p w14:paraId="56E4F30F" w14:textId="77777777" w:rsidR="00E66A9C" w:rsidRPr="00B364CB" w:rsidRDefault="00E66A9C" w:rsidP="00E66A9C">
      <w:pPr>
        <w:pStyle w:val="MAWP-Bodytext"/>
      </w:pPr>
      <w:r w:rsidRPr="00B364CB">
        <w:t xml:space="preserve">Following the successful and close collaboration of the FCH 2 JU with EC representatives on the Mission Innovation – IC8 and the setting up of the Hydrogen Valley Platform, a platform for exchanges between worldwide initiatives on hydrogen valleys, the </w:t>
      </w:r>
      <w:r>
        <w:t xml:space="preserve">Clean Hydrogen </w:t>
      </w:r>
      <w:r w:rsidRPr="00B364CB">
        <w:t xml:space="preserve">JU will continue to contribute in this direction. It will maintain and further improve the Hydrogen Valleys platform, while the </w:t>
      </w:r>
      <w:r>
        <w:t xml:space="preserve">Clean Hydrogen </w:t>
      </w:r>
      <w:r w:rsidRPr="00B364CB">
        <w:t xml:space="preserve">JU will support the European Commission in its co-lead activities. </w:t>
      </w:r>
    </w:p>
    <w:p w14:paraId="284D76EB" w14:textId="77777777" w:rsidR="00E66A9C" w:rsidRPr="00B364CB" w:rsidRDefault="00E66A9C" w:rsidP="00E66A9C">
      <w:pPr>
        <w:pStyle w:val="MAWP-Bodytext"/>
      </w:pPr>
      <w:r w:rsidRPr="00B364CB">
        <w:t xml:space="preserve">Similarly, the </w:t>
      </w:r>
      <w:r>
        <w:t xml:space="preserve">Clean Hydrogen </w:t>
      </w:r>
      <w:r w:rsidRPr="00B364CB">
        <w:t xml:space="preserve">JU </w:t>
      </w:r>
      <w:r>
        <w:t>PO</w:t>
      </w:r>
      <w:r w:rsidRPr="00B364CB">
        <w:t xml:space="preserve"> will continue to support JRC by contributing to the </w:t>
      </w:r>
      <w:r>
        <w:t xml:space="preserve">Commission </w:t>
      </w:r>
      <w:r w:rsidRPr="00B364CB">
        <w:t xml:space="preserve">activities </w:t>
      </w:r>
      <w:r>
        <w:t>for</w:t>
      </w:r>
      <w:r w:rsidRPr="00B364CB">
        <w:t xml:space="preserve"> the International Energy Agency (IEA) Hydrogen Technology Collaboration Programme (HTCP) executive committee. More specifically, it was agreed for the</w:t>
      </w:r>
      <w:r w:rsidRPr="007B70F5">
        <w:t xml:space="preserve"> </w:t>
      </w:r>
      <w:r>
        <w:t>Clean Hydrogen</w:t>
      </w:r>
      <w:r w:rsidRPr="00B364CB">
        <w:t xml:space="preserve"> JU to follow the newly created tasks on Renewable H2 production, Underground Hydrogen Storage and Hydrogen Export Value Chains, in addition to ongoing IEA HIA Task 41 on Analysis and Modelling of Hydrogen Technologies. Moreover, the </w:t>
      </w:r>
      <w:r>
        <w:t xml:space="preserve">Clean Hydrogen </w:t>
      </w:r>
      <w:r w:rsidRPr="00B364CB">
        <w:t xml:space="preserve">JU </w:t>
      </w:r>
      <w:r>
        <w:t>PO</w:t>
      </w:r>
      <w:r w:rsidRPr="00B364CB">
        <w:t xml:space="preserve"> may provide expertise upon request to the IEA Advanced Fuel Cells TCP.  </w:t>
      </w:r>
    </w:p>
    <w:p w14:paraId="3ED7E180" w14:textId="77777777" w:rsidR="00E66A9C" w:rsidRPr="00B364CB" w:rsidRDefault="00E66A9C" w:rsidP="00E66A9C">
      <w:pPr>
        <w:pStyle w:val="MAWP-Bodytext"/>
        <w:rPr>
          <w:rFonts w:eastAsia="Times New Roman"/>
          <w:noProof/>
          <w:szCs w:val="24"/>
        </w:rPr>
      </w:pPr>
      <w:r w:rsidRPr="00B364CB">
        <w:t xml:space="preserve">In terms of knowledge management activities, the </w:t>
      </w:r>
      <w:r>
        <w:t xml:space="preserve">Clean Hydrogen </w:t>
      </w:r>
      <w:r w:rsidRPr="00B364CB">
        <w:t xml:space="preserve">JU will </w:t>
      </w:r>
      <w:r w:rsidRPr="00B364CB">
        <w:rPr>
          <w:rFonts w:eastAsia="Times New Roman"/>
          <w:noProof/>
          <w:szCs w:val="24"/>
        </w:rPr>
        <w:t xml:space="preserve">will seek to sign mutually beneficially cooperation agreements on the sharing of knowledge and the exchange of data with international energy organisations active in the area of hydrogen, like the </w:t>
      </w:r>
      <w:r w:rsidRPr="00B364CB">
        <w:t xml:space="preserve">International Renewable Energy Agency (IRENA), the World Energy Council </w:t>
      </w:r>
      <w:r w:rsidRPr="00B364CB">
        <w:rPr>
          <w:rFonts w:eastAsia="Times New Roman"/>
          <w:noProof/>
          <w:szCs w:val="24"/>
        </w:rPr>
        <w:t xml:space="preserve">and IEA. </w:t>
      </w:r>
    </w:p>
    <w:p w14:paraId="7AF2B3F4" w14:textId="77777777" w:rsidR="00E66A9C" w:rsidRPr="00B364CB" w:rsidRDefault="00E66A9C" w:rsidP="00E66A9C">
      <w:pPr>
        <w:pStyle w:val="MAWP-Bodytext"/>
      </w:pPr>
      <w:r w:rsidRPr="00B364CB">
        <w:rPr>
          <w:rFonts w:eastAsia="Times New Roman"/>
          <w:noProof/>
          <w:szCs w:val="24"/>
        </w:rPr>
        <w:t xml:space="preserve">In view of assisting in the implementation of the International Cooperation Strategy of the Commission, the </w:t>
      </w:r>
      <w:r>
        <w:t xml:space="preserve">Clean Hydrogen </w:t>
      </w:r>
      <w:r w:rsidRPr="00B364CB">
        <w:rPr>
          <w:rFonts w:eastAsia="Times New Roman"/>
          <w:noProof/>
          <w:szCs w:val="24"/>
        </w:rPr>
        <w:t xml:space="preserve">JU </w:t>
      </w:r>
      <w:r>
        <w:rPr>
          <w:rFonts w:eastAsia="Times New Roman"/>
          <w:noProof/>
          <w:szCs w:val="24"/>
        </w:rPr>
        <w:t>may be involved at the Commission’s request in different actions</w:t>
      </w:r>
      <w:r w:rsidRPr="00B364CB">
        <w:rPr>
          <w:rFonts w:eastAsia="Times New Roman"/>
          <w:noProof/>
          <w:szCs w:val="24"/>
        </w:rPr>
        <w:t xml:space="preserve">. In terms of strengthening EUs cooperation with </w:t>
      </w:r>
      <w:r w:rsidRPr="00B364CB">
        <w:t xml:space="preserve">Africa and Latin America, two types of actions are considered </w:t>
      </w:r>
      <w:r>
        <w:t>by the European Commission</w:t>
      </w:r>
      <w:r w:rsidRPr="00B364CB">
        <w:t>. On one hand providing technical assistance in terms of future hydrogen usage, production and export potentials, that could enable their green energy transition. On the other hand, these regions can be ideal candidates for funding demonstration projects, showcasing directly the value of the hydrogen solutions.</w:t>
      </w:r>
    </w:p>
    <w:p w14:paraId="4BEE8A48" w14:textId="77777777" w:rsidR="00E66A9C" w:rsidRPr="00B364CB" w:rsidRDefault="00E66A9C" w:rsidP="00E66A9C">
      <w:pPr>
        <w:pStyle w:val="MAWP-Bodytext"/>
      </w:pPr>
      <w:r w:rsidRPr="00B364CB">
        <w:t>At the same time, the co-operation with our industrialised partners, especially the ones sharing a similar vision with EU for hydrogen, is essential. In th</w:t>
      </w:r>
      <w:r>
        <w:t>e</w:t>
      </w:r>
      <w:r w:rsidRPr="00B364CB">
        <w:t>s</w:t>
      </w:r>
      <w:r>
        <w:t>e</w:t>
      </w:r>
      <w:r w:rsidRPr="00B364CB">
        <w:t xml:space="preserve"> cases one could envisage more formal co-operation with bodies similar to the </w:t>
      </w:r>
      <w:r>
        <w:t xml:space="preserve">Clean Hydrogen </w:t>
      </w:r>
      <w:r w:rsidRPr="00B364CB">
        <w:t xml:space="preserve">JU, promoting research and </w:t>
      </w:r>
      <w:r w:rsidRPr="00B364CB">
        <w:lastRenderedPageBreak/>
        <w:t xml:space="preserve">innovation in hydrogen, as well as activities such as education and training, public awareness and RCS, through e.g. joint events, webinars, roadshows, exchange of expertise. In particular, the </w:t>
      </w:r>
      <w:r>
        <w:t xml:space="preserve">Clean Hydrogen </w:t>
      </w:r>
      <w:r w:rsidRPr="00B364CB">
        <w:t>JU</w:t>
      </w:r>
      <w:r>
        <w:t>, through its PO upon GB validation,</w:t>
      </w:r>
      <w:r w:rsidRPr="00B364CB">
        <w:t xml:space="preserve"> intends to build on the long-term cooperation of the FCH JU with US DOE / EERE, METI / NEDO (Japan) and NRCan (Canada), but also develop relations, as necessary, with other countries and regions according to EU’s international cooperation agreements. </w:t>
      </w:r>
    </w:p>
    <w:p w14:paraId="307C4093" w14:textId="4FD5E4F3" w:rsidR="00FE6443" w:rsidRPr="00B364CB" w:rsidRDefault="0068049C" w:rsidP="006802D3">
      <w:pPr>
        <w:pStyle w:val="Subtitle"/>
      </w:pPr>
      <w:bookmarkStart w:id="216" w:name="_Toc93907356"/>
      <w:r w:rsidRPr="00B364CB">
        <w:t>Communication</w:t>
      </w:r>
      <w:bookmarkEnd w:id="216"/>
    </w:p>
    <w:bookmarkEnd w:id="212"/>
    <w:bookmarkEnd w:id="213"/>
    <w:bookmarkEnd w:id="214"/>
    <w:p w14:paraId="4B9B1F32" w14:textId="555F9204" w:rsidR="00282FC0" w:rsidRPr="00282FC0" w:rsidRDefault="00282FC0" w:rsidP="00282FC0">
      <w:pPr>
        <w:pStyle w:val="MAWP-Bodytext"/>
        <w:rPr>
          <w:rFonts w:eastAsia="Times New Roman"/>
          <w:noProof/>
          <w:szCs w:val="24"/>
        </w:rPr>
      </w:pPr>
      <w:r w:rsidRPr="00282FC0">
        <w:rPr>
          <w:rFonts w:eastAsia="Times New Roman"/>
          <w:noProof/>
          <w:szCs w:val="24"/>
        </w:rPr>
        <w:t xml:space="preserve">Communication has become increasingly important and ambitious, in an environment that is keen to absorb </w:t>
      </w:r>
      <w:r>
        <w:rPr>
          <w:rFonts w:eastAsia="Times New Roman"/>
          <w:noProof/>
          <w:szCs w:val="24"/>
        </w:rPr>
        <w:t>increasing amounts of</w:t>
      </w:r>
      <w:r w:rsidRPr="00282FC0">
        <w:rPr>
          <w:rFonts w:eastAsia="Times New Roman"/>
          <w:noProof/>
          <w:szCs w:val="24"/>
        </w:rPr>
        <w:t xml:space="preserve"> information about the hydrogen technologies. It forms a key element of the partnership activities; moreover, it is included as one of the specific objectives of the partnership.</w:t>
      </w:r>
    </w:p>
    <w:p w14:paraId="1908B17C" w14:textId="596B333D" w:rsidR="00282FC0" w:rsidRPr="00282FC0" w:rsidRDefault="00282FC0" w:rsidP="00282FC0">
      <w:pPr>
        <w:pStyle w:val="MAWP-Bodytext"/>
        <w:rPr>
          <w:rFonts w:eastAsia="Times New Roman"/>
          <w:noProof/>
          <w:szCs w:val="24"/>
        </w:rPr>
      </w:pPr>
      <w:r w:rsidRPr="00282FC0">
        <w:rPr>
          <w:rFonts w:eastAsia="Times New Roman"/>
          <w:noProof/>
          <w:szCs w:val="24"/>
        </w:rPr>
        <w:t xml:space="preserve">The communication </w:t>
      </w:r>
      <w:r w:rsidR="006B7290">
        <w:rPr>
          <w:rFonts w:eastAsia="Times New Roman"/>
          <w:noProof/>
          <w:szCs w:val="24"/>
        </w:rPr>
        <w:t>policy</w:t>
      </w:r>
      <w:r w:rsidRPr="00282FC0">
        <w:rPr>
          <w:rFonts w:eastAsia="Times New Roman"/>
          <w:noProof/>
          <w:szCs w:val="24"/>
        </w:rPr>
        <w:t xml:space="preserve"> of the Clean Hydrogen </w:t>
      </w:r>
      <w:r w:rsidR="00B74AFC">
        <w:rPr>
          <w:rFonts w:eastAsia="Times New Roman"/>
          <w:noProof/>
          <w:szCs w:val="24"/>
        </w:rPr>
        <w:t xml:space="preserve">JU </w:t>
      </w:r>
      <w:r w:rsidRPr="00282FC0">
        <w:rPr>
          <w:rFonts w:eastAsia="Times New Roman"/>
          <w:noProof/>
          <w:szCs w:val="24"/>
        </w:rPr>
        <w:t xml:space="preserve">will focus on the following objectives: </w:t>
      </w:r>
    </w:p>
    <w:p w14:paraId="7D8DA03C" w14:textId="5BF8FEAD" w:rsidR="00282FC0" w:rsidRPr="00282FC0" w:rsidRDefault="00282FC0" w:rsidP="002256F6">
      <w:pPr>
        <w:pStyle w:val="MAWP-Bodytext"/>
        <w:numPr>
          <w:ilvl w:val="0"/>
          <w:numId w:val="59"/>
        </w:numPr>
        <w:rPr>
          <w:rFonts w:eastAsia="Times New Roman"/>
          <w:noProof/>
          <w:szCs w:val="24"/>
        </w:rPr>
      </w:pPr>
      <w:r w:rsidRPr="00282FC0">
        <w:rPr>
          <w:rFonts w:eastAsia="Times New Roman"/>
          <w:noProof/>
          <w:szCs w:val="24"/>
        </w:rPr>
        <w:t xml:space="preserve">Position the partnership as an important factor in the development of the hydrogen technologies sector and a key partner to </w:t>
      </w:r>
      <w:r w:rsidR="00A649B0">
        <w:rPr>
          <w:rFonts w:eastAsia="Times New Roman"/>
          <w:noProof/>
          <w:szCs w:val="24"/>
        </w:rPr>
        <w:t xml:space="preserve">achieve </w:t>
      </w:r>
      <w:r w:rsidRPr="00282FC0">
        <w:rPr>
          <w:rFonts w:eastAsia="Times New Roman"/>
          <w:noProof/>
          <w:szCs w:val="24"/>
        </w:rPr>
        <w:t xml:space="preserve">the </w:t>
      </w:r>
      <w:r w:rsidR="006A57AC">
        <w:rPr>
          <w:rFonts w:eastAsia="Times New Roman"/>
          <w:noProof/>
          <w:szCs w:val="24"/>
        </w:rPr>
        <w:t xml:space="preserve">targets of </w:t>
      </w:r>
      <w:r w:rsidRPr="00282FC0">
        <w:rPr>
          <w:rFonts w:eastAsia="Times New Roman"/>
          <w:noProof/>
          <w:szCs w:val="24"/>
        </w:rPr>
        <w:t xml:space="preserve">the EU Green Deal. </w:t>
      </w:r>
    </w:p>
    <w:p w14:paraId="3D4914DC" w14:textId="7A4F10BB" w:rsidR="00282FC0" w:rsidRPr="00282FC0" w:rsidRDefault="00282FC0" w:rsidP="00282FC0">
      <w:pPr>
        <w:pStyle w:val="MAWP-Bodytext"/>
        <w:rPr>
          <w:rFonts w:eastAsia="Times New Roman"/>
          <w:noProof/>
          <w:szCs w:val="24"/>
        </w:rPr>
      </w:pPr>
      <w:r w:rsidRPr="00282FC0">
        <w:rPr>
          <w:rFonts w:eastAsia="Times New Roman"/>
          <w:noProof/>
          <w:szCs w:val="24"/>
        </w:rPr>
        <w:t xml:space="preserve">Communication will raise the profile of the Clean Hydrogen </w:t>
      </w:r>
      <w:r w:rsidR="00B74AFC">
        <w:rPr>
          <w:rFonts w:eastAsia="Times New Roman"/>
          <w:noProof/>
          <w:szCs w:val="24"/>
        </w:rPr>
        <w:t>JU</w:t>
      </w:r>
      <w:r w:rsidRPr="00282FC0">
        <w:rPr>
          <w:rFonts w:eastAsia="Times New Roman"/>
          <w:noProof/>
          <w:szCs w:val="24"/>
        </w:rPr>
        <w:t xml:space="preserve"> as being the key European strategic initiative for focused, coordinated and competitive research activities in the field of hydrogen </w:t>
      </w:r>
      <w:r w:rsidR="00E728F5" w:rsidRPr="00282FC0">
        <w:rPr>
          <w:rFonts w:eastAsia="Times New Roman"/>
          <w:noProof/>
          <w:szCs w:val="24"/>
        </w:rPr>
        <w:t>technologies</w:t>
      </w:r>
      <w:r w:rsidR="00E728F5">
        <w:rPr>
          <w:rFonts w:eastAsia="Times New Roman"/>
          <w:noProof/>
          <w:szCs w:val="24"/>
        </w:rPr>
        <w:t>.</w:t>
      </w:r>
    </w:p>
    <w:p w14:paraId="37B20786" w14:textId="646DC928" w:rsidR="00282FC0" w:rsidRPr="00282FC0" w:rsidRDefault="00282FC0" w:rsidP="002256F6">
      <w:pPr>
        <w:pStyle w:val="MAWP-Bodytext"/>
        <w:numPr>
          <w:ilvl w:val="0"/>
          <w:numId w:val="59"/>
        </w:numPr>
        <w:rPr>
          <w:rFonts w:eastAsia="Times New Roman"/>
          <w:noProof/>
          <w:szCs w:val="24"/>
        </w:rPr>
      </w:pPr>
      <w:r w:rsidRPr="00282FC0">
        <w:rPr>
          <w:rFonts w:eastAsia="Times New Roman"/>
          <w:noProof/>
          <w:szCs w:val="24"/>
        </w:rPr>
        <w:t xml:space="preserve">Build public awareness and acceptance of </w:t>
      </w:r>
      <w:r w:rsidR="000E7FCF">
        <w:rPr>
          <w:rFonts w:eastAsia="Times New Roman"/>
          <w:noProof/>
          <w:szCs w:val="24"/>
        </w:rPr>
        <w:t xml:space="preserve">the </w:t>
      </w:r>
      <w:r w:rsidRPr="00282FC0">
        <w:rPr>
          <w:rFonts w:eastAsia="Times New Roman"/>
          <w:noProof/>
          <w:szCs w:val="24"/>
        </w:rPr>
        <w:t>hydrogen technologies</w:t>
      </w:r>
    </w:p>
    <w:p w14:paraId="43D78415" w14:textId="242DDF21" w:rsidR="00282FC0" w:rsidRPr="00282FC0" w:rsidRDefault="00282FC0" w:rsidP="00282FC0">
      <w:pPr>
        <w:pStyle w:val="MAWP-Bodytext"/>
        <w:rPr>
          <w:rFonts w:eastAsia="Times New Roman"/>
          <w:noProof/>
          <w:szCs w:val="24"/>
        </w:rPr>
      </w:pPr>
      <w:r w:rsidRPr="00282FC0">
        <w:rPr>
          <w:rFonts w:eastAsia="Times New Roman"/>
          <w:noProof/>
          <w:szCs w:val="24"/>
        </w:rPr>
        <w:t>Communication and dissemination activities will contribute towards building a strong societal and political support for the development and upta</w:t>
      </w:r>
      <w:r>
        <w:rPr>
          <w:rFonts w:eastAsia="Times New Roman"/>
          <w:noProof/>
          <w:szCs w:val="24"/>
        </w:rPr>
        <w:t>ke of the hydrogen technologies</w:t>
      </w:r>
      <w:r w:rsidRPr="00282FC0">
        <w:rPr>
          <w:rFonts w:eastAsia="Times New Roman"/>
          <w:noProof/>
          <w:szCs w:val="24"/>
        </w:rPr>
        <w:t>.</w:t>
      </w:r>
    </w:p>
    <w:p w14:paraId="3DF302C1" w14:textId="77777777" w:rsidR="00282FC0" w:rsidRPr="00282FC0" w:rsidRDefault="00282FC0" w:rsidP="002256F6">
      <w:pPr>
        <w:pStyle w:val="MAWP-Bodytext"/>
        <w:numPr>
          <w:ilvl w:val="0"/>
          <w:numId w:val="59"/>
        </w:numPr>
        <w:rPr>
          <w:rFonts w:eastAsia="Times New Roman"/>
          <w:noProof/>
          <w:szCs w:val="24"/>
        </w:rPr>
      </w:pPr>
      <w:r w:rsidRPr="00282FC0">
        <w:rPr>
          <w:rFonts w:eastAsia="Times New Roman"/>
          <w:noProof/>
          <w:szCs w:val="24"/>
        </w:rPr>
        <w:t xml:space="preserve">Ensure communication towards and between key stakeholders </w:t>
      </w:r>
    </w:p>
    <w:p w14:paraId="2EBD79E2" w14:textId="1CE5E850" w:rsidR="00282FC0" w:rsidRPr="00282FC0" w:rsidRDefault="00282FC0" w:rsidP="00282FC0">
      <w:pPr>
        <w:pStyle w:val="MAWP-Bodytext"/>
        <w:rPr>
          <w:rFonts w:eastAsia="Times New Roman"/>
          <w:noProof/>
          <w:szCs w:val="24"/>
        </w:rPr>
      </w:pPr>
      <w:r w:rsidRPr="00282FC0">
        <w:rPr>
          <w:rFonts w:eastAsia="Times New Roman"/>
          <w:noProof/>
          <w:szCs w:val="24"/>
        </w:rPr>
        <w:t>Cooperation with other European partnerships under Horizon Europe will be key for building the public awareness and political support for the technology. Communication will benefit from building synergies and establishing strong links with the projects, the members of the partnership</w:t>
      </w:r>
      <w:r w:rsidR="00E728F5">
        <w:rPr>
          <w:rFonts w:eastAsia="Times New Roman"/>
          <w:noProof/>
          <w:szCs w:val="24"/>
        </w:rPr>
        <w:t>s</w:t>
      </w:r>
      <w:r w:rsidRPr="00282FC0">
        <w:rPr>
          <w:rFonts w:eastAsia="Times New Roman"/>
          <w:noProof/>
          <w:szCs w:val="24"/>
        </w:rPr>
        <w:t xml:space="preserve"> </w:t>
      </w:r>
      <w:r w:rsidR="008E441A">
        <w:rPr>
          <w:rFonts w:eastAsia="Times New Roman"/>
          <w:noProof/>
          <w:szCs w:val="24"/>
        </w:rPr>
        <w:t xml:space="preserve">, </w:t>
      </w:r>
      <w:r w:rsidRPr="00282FC0">
        <w:rPr>
          <w:rFonts w:eastAsia="Times New Roman"/>
          <w:noProof/>
          <w:szCs w:val="24"/>
        </w:rPr>
        <w:t xml:space="preserve">and other initiatives </w:t>
      </w:r>
      <w:r w:rsidR="00E728F5">
        <w:rPr>
          <w:rFonts w:eastAsia="Times New Roman"/>
          <w:noProof/>
          <w:szCs w:val="24"/>
        </w:rPr>
        <w:t xml:space="preserve">and networks </w:t>
      </w:r>
      <w:r w:rsidRPr="00282FC0">
        <w:rPr>
          <w:rFonts w:eastAsia="Times New Roman"/>
          <w:noProof/>
          <w:szCs w:val="24"/>
        </w:rPr>
        <w:t>– at European and global level</w:t>
      </w:r>
      <w:r w:rsidR="008E441A">
        <w:rPr>
          <w:rFonts w:eastAsia="Times New Roman"/>
          <w:noProof/>
          <w:szCs w:val="24"/>
        </w:rPr>
        <w:t>, such as the Horizon Europe NCP network</w:t>
      </w:r>
      <w:r w:rsidR="00E728F5">
        <w:rPr>
          <w:rFonts w:eastAsia="Times New Roman"/>
          <w:noProof/>
          <w:szCs w:val="24"/>
        </w:rPr>
        <w:t>.</w:t>
      </w:r>
    </w:p>
    <w:p w14:paraId="26CDFAF2" w14:textId="77777777" w:rsidR="00282FC0" w:rsidRPr="00282FC0" w:rsidRDefault="00282FC0" w:rsidP="002256F6">
      <w:pPr>
        <w:pStyle w:val="MAWP-Bodytext"/>
        <w:numPr>
          <w:ilvl w:val="0"/>
          <w:numId w:val="59"/>
        </w:numPr>
        <w:rPr>
          <w:rFonts w:eastAsia="Times New Roman"/>
          <w:noProof/>
          <w:szCs w:val="24"/>
        </w:rPr>
      </w:pPr>
      <w:r w:rsidRPr="00282FC0">
        <w:rPr>
          <w:rFonts w:eastAsia="Times New Roman"/>
          <w:noProof/>
          <w:szCs w:val="24"/>
        </w:rPr>
        <w:t xml:space="preserve">Inform about the funding opportunities facilitated by the partnership and about the results of the projects and initiatives </w:t>
      </w:r>
    </w:p>
    <w:p w14:paraId="131FC368" w14:textId="77777777" w:rsidR="006523B1" w:rsidRDefault="00282FC0" w:rsidP="00FE6443">
      <w:pPr>
        <w:pStyle w:val="MAWP-Bodytext"/>
        <w:rPr>
          <w:rFonts w:eastAsia="Times New Roman"/>
          <w:noProof/>
          <w:szCs w:val="24"/>
        </w:rPr>
      </w:pPr>
      <w:r w:rsidRPr="00282FC0">
        <w:rPr>
          <w:rFonts w:eastAsia="Times New Roman"/>
          <w:noProof/>
          <w:szCs w:val="24"/>
        </w:rPr>
        <w:t>Present and promote the results of the projects funded by the partnership.</w:t>
      </w:r>
      <w:r>
        <w:rPr>
          <w:rFonts w:eastAsia="Times New Roman"/>
          <w:noProof/>
          <w:szCs w:val="24"/>
        </w:rPr>
        <w:t xml:space="preserve"> </w:t>
      </w:r>
      <w:r w:rsidRPr="00282FC0">
        <w:rPr>
          <w:rFonts w:eastAsia="Times New Roman"/>
          <w:noProof/>
          <w:szCs w:val="24"/>
        </w:rPr>
        <w:t xml:space="preserve">Attract relevant and varied types of beneficiaries for developing innovative, successful projects. </w:t>
      </w:r>
    </w:p>
    <w:p w14:paraId="48E06A2B" w14:textId="414FCD80" w:rsidR="0068049C" w:rsidRPr="00282FC0" w:rsidRDefault="006523B1" w:rsidP="00FE6443">
      <w:pPr>
        <w:pStyle w:val="MAWP-Bodytext"/>
        <w:rPr>
          <w:rFonts w:eastAsia="Times New Roman"/>
          <w:noProof/>
          <w:szCs w:val="24"/>
        </w:rPr>
      </w:pPr>
      <w:r>
        <w:rPr>
          <w:rFonts w:eastAsia="Times New Roman"/>
          <w:noProof/>
          <w:szCs w:val="24"/>
        </w:rPr>
        <w:t>The details of JU’s Comunciation Policy can be found separately in the relevant document.</w:t>
      </w:r>
      <w:r>
        <w:rPr>
          <w:rStyle w:val="FootnoteReference"/>
          <w:rFonts w:eastAsia="Times New Roman"/>
          <w:noProof/>
          <w:szCs w:val="24"/>
        </w:rPr>
        <w:footnoteReference w:id="233"/>
      </w:r>
      <w:r w:rsidR="0068049C" w:rsidRPr="00282FC0">
        <w:rPr>
          <w:rFonts w:eastAsia="Times New Roman"/>
          <w:noProof/>
          <w:szCs w:val="24"/>
        </w:rPr>
        <w:br w:type="page"/>
      </w:r>
    </w:p>
    <w:p w14:paraId="6DF245DF" w14:textId="5AAB5B15" w:rsidR="00E9707C" w:rsidRPr="00B364CB" w:rsidRDefault="00E9707C" w:rsidP="00E9707C">
      <w:pPr>
        <w:pStyle w:val="Heading11"/>
        <w:keepNext/>
        <w:keepLines/>
        <w:numPr>
          <w:ilvl w:val="0"/>
          <w:numId w:val="1"/>
        </w:numPr>
        <w:shd w:val="clear" w:color="auto" w:fill="auto"/>
        <w:tabs>
          <w:tab w:val="left" w:pos="850"/>
        </w:tabs>
        <w:spacing w:after="240" w:line="276" w:lineRule="auto"/>
        <w:jc w:val="left"/>
        <w:rPr>
          <w:rStyle w:val="MAWPTitle"/>
          <w:lang w:val="en-GB"/>
        </w:rPr>
      </w:pPr>
      <w:bookmarkStart w:id="217" w:name="_Toc64640590"/>
      <w:bookmarkStart w:id="218" w:name="_Toc93907357"/>
      <w:bookmarkStart w:id="219" w:name="_Hlk93671894"/>
      <w:r w:rsidRPr="00B364CB">
        <w:rPr>
          <w:rStyle w:val="MAWPTitle"/>
          <w:lang w:val="en-GB"/>
        </w:rPr>
        <w:lastRenderedPageBreak/>
        <w:t>Programme implementation</w:t>
      </w:r>
      <w:bookmarkEnd w:id="217"/>
      <w:bookmarkEnd w:id="218"/>
    </w:p>
    <w:p w14:paraId="67A85E79" w14:textId="38F15D5A" w:rsidR="00262E08" w:rsidRPr="00B364CB" w:rsidRDefault="00262E08" w:rsidP="006802D3">
      <w:pPr>
        <w:pStyle w:val="Subtitle"/>
      </w:pPr>
      <w:bookmarkStart w:id="220" w:name="_Toc64640591"/>
      <w:bookmarkStart w:id="221" w:name="_Toc93907358"/>
      <w:r w:rsidRPr="00B364CB">
        <w:t>Budget</w:t>
      </w:r>
      <w:bookmarkEnd w:id="220"/>
      <w:bookmarkEnd w:id="221"/>
    </w:p>
    <w:p w14:paraId="3DA81E97" w14:textId="4AB3E078" w:rsidR="00785823" w:rsidRPr="00B364CB" w:rsidRDefault="00785823" w:rsidP="00785823">
      <w:pPr>
        <w:pStyle w:val="MAWP-Bodytext"/>
      </w:pPr>
      <w:r w:rsidRPr="00B364CB">
        <w:t xml:space="preserve">The budget of the </w:t>
      </w:r>
      <w:r w:rsidR="009A5657" w:rsidRPr="00B364CB">
        <w:t>Clean Hydrogen</w:t>
      </w:r>
      <w:r w:rsidRPr="00B364CB">
        <w:t xml:space="preserve"> JU shall be formed of contributions from the Union and its members other than the Union – namely Hydrogen Europe and Hydrogen Europe Research.  </w:t>
      </w:r>
    </w:p>
    <w:p w14:paraId="75AA4F29" w14:textId="33ABA4AC" w:rsidR="00785823" w:rsidRPr="00B364CB" w:rsidRDefault="00785823" w:rsidP="00785823">
      <w:pPr>
        <w:pStyle w:val="MAWP-Bodytext"/>
      </w:pPr>
      <w:r w:rsidRPr="00B364CB">
        <w:t xml:space="preserve">The contributions to the joint </w:t>
      </w:r>
      <w:r w:rsidRPr="00637F43">
        <w:t xml:space="preserve">undertaking shall cover administrative and operational costs up to the maximum amounts specified in </w:t>
      </w:r>
      <w:r w:rsidRPr="00E4788A">
        <w:t>Part III of the SBA</w:t>
      </w:r>
      <w:r w:rsidR="00A5568F" w:rsidRPr="00E4788A">
        <w:t xml:space="preserve"> </w:t>
      </w:r>
      <w:r w:rsidRPr="00E4788A">
        <w:t xml:space="preserve">under Articles </w:t>
      </w:r>
      <w:r w:rsidR="00F6172A" w:rsidRPr="00E4788A">
        <w:t>7</w:t>
      </w:r>
      <w:r w:rsidR="00F6172A">
        <w:t>6</w:t>
      </w:r>
      <w:r w:rsidR="00F6172A" w:rsidRPr="00E4788A">
        <w:t xml:space="preserve"> </w:t>
      </w:r>
      <w:r w:rsidRPr="00E4788A">
        <w:t xml:space="preserve">and </w:t>
      </w:r>
      <w:r w:rsidR="00F6172A" w:rsidRPr="00E4788A">
        <w:t>7</w:t>
      </w:r>
      <w:r w:rsidR="00F6172A">
        <w:t>7</w:t>
      </w:r>
      <w:r w:rsidRPr="00E4788A">
        <w:t>.</w:t>
      </w:r>
      <w:r w:rsidRPr="00637F43">
        <w:t xml:space="preserve"> The Union contribution may be increased with contributions</w:t>
      </w:r>
      <w:r w:rsidRPr="00B364CB">
        <w:t xml:space="preserve"> from third countries</w:t>
      </w:r>
      <w:r w:rsidR="00F6172A">
        <w:t xml:space="preserve"> associated with Horizon Europe </w:t>
      </w:r>
      <w:r w:rsidR="00F6172A" w:rsidRPr="00F6172A">
        <w:t>provided that the total amount by which the Union contribution is increased is at least matched by the contribution of members other than the Union, or their constituent or affiliated entities.</w:t>
      </w:r>
      <w:r w:rsidR="00F6172A">
        <w:rPr>
          <w:rStyle w:val="FootnoteReference"/>
        </w:rPr>
        <w:footnoteReference w:id="234"/>
      </w:r>
      <w:r w:rsidRPr="00B364CB">
        <w:t xml:space="preserve"> Additionally the budget may be complemented through additional Union funds, corresponding to additional tasks entrusted to a joint undertaking, which shall not be accounted for in the calculation of the Union maximum financial contribution.</w:t>
      </w:r>
      <w:r w:rsidR="00F6172A">
        <w:rPr>
          <w:rStyle w:val="FootnoteReference"/>
        </w:rPr>
        <w:footnoteReference w:id="235"/>
      </w:r>
    </w:p>
    <w:p w14:paraId="21ABBC9A" w14:textId="0B3568AE" w:rsidR="00785823" w:rsidRPr="00637F43" w:rsidRDefault="00785823" w:rsidP="00785823">
      <w:pPr>
        <w:pStyle w:val="MAWP-Bodytext"/>
      </w:pPr>
      <w:r w:rsidRPr="00B364CB">
        <w:t xml:space="preserve">The administrative costs shall not </w:t>
      </w:r>
      <w:r w:rsidRPr="00637F43">
        <w:t xml:space="preserve">exceed </w:t>
      </w:r>
      <w:r w:rsidRPr="00E4788A">
        <w:t>EUR 60</w:t>
      </w:r>
      <w:r w:rsidR="009A5657" w:rsidRPr="00E4788A">
        <w:t xml:space="preserve"> </w:t>
      </w:r>
      <w:r w:rsidRPr="00E4788A">
        <w:t>386</w:t>
      </w:r>
      <w:r w:rsidR="009A5657" w:rsidRPr="00E4788A">
        <w:t xml:space="preserve"> </w:t>
      </w:r>
      <w:r w:rsidRPr="00E4788A">
        <w:t>000</w:t>
      </w:r>
      <w:r w:rsidRPr="00637F43">
        <w:t>; it shall be covered by financial contributions on an annual basis, divided equally between the Union and the</w:t>
      </w:r>
      <w:r w:rsidR="009A5657" w:rsidRPr="00637F43">
        <w:t xml:space="preserve"> private Members</w:t>
      </w:r>
      <w:r w:rsidRPr="00637F43">
        <w:t xml:space="preserve">. If part of the contribution for administrative costs is not used, it may be made available for the operational activities of the </w:t>
      </w:r>
      <w:r w:rsidR="009A5657" w:rsidRPr="00637F43">
        <w:t>Clean Hydrogen</w:t>
      </w:r>
      <w:r w:rsidRPr="00637F43">
        <w:t xml:space="preserve"> JU. Administrative costs will cover administrative expenditures such as staff costs, rental of building, equipment, IT equipment and maintenance, evaluation costs, meetings, etc.</w:t>
      </w:r>
    </w:p>
    <w:p w14:paraId="546F1837" w14:textId="7BD753AE" w:rsidR="00785823" w:rsidRPr="00CA0B29" w:rsidRDefault="00785823" w:rsidP="00785823">
      <w:pPr>
        <w:pStyle w:val="MAWP-Bodytext"/>
      </w:pPr>
      <w:r w:rsidRPr="00637F43">
        <w:t xml:space="preserve">The operational costs of the </w:t>
      </w:r>
      <w:r w:rsidR="009A5657" w:rsidRPr="00637F43">
        <w:t>Clean Hydrogen</w:t>
      </w:r>
      <w:r w:rsidRPr="00637F43">
        <w:t xml:space="preserve"> JU will be covered through the financial contribution from the </w:t>
      </w:r>
      <w:r w:rsidRPr="00CA0B29">
        <w:t>Union (EUR 969 807 000, not including additional tasks or contributions from third countries), and through in kind contributions (consisting of the eligible costs incurred in implementing indirect actions less the EU contribution) by Members other than the Union.</w:t>
      </w:r>
      <w:r w:rsidR="0047362A" w:rsidRPr="00CA0B29">
        <w:t xml:space="preserve"> The </w:t>
      </w:r>
      <w:r w:rsidR="008D5931">
        <w:t>EU</w:t>
      </w:r>
      <w:r w:rsidR="008D5931" w:rsidRPr="00CA0B29">
        <w:t xml:space="preserve"> </w:t>
      </w:r>
      <w:r w:rsidR="008D5931">
        <w:t>contribution</w:t>
      </w:r>
      <w:r w:rsidR="008D5931" w:rsidRPr="00CA0B29">
        <w:t xml:space="preserve"> </w:t>
      </w:r>
      <w:r w:rsidR="0047362A" w:rsidRPr="00CA0B29">
        <w:t xml:space="preserve">is </w:t>
      </w:r>
      <w:r w:rsidR="00AA0393">
        <w:t xml:space="preserve">approximately </w:t>
      </w:r>
      <w:r w:rsidR="0047362A" w:rsidRPr="00CA0B29">
        <w:t xml:space="preserve">30% less than the </w:t>
      </w:r>
      <w:r w:rsidR="00AA0393">
        <w:t xml:space="preserve">estimated </w:t>
      </w:r>
      <w:r w:rsidR="0047362A" w:rsidRPr="00CA0B29">
        <w:t xml:space="preserve">budget by the private </w:t>
      </w:r>
      <w:r w:rsidR="008D5931">
        <w:t>members</w:t>
      </w:r>
      <w:r w:rsidR="008D5931" w:rsidRPr="00CA0B29">
        <w:t xml:space="preserve"> </w:t>
      </w:r>
      <w:r w:rsidR="008D5931">
        <w:t xml:space="preserve">to achieve </w:t>
      </w:r>
      <w:r w:rsidR="00771460">
        <w:t xml:space="preserve">the </w:t>
      </w:r>
      <w:r w:rsidR="008D5931">
        <w:t>objectives of</w:t>
      </w:r>
      <w:r w:rsidR="0047362A" w:rsidRPr="00CA0B29">
        <w:t xml:space="preserve"> </w:t>
      </w:r>
      <w:r w:rsidR="00F22FEB">
        <w:t>SRIA-HE</w:t>
      </w:r>
      <w:r w:rsidR="0047362A" w:rsidRPr="00CA0B29">
        <w:t xml:space="preserve">. Nevertheless, the </w:t>
      </w:r>
      <w:r w:rsidR="002967E8">
        <w:t>SRIA</w:t>
      </w:r>
      <w:r w:rsidR="0047362A" w:rsidRPr="00CA0B29">
        <w:t xml:space="preserve"> retains the ambitiousness of the </w:t>
      </w:r>
      <w:r w:rsidR="00F22FEB">
        <w:t>SRIA-HE</w:t>
      </w:r>
      <w:r w:rsidR="0047362A" w:rsidRPr="00CA0B29">
        <w:t xml:space="preserve"> in term of activities</w:t>
      </w:r>
      <w:r w:rsidR="008D5931">
        <w:t xml:space="preserve"> and related </w:t>
      </w:r>
      <w:r w:rsidR="00771460">
        <w:t>objectives</w:t>
      </w:r>
      <w:r w:rsidR="0047362A" w:rsidRPr="00CA0B29">
        <w:t xml:space="preserve">, under the understanding </w:t>
      </w:r>
      <w:r w:rsidR="008D5931">
        <w:t xml:space="preserve">that </w:t>
      </w:r>
      <w:r w:rsidR="0047362A" w:rsidRPr="00CA0B29">
        <w:t xml:space="preserve">certain prioritising </w:t>
      </w:r>
      <w:r w:rsidR="00771460">
        <w:t>may</w:t>
      </w:r>
      <w:r w:rsidR="00771460" w:rsidRPr="00CA0B29">
        <w:t xml:space="preserve"> </w:t>
      </w:r>
      <w:r w:rsidR="0047362A" w:rsidRPr="00CA0B29">
        <w:t>need to be implemented over the seven years</w:t>
      </w:r>
      <w:r w:rsidR="00040089">
        <w:t>. Therefore,</w:t>
      </w:r>
      <w:r w:rsidR="0047362A" w:rsidRPr="00CA0B29">
        <w:t xml:space="preserve"> not all activities described in this document </w:t>
      </w:r>
      <w:r w:rsidR="008D5931">
        <w:t>may</w:t>
      </w:r>
      <w:r w:rsidR="008D5931" w:rsidRPr="00CA0B29">
        <w:t xml:space="preserve"> </w:t>
      </w:r>
      <w:r w:rsidR="0047362A" w:rsidRPr="00CA0B29">
        <w:t xml:space="preserve">be performed by the </w:t>
      </w:r>
      <w:r w:rsidR="007B70F5">
        <w:t xml:space="preserve">Clean Hydrogen </w:t>
      </w:r>
      <w:r w:rsidR="0047362A" w:rsidRPr="00CA0B29">
        <w:t>JU</w:t>
      </w:r>
      <w:r w:rsidR="00586FC2">
        <w:t xml:space="preserve"> </w:t>
      </w:r>
      <w:r w:rsidR="00771460">
        <w:t>without</w:t>
      </w:r>
      <w:r w:rsidR="00040089">
        <w:t xml:space="preserve"> the</w:t>
      </w:r>
      <w:r w:rsidR="00771460">
        <w:t xml:space="preserve"> </w:t>
      </w:r>
      <w:r w:rsidR="00586FC2">
        <w:t xml:space="preserve">additional </w:t>
      </w:r>
      <w:r w:rsidR="00040089">
        <w:t xml:space="preserve">required </w:t>
      </w:r>
      <w:r w:rsidR="00586FC2">
        <w:t>contribution</w:t>
      </w:r>
      <w:r w:rsidR="00771460">
        <w:t>s</w:t>
      </w:r>
      <w:r w:rsidR="00586FC2">
        <w:t xml:space="preserve"> </w:t>
      </w:r>
      <w:r w:rsidR="00040089">
        <w:t>to the Clean Hydrogen JU budget</w:t>
      </w:r>
      <w:r w:rsidR="0047362A" w:rsidRPr="00CA0B29">
        <w:t xml:space="preserve">.   </w:t>
      </w:r>
    </w:p>
    <w:p w14:paraId="2672A041" w14:textId="679CF910" w:rsidR="00785823" w:rsidRPr="00CA0B29" w:rsidRDefault="00785823" w:rsidP="00785823">
      <w:pPr>
        <w:pStyle w:val="MAWP-Bodytext"/>
      </w:pPr>
      <w:r w:rsidRPr="00CA0B29">
        <w:t xml:space="preserve">For the implementation of the budget, in accordance with the Legislative Financial Statement accompanying the SBA, the Clean Hydrogen </w:t>
      </w:r>
      <w:r w:rsidR="009A5657" w:rsidRPr="00CA0B29">
        <w:t>JU</w:t>
      </w:r>
      <w:r w:rsidRPr="00CA0B29">
        <w:t xml:space="preserve"> will conclude a Delegation Agreement, as well as annual Transfer of Funds agreements with the European Commission. Financing Agreements with its private Members will be concluded for their contribution to administrative budget</w:t>
      </w:r>
      <w:r w:rsidR="009A5657" w:rsidRPr="00CA0B29">
        <w:t>.</w:t>
      </w:r>
    </w:p>
    <w:p w14:paraId="51FE6748" w14:textId="209E9748" w:rsidR="005D19CB" w:rsidRPr="00CA0B29" w:rsidRDefault="009A5657" w:rsidP="00785823">
      <w:pPr>
        <w:pStyle w:val="MAWP-Bodytext"/>
      </w:pPr>
      <w:r w:rsidRPr="00CA0B29">
        <w:t xml:space="preserve">In order to achieve its objectives, the Clean Hydrogen JU shall provide financial support mainly in the form of grants to participants following open and competitive Calls for proposals. </w:t>
      </w:r>
      <w:r w:rsidR="005D19CB">
        <w:t>At least 10% of budget should be implemented through activities at low TRL.</w:t>
      </w:r>
    </w:p>
    <w:p w14:paraId="5E6C9745" w14:textId="0ED4075A" w:rsidR="000525AF" w:rsidRPr="00CA0B29" w:rsidRDefault="000525AF" w:rsidP="006802D3">
      <w:pPr>
        <w:pStyle w:val="Subtitle"/>
      </w:pPr>
      <w:bookmarkStart w:id="222" w:name="_Ref93512725"/>
      <w:bookmarkStart w:id="223" w:name="_Toc70088043"/>
      <w:bookmarkStart w:id="224" w:name="_Toc93907359"/>
      <w:bookmarkStart w:id="225" w:name="_Toc64640613"/>
      <w:r w:rsidRPr="00CA0B29">
        <w:t>Conditions for participation and eligibility for funding</w:t>
      </w:r>
      <w:bookmarkEnd w:id="222"/>
      <w:bookmarkEnd w:id="223"/>
      <w:bookmarkEnd w:id="224"/>
    </w:p>
    <w:p w14:paraId="525F860B" w14:textId="364334AF" w:rsidR="00785823" w:rsidRPr="00CA0B29" w:rsidRDefault="00785823" w:rsidP="00785823">
      <w:pPr>
        <w:pStyle w:val="MAWP-Bodytext"/>
        <w:rPr>
          <w:color w:val="auto"/>
        </w:rPr>
      </w:pPr>
      <w:r w:rsidRPr="00CA0B29">
        <w:rPr>
          <w:color w:val="auto"/>
        </w:rPr>
        <w:t xml:space="preserve">Any legal entity, regardless of its place of establishment, or international organisation may participate in indirect actions funded under the Clean Hydrogen JU Programme, provided that </w:t>
      </w:r>
      <w:r w:rsidRPr="00CA0B29">
        <w:rPr>
          <w:color w:val="auto"/>
        </w:rPr>
        <w:lastRenderedPageBreak/>
        <w:t xml:space="preserve">the conditions laid down in the </w:t>
      </w:r>
      <w:r w:rsidR="0074077B">
        <w:rPr>
          <w:color w:val="auto"/>
        </w:rPr>
        <w:t>Horizon Europe Regulation</w:t>
      </w:r>
      <w:r w:rsidR="0074077B" w:rsidRPr="00CA0B29">
        <w:rPr>
          <w:color w:val="auto"/>
        </w:rPr>
        <w:t xml:space="preserve"> </w:t>
      </w:r>
      <w:r w:rsidRPr="00CA0B29">
        <w:rPr>
          <w:color w:val="auto"/>
        </w:rPr>
        <w:t>have been met together with any specific conditions laid down in the work programme or call.</w:t>
      </w:r>
    </w:p>
    <w:p w14:paraId="35A62B10" w14:textId="4B48F637" w:rsidR="00785823" w:rsidRPr="00B364CB" w:rsidRDefault="00785823" w:rsidP="00785823">
      <w:pPr>
        <w:pStyle w:val="MAWP-Bodytext"/>
        <w:rPr>
          <w:color w:val="auto"/>
        </w:rPr>
      </w:pPr>
      <w:r w:rsidRPr="00CA0B29">
        <w:rPr>
          <w:color w:val="auto"/>
        </w:rPr>
        <w:t xml:space="preserve">In line with the </w:t>
      </w:r>
      <w:r w:rsidR="0074077B">
        <w:rPr>
          <w:color w:val="auto"/>
        </w:rPr>
        <w:t>Horizon Europe Regulation</w:t>
      </w:r>
      <w:r w:rsidRPr="00CA0B29">
        <w:rPr>
          <w:rStyle w:val="FootnoteReference"/>
          <w:color w:val="auto"/>
        </w:rPr>
        <w:footnoteReference w:id="236"/>
      </w:r>
      <w:r w:rsidRPr="00CA0B29">
        <w:rPr>
          <w:color w:val="auto"/>
        </w:rPr>
        <w:t>, one of the</w:t>
      </w:r>
      <w:r w:rsidRPr="00637F43">
        <w:rPr>
          <w:color w:val="auto"/>
        </w:rPr>
        <w:t xml:space="preserve"> </w:t>
      </w:r>
      <w:r w:rsidR="0074077B">
        <w:rPr>
          <w:color w:val="auto"/>
        </w:rPr>
        <w:t xml:space="preserve">Clean Hydrogen </w:t>
      </w:r>
      <w:r w:rsidRPr="00637F43">
        <w:rPr>
          <w:color w:val="auto"/>
        </w:rPr>
        <w:t>JU objectives is to increase commitments and contributions in a qualitative and quantitative manner in order to demonstrate the added value and directionality of the</w:t>
      </w:r>
      <w:r w:rsidRPr="00B364CB">
        <w:rPr>
          <w:color w:val="auto"/>
        </w:rPr>
        <w:t xml:space="preserve"> partnership, while keeping transparency and openness as regards the identification of priorities and objectives, and the involvement of partners and stakeholders from different sectors. Private members should, therefore, make a substantial share of their contributions at the level of indirect actions funded by the </w:t>
      </w:r>
      <w:r w:rsidR="0074077B">
        <w:rPr>
          <w:color w:val="auto"/>
        </w:rPr>
        <w:t xml:space="preserve">Clean Hydrogen </w:t>
      </w:r>
      <w:r w:rsidRPr="00B364CB">
        <w:rPr>
          <w:color w:val="auto"/>
        </w:rPr>
        <w:t>JU. In order for the private partners to deliver their in-kind contributions to operational activities and to additional activities, and considering that both contributions can only be made by the constituent entities of the private members</w:t>
      </w:r>
      <w:r w:rsidRPr="00B364CB">
        <w:rPr>
          <w:rStyle w:val="FootnoteReference"/>
          <w:color w:val="auto"/>
        </w:rPr>
        <w:footnoteReference w:id="237"/>
      </w:r>
      <w:r w:rsidRPr="00B364CB">
        <w:rPr>
          <w:color w:val="auto"/>
        </w:rPr>
        <w:t xml:space="preserve">, the </w:t>
      </w:r>
      <w:r w:rsidR="0074077B">
        <w:rPr>
          <w:color w:val="auto"/>
        </w:rPr>
        <w:t xml:space="preserve">Clean Hydrogen </w:t>
      </w:r>
      <w:r w:rsidRPr="00B364CB">
        <w:rPr>
          <w:color w:val="auto"/>
        </w:rPr>
        <w:t xml:space="preserve">JU should encourage such membership. </w:t>
      </w:r>
    </w:p>
    <w:p w14:paraId="42CEE133" w14:textId="3CCF0587" w:rsidR="00785823" w:rsidRPr="00B364CB" w:rsidRDefault="00785823" w:rsidP="00785823">
      <w:pPr>
        <w:pStyle w:val="MAWP-Bodytext"/>
        <w:rPr>
          <w:color w:val="auto"/>
        </w:rPr>
      </w:pPr>
      <w:r w:rsidRPr="00B364CB">
        <w:rPr>
          <w:color w:val="auto"/>
        </w:rPr>
        <w:t xml:space="preserve">The establishment of a Joint Undertaking ensures a mutually beneficial public-private partnership for the members involved, including the promotion of certainty on budget allocations for the relevant industries over a period of seven years. Becoming a member or being affiliated to a member of the Joint Undertaking allows involvement in the preparation and implementation of the Joint Undertaking’s work programme, either directly or through the private members’ representatives, via the Governing Board of the Joint Undertaking, and through participation to the private members’ associations own related Technical Committees (TCs), where input to the definition of the Joint Undertaking research and innovation priorities is prepared. The Governing Board is the decision-making body of the Joint Undertaking that decides on the long-term strategic orientation of the partnership, as well as its annual priorities. Members should therefore be able to contribute to the Joint Undertaking's agenda and priority setting through the adoption and possible amendment of the </w:t>
      </w:r>
      <w:r w:rsidR="00BB3511">
        <w:rPr>
          <w:color w:val="auto"/>
        </w:rPr>
        <w:t>SRIA</w:t>
      </w:r>
      <w:r w:rsidRPr="00B364CB">
        <w:rPr>
          <w:color w:val="auto"/>
        </w:rPr>
        <w:t xml:space="preserve"> (based on the Strategic Research and Innovation Agenda of the industry), as well as the adoption of the annual work-plans. This may include the specific conditions of the calls for proposals and the applicable funding per call topic.</w:t>
      </w:r>
    </w:p>
    <w:p w14:paraId="15A239F2" w14:textId="5AE4278D" w:rsidR="00785823" w:rsidRPr="00B364CB" w:rsidRDefault="00785823" w:rsidP="00785823">
      <w:pPr>
        <w:pStyle w:val="MAWP-Bodytext"/>
        <w:rPr>
          <w:color w:val="auto"/>
        </w:rPr>
      </w:pPr>
      <w:r w:rsidRPr="00B364CB">
        <w:rPr>
          <w:color w:val="auto"/>
        </w:rPr>
        <w:t>Without doubt, a reinforced community of industrial and research organisations brought together around a common long-term strategic research agenda as proposed by the Clean Hydrogen for Europe Joint Undertaking is of added value. A wider and strengthened community will also work towards achieving the Horizon Europe and institutionalised partnership’s general objectives</w:t>
      </w:r>
      <w:r w:rsidRPr="00B364CB">
        <w:rPr>
          <w:rStyle w:val="FootnoteReference"/>
          <w:color w:val="auto"/>
        </w:rPr>
        <w:footnoteReference w:id="238"/>
      </w:r>
      <w:r w:rsidRPr="00B364CB">
        <w:rPr>
          <w:color w:val="auto"/>
        </w:rPr>
        <w:t xml:space="preserve"> to improve through research and innovation the cost-effectiveness, reliability, quantity and quality of clean hydrogen solutions, including production, distribution, storage and end uses developed in the Union. By continuously increasing its membership, the founding members will strengthen their efforts to drive towards a more strategic and impact-based approach to research and innovation, strengthening the knowledge and capacity of the scientific and industrial actors along the Union’s hydrogen value chain. This will enable the realisation of demonstrations of clean hydrogen solutions with the view to local, regional and Union-wide deployment, addressing renewable production, distribution, storage, and use for transport and energy-intensive industries as well as other applications. At the same time, the EU’s industry, through the pooling of resources under each association, will increase its active role in working together with the Union for delivering the objectives of the European Green Deal and of the EU Hydrogen Strategy.  </w:t>
      </w:r>
    </w:p>
    <w:p w14:paraId="0B95B948" w14:textId="491A7140" w:rsidR="00785823" w:rsidRPr="00B364CB" w:rsidRDefault="00785823" w:rsidP="00785823">
      <w:pPr>
        <w:pStyle w:val="MAWP-Bodytext"/>
        <w:rPr>
          <w:color w:val="auto"/>
        </w:rPr>
      </w:pPr>
      <w:r w:rsidRPr="00B364CB">
        <w:rPr>
          <w:color w:val="auto"/>
        </w:rPr>
        <w:lastRenderedPageBreak/>
        <w:t xml:space="preserve">In this respect, all legal entities participating in the Clean Hydrogen JU programme should be continuously encouraged (e.g. through Call Info-Days, Coordinators-Days etc) in becoming members of the </w:t>
      </w:r>
      <w:r w:rsidR="007B70F5">
        <w:t xml:space="preserve">Clean Hydrogen </w:t>
      </w:r>
      <w:r w:rsidRPr="00B364CB">
        <w:rPr>
          <w:color w:val="auto"/>
        </w:rPr>
        <w:t>JU through affiliation with the private founding members.</w:t>
      </w:r>
    </w:p>
    <w:p w14:paraId="6CB5D2A4" w14:textId="2E1C08AF" w:rsidR="009A2F65" w:rsidRPr="00B364CB" w:rsidRDefault="009A2F65" w:rsidP="00785823">
      <w:pPr>
        <w:pStyle w:val="MAWP-Bodytext"/>
        <w:rPr>
          <w:color w:val="auto"/>
        </w:rPr>
      </w:pPr>
      <w:r>
        <w:rPr>
          <w:color w:val="auto"/>
        </w:rPr>
        <w:t>Members other than the Union</w:t>
      </w:r>
      <w:r w:rsidR="0048561A">
        <w:rPr>
          <w:color w:val="auto"/>
        </w:rPr>
        <w:t xml:space="preserve"> / pr</w:t>
      </w:r>
      <w:r w:rsidR="00540103">
        <w:rPr>
          <w:color w:val="auto"/>
        </w:rPr>
        <w:t>ivate founding members</w:t>
      </w:r>
      <w:r w:rsidR="007302A5">
        <w:rPr>
          <w:color w:val="auto"/>
        </w:rPr>
        <w:t xml:space="preserve"> (the A</w:t>
      </w:r>
      <w:r w:rsidR="00C81AAD">
        <w:rPr>
          <w:color w:val="auto"/>
        </w:rPr>
        <w:t>ssociations)</w:t>
      </w:r>
      <w:r>
        <w:rPr>
          <w:color w:val="auto"/>
        </w:rPr>
        <w:t xml:space="preserve">, will do their utmost to encourage membership of Hydrogen Europe </w:t>
      </w:r>
      <w:r w:rsidR="00540103">
        <w:rPr>
          <w:color w:val="auto"/>
        </w:rPr>
        <w:t xml:space="preserve">Industry and </w:t>
      </w:r>
      <w:r>
        <w:rPr>
          <w:color w:val="auto"/>
        </w:rPr>
        <w:t xml:space="preserve">Research. </w:t>
      </w:r>
      <w:r w:rsidR="001B7FE1">
        <w:rPr>
          <w:color w:val="auto"/>
        </w:rPr>
        <w:t xml:space="preserve">They will </w:t>
      </w:r>
      <w:r w:rsidR="002929F5">
        <w:rPr>
          <w:color w:val="auto"/>
        </w:rPr>
        <w:t>especially</w:t>
      </w:r>
      <w:r w:rsidR="001B7FE1">
        <w:rPr>
          <w:color w:val="auto"/>
        </w:rPr>
        <w:t xml:space="preserve"> </w:t>
      </w:r>
      <w:r w:rsidR="001B7FE1">
        <w:rPr>
          <w:sz w:val="23"/>
          <w:szCs w:val="23"/>
        </w:rPr>
        <w:t>adopt measures for attracting newcomers, in particularly SMEs, higher education institutions and research organisations.</w:t>
      </w:r>
      <w:r w:rsidR="001B7FE1">
        <w:rPr>
          <w:rStyle w:val="FootnoteReference"/>
          <w:sz w:val="23"/>
          <w:szCs w:val="23"/>
        </w:rPr>
        <w:footnoteReference w:id="239"/>
      </w:r>
      <w:r w:rsidR="001B7FE1">
        <w:rPr>
          <w:color w:val="auto"/>
        </w:rPr>
        <w:t xml:space="preserve"> </w:t>
      </w:r>
      <w:r>
        <w:rPr>
          <w:color w:val="auto"/>
        </w:rPr>
        <w:t>In addition, both associations are strongly committed to deliver their financial contributions for the entire duration or the JU programme (as has been the case for the FCH</w:t>
      </w:r>
      <w:r w:rsidR="001A601C">
        <w:rPr>
          <w:color w:val="auto"/>
        </w:rPr>
        <w:t xml:space="preserve"> </w:t>
      </w:r>
      <w:r>
        <w:rPr>
          <w:color w:val="auto"/>
        </w:rPr>
        <w:t>JU and FCH</w:t>
      </w:r>
      <w:r w:rsidR="001A601C">
        <w:rPr>
          <w:color w:val="auto"/>
        </w:rPr>
        <w:t xml:space="preserve"> </w:t>
      </w:r>
      <w:r>
        <w:rPr>
          <w:color w:val="auto"/>
        </w:rPr>
        <w:t>2</w:t>
      </w:r>
      <w:r w:rsidR="001A601C">
        <w:rPr>
          <w:color w:val="auto"/>
        </w:rPr>
        <w:t xml:space="preserve"> </w:t>
      </w:r>
      <w:r>
        <w:rPr>
          <w:color w:val="auto"/>
        </w:rPr>
        <w:t>JU) as well as promote and enforce openness throughout the programme.</w:t>
      </w:r>
      <w:r w:rsidRPr="009A2F65">
        <w:rPr>
          <w:color w:val="auto"/>
        </w:rPr>
        <w:t xml:space="preserve"> </w:t>
      </w:r>
      <w:r>
        <w:rPr>
          <w:color w:val="auto"/>
        </w:rPr>
        <w:t xml:space="preserve">However, since IKOP and IKAA financial contributions may only be reported for Associations’ member companies or organizations, </w:t>
      </w:r>
      <w:r w:rsidRPr="008D2591">
        <w:rPr>
          <w:color w:val="auto"/>
        </w:rPr>
        <w:t>in duly justified cases</w:t>
      </w:r>
      <w:r>
        <w:rPr>
          <w:color w:val="auto"/>
        </w:rPr>
        <w:t xml:space="preserve"> </w:t>
      </w:r>
      <w:r w:rsidRPr="008D2591">
        <w:rPr>
          <w:color w:val="auto"/>
        </w:rPr>
        <w:t>additional conditions requiring the participation of members of the joint undertaking or their constituent or affiliated entities</w:t>
      </w:r>
      <w:r>
        <w:rPr>
          <w:color w:val="auto"/>
        </w:rPr>
        <w:t xml:space="preserve"> may be </w:t>
      </w:r>
      <w:r w:rsidRPr="008D2591">
        <w:rPr>
          <w:color w:val="auto"/>
        </w:rPr>
        <w:t>specified in the work programme</w:t>
      </w:r>
      <w:r w:rsidR="00C81AAD">
        <w:rPr>
          <w:color w:val="auto"/>
        </w:rPr>
        <w:t>.</w:t>
      </w:r>
    </w:p>
    <w:p w14:paraId="09F1B3C2" w14:textId="0E52DF8A" w:rsidR="00785823" w:rsidRPr="00D258C8" w:rsidRDefault="009A2F65" w:rsidP="00D258C8">
      <w:pPr>
        <w:pStyle w:val="MAWP-Bodytext"/>
      </w:pPr>
      <w:r w:rsidRPr="00D258C8">
        <w:t>Indeed, i</w:t>
      </w:r>
      <w:r w:rsidR="00785823" w:rsidRPr="00D258C8">
        <w:t>n line with the SBA</w:t>
      </w:r>
      <w:r w:rsidR="00785823" w:rsidRPr="00D258C8">
        <w:rPr>
          <w:rStyle w:val="FootnoteReference"/>
        </w:rPr>
        <w:footnoteReference w:id="240"/>
      </w:r>
      <w:r w:rsidR="00785823" w:rsidRPr="00D258C8">
        <w:t xml:space="preserve"> in justified cases, it should be possible to introduce additional conditions in a call topic that require the participation of a member of the </w:t>
      </w:r>
      <w:r w:rsidR="007B70F5" w:rsidRPr="00D258C8">
        <w:t xml:space="preserve">Clean Hydrogen </w:t>
      </w:r>
      <w:r w:rsidR="00785823" w:rsidRPr="00D258C8">
        <w:t xml:space="preserve">JU or their constituent or affiliated entities, targeting activities where the industrial and research partners of the </w:t>
      </w:r>
      <w:r w:rsidR="007B70F5" w:rsidRPr="00D258C8">
        <w:t xml:space="preserve">Clean Hydrogen </w:t>
      </w:r>
      <w:r w:rsidR="00785823" w:rsidRPr="00D258C8">
        <w:t xml:space="preserve">JU can play a key role, such as large-scale demonstrations, flagship projects and strategic research projects, and contribute more via lower funding rates. </w:t>
      </w:r>
      <w:r w:rsidR="00D258C8" w:rsidRPr="00D258C8">
        <w:t>Similarly,</w:t>
      </w:r>
      <w:r w:rsidR="00D258C8">
        <w:t xml:space="preserve"> it is also possible</w:t>
      </w:r>
      <w:r w:rsidR="00D258C8">
        <w:rPr>
          <w:rStyle w:val="FootnoteReference"/>
        </w:rPr>
        <w:footnoteReference w:id="241"/>
      </w:r>
      <w:r w:rsidR="00D258C8">
        <w:t xml:space="preserve"> to </w:t>
      </w:r>
      <w:r w:rsidR="00D258C8" w:rsidRPr="00D258C8">
        <w:t xml:space="preserve">limit the participation in specific actions in the work programme in accordance with Article 22(5) of the Horizon Europe Regulation and in accordance with the position agreed on a case-by-case basis between the Commission and the Member States in </w:t>
      </w:r>
      <w:r w:rsidR="00667D00">
        <w:t>SRG</w:t>
      </w:r>
      <w:r w:rsidR="00D258C8">
        <w:t>.</w:t>
      </w:r>
      <w:r w:rsidR="00D258C8" w:rsidRPr="00D258C8">
        <w:t xml:space="preserve"> </w:t>
      </w:r>
      <w:r w:rsidR="00D258C8">
        <w:t>The l</w:t>
      </w:r>
      <w:r w:rsidR="001A601C">
        <w:t>imitations to participation shall respect the provisions of Article 23 of the SBA,</w:t>
      </w:r>
      <w:r w:rsidR="00667D00">
        <w:rPr>
          <w:rStyle w:val="FootnoteReference"/>
        </w:rPr>
        <w:footnoteReference w:id="242"/>
      </w:r>
      <w:r w:rsidR="001A601C">
        <w:t xml:space="preserve"> ensuring coherence </w:t>
      </w:r>
      <w:r w:rsidR="001A601C" w:rsidRPr="001A601C">
        <w:t xml:space="preserve">with the approach taken for actions funded under the Horizon Europe work programme adopted in accordance with Article 13(2), point (b), of the Specific Programme implementing Horizon Europe regarding the application of Article 22(5) of the Horizon Europe Regulation, as well as Union legislation and guidance relevant for its application in similar topics in the work programme of the </w:t>
      </w:r>
      <w:r w:rsidR="001A601C">
        <w:t>JU</w:t>
      </w:r>
      <w:r w:rsidR="001A601C" w:rsidRPr="001A601C">
        <w:t xml:space="preserve">. </w:t>
      </w:r>
      <w:r w:rsidR="00785823" w:rsidRPr="00D258C8">
        <w:t xml:space="preserve">The level of participation of private members should be monitored by the Executive Director in order to empower the Governing Board to take appropriate actions, ensuring a balance between commitment from partners and openness. </w:t>
      </w:r>
    </w:p>
    <w:p w14:paraId="1889E096" w14:textId="248E99BB" w:rsidR="00785823" w:rsidRPr="00B364CB" w:rsidRDefault="00785823" w:rsidP="00785823">
      <w:pPr>
        <w:pStyle w:val="MAWP-Bodytext"/>
        <w:rPr>
          <w:color w:val="auto"/>
        </w:rPr>
      </w:pPr>
      <w:r w:rsidRPr="00B364CB">
        <w:rPr>
          <w:color w:val="auto"/>
        </w:rPr>
        <w:t xml:space="preserve">Therefore, the annual work-plans of the </w:t>
      </w:r>
      <w:r w:rsidR="007B70F5">
        <w:t xml:space="preserve">Clean Hydrogen </w:t>
      </w:r>
      <w:r w:rsidRPr="00B364CB">
        <w:rPr>
          <w:color w:val="auto"/>
        </w:rPr>
        <w:t xml:space="preserve">JU </w:t>
      </w:r>
      <w:r w:rsidR="009A2F65">
        <w:rPr>
          <w:color w:val="auto"/>
        </w:rPr>
        <w:t>can</w:t>
      </w:r>
      <w:r w:rsidR="009A2F65" w:rsidRPr="00B364CB">
        <w:rPr>
          <w:color w:val="auto"/>
        </w:rPr>
        <w:t xml:space="preserve"> </w:t>
      </w:r>
      <w:r w:rsidRPr="00B364CB">
        <w:rPr>
          <w:color w:val="auto"/>
        </w:rPr>
        <w:t>include, at the level of call topics for key Innovation Actions of strategic importance</w:t>
      </w:r>
      <w:r w:rsidRPr="00B364CB">
        <w:rPr>
          <w:rStyle w:val="FootnoteReference"/>
          <w:color w:val="auto"/>
        </w:rPr>
        <w:footnoteReference w:id="243"/>
      </w:r>
      <w:r w:rsidRPr="00B364CB">
        <w:rPr>
          <w:color w:val="auto"/>
        </w:rPr>
        <w:t>, the additional condition that require</w:t>
      </w:r>
      <w:r w:rsidR="008315B9">
        <w:rPr>
          <w:color w:val="auto"/>
        </w:rPr>
        <w:t>s</w:t>
      </w:r>
      <w:r w:rsidRPr="00B364CB">
        <w:rPr>
          <w:color w:val="auto"/>
        </w:rPr>
        <w:t xml:space="preserve"> the participation of a member of the </w:t>
      </w:r>
      <w:r w:rsidR="007B70F5">
        <w:t xml:space="preserve">Clean Hydrogen </w:t>
      </w:r>
      <w:r w:rsidRPr="00B364CB">
        <w:rPr>
          <w:color w:val="auto"/>
        </w:rPr>
        <w:t>JU or their affiliate entities.</w:t>
      </w:r>
    </w:p>
    <w:p w14:paraId="7C799C6D" w14:textId="5928463A" w:rsidR="00785823" w:rsidRPr="00B364CB" w:rsidRDefault="00785823" w:rsidP="00785823">
      <w:pPr>
        <w:pStyle w:val="MAWP-Bodytext"/>
        <w:rPr>
          <w:color w:val="auto"/>
        </w:rPr>
      </w:pPr>
      <w:r w:rsidRPr="00B364CB">
        <w:rPr>
          <w:color w:val="auto"/>
        </w:rPr>
        <w:t xml:space="preserve">Such strategic topics may target activities where the industrial partners of the </w:t>
      </w:r>
      <w:r w:rsidR="007B70F5">
        <w:t xml:space="preserve">Clean Hydrogen </w:t>
      </w:r>
      <w:r w:rsidRPr="00B364CB">
        <w:rPr>
          <w:color w:val="auto"/>
        </w:rPr>
        <w:t xml:space="preserve">JU can play a key role in accelerating the commercialisation of hydrogen technologies by being closely linked to the </w:t>
      </w:r>
      <w:r w:rsidR="007B70F5">
        <w:t xml:space="preserve">Clean Hydrogen </w:t>
      </w:r>
      <w:r w:rsidRPr="00B364CB">
        <w:rPr>
          <w:color w:val="auto"/>
        </w:rPr>
        <w:t xml:space="preserve">JU constituency which could further ensure full alignment with the </w:t>
      </w:r>
      <w:r w:rsidR="00BB3511">
        <w:rPr>
          <w:color w:val="auto"/>
        </w:rPr>
        <w:t>S</w:t>
      </w:r>
      <w:r w:rsidRPr="00B364CB">
        <w:rPr>
          <w:color w:val="auto"/>
        </w:rPr>
        <w:t xml:space="preserve">trategic </w:t>
      </w:r>
      <w:r w:rsidR="00BB3511">
        <w:rPr>
          <w:color w:val="auto"/>
        </w:rPr>
        <w:t>R</w:t>
      </w:r>
      <w:r w:rsidRPr="00B364CB">
        <w:rPr>
          <w:color w:val="auto"/>
        </w:rPr>
        <w:t xml:space="preserve">esearch and </w:t>
      </w:r>
      <w:r w:rsidR="00BB3511">
        <w:rPr>
          <w:color w:val="auto"/>
        </w:rPr>
        <w:t>I</w:t>
      </w:r>
      <w:r w:rsidRPr="00B364CB">
        <w:rPr>
          <w:color w:val="auto"/>
        </w:rPr>
        <w:t xml:space="preserve">nnovation </w:t>
      </w:r>
      <w:r w:rsidR="00BB3511">
        <w:rPr>
          <w:color w:val="auto"/>
        </w:rPr>
        <w:t>A</w:t>
      </w:r>
      <w:r w:rsidRPr="00B364CB">
        <w:rPr>
          <w:color w:val="auto"/>
        </w:rPr>
        <w:t xml:space="preserve">genda </w:t>
      </w:r>
      <w:r w:rsidR="00BB3511">
        <w:rPr>
          <w:color w:val="auto"/>
        </w:rPr>
        <w:t xml:space="preserve">of the Industry </w:t>
      </w:r>
      <w:r w:rsidRPr="00B364CB">
        <w:rPr>
          <w:color w:val="auto"/>
        </w:rPr>
        <w:t xml:space="preserve">and </w:t>
      </w:r>
      <w:r w:rsidR="00BB3511">
        <w:rPr>
          <w:color w:val="auto"/>
        </w:rPr>
        <w:t>the SRIA</w:t>
      </w:r>
      <w:r w:rsidRPr="00B364CB">
        <w:rPr>
          <w:color w:val="auto"/>
        </w:rPr>
        <w:t>. This would also ensure the continuity of the work performed within projects funded through the H2020 and FP7, by building up on their experience and consolidating the EU value-chain.</w:t>
      </w:r>
    </w:p>
    <w:p w14:paraId="6072FBCE" w14:textId="2C2691EA" w:rsidR="00785823" w:rsidRPr="00B364CB" w:rsidRDefault="00785823" w:rsidP="00785823">
      <w:pPr>
        <w:pStyle w:val="MAWP-Bodytext"/>
        <w:rPr>
          <w:color w:val="auto"/>
        </w:rPr>
      </w:pPr>
      <w:r w:rsidRPr="00B364CB">
        <w:rPr>
          <w:color w:val="auto"/>
        </w:rPr>
        <w:t xml:space="preserve">It is crucial to secure that relevant project results are exploited fully in line with the commercialisation needs of the EU hydrogen industry with maximised cross-fertilisation of knowledge within the whole sector, which can be greatly facilitated by the presence of members </w:t>
      </w:r>
      <w:r w:rsidRPr="00B364CB">
        <w:rPr>
          <w:color w:val="auto"/>
        </w:rPr>
        <w:lastRenderedPageBreak/>
        <w:t xml:space="preserve">or their affiliates of the </w:t>
      </w:r>
      <w:r w:rsidR="007B70F5">
        <w:t xml:space="preserve">Clean Hydrogen </w:t>
      </w:r>
      <w:r w:rsidRPr="00B364CB">
        <w:rPr>
          <w:color w:val="auto"/>
        </w:rPr>
        <w:t xml:space="preserve">JU in the projects’ consortia. Moreover, strengthened exchange of information between the sector players (through presence of members) will help avoid duplication of effort with other activities performed outside the </w:t>
      </w:r>
      <w:r w:rsidR="007B70F5">
        <w:t xml:space="preserve">Clean Hydrogen </w:t>
      </w:r>
      <w:r w:rsidRPr="00B364CB">
        <w:rPr>
          <w:color w:val="auto"/>
        </w:rPr>
        <w:t xml:space="preserve">JU and contribute to a maximum coherence of the overall European technology investment and a maximum impact of the EU funding, in reaching the EU hydrogen Strategy final objectives. </w:t>
      </w:r>
    </w:p>
    <w:p w14:paraId="3632F191" w14:textId="0907D3DF" w:rsidR="00785823" w:rsidRPr="00B364CB" w:rsidRDefault="00785823" w:rsidP="00785823">
      <w:pPr>
        <w:pStyle w:val="MAWP-Bodytext"/>
        <w:rPr>
          <w:color w:val="auto"/>
        </w:rPr>
      </w:pPr>
      <w:r w:rsidRPr="00B364CB">
        <w:rPr>
          <w:color w:val="auto"/>
        </w:rPr>
        <w:t xml:space="preserve">As stated above for certain key innovation topics of strategic importance selected as described above such as flagship projects, there </w:t>
      </w:r>
      <w:r w:rsidR="00A560A0">
        <w:rPr>
          <w:color w:val="auto"/>
        </w:rPr>
        <w:t xml:space="preserve">could </w:t>
      </w:r>
      <w:r w:rsidRPr="00B364CB">
        <w:rPr>
          <w:color w:val="auto"/>
        </w:rPr>
        <w:t>be additional eligibility condition</w:t>
      </w:r>
      <w:r w:rsidR="00A560A0">
        <w:rPr>
          <w:color w:val="auto"/>
        </w:rPr>
        <w:t>s</w:t>
      </w:r>
      <w:r w:rsidRPr="00B364CB">
        <w:rPr>
          <w:color w:val="auto"/>
        </w:rPr>
        <w:t xml:space="preserve"> for the consortium).</w:t>
      </w:r>
    </w:p>
    <w:p w14:paraId="5B6A1872" w14:textId="77777777" w:rsidR="00785823" w:rsidRPr="00B364CB" w:rsidRDefault="00785823" w:rsidP="006802D3">
      <w:pPr>
        <w:pStyle w:val="Subtitle"/>
      </w:pPr>
      <w:bookmarkStart w:id="226" w:name="_Toc64640594"/>
      <w:bookmarkStart w:id="227" w:name="_Toc66888457"/>
      <w:bookmarkStart w:id="228" w:name="_Ref77944628"/>
      <w:bookmarkStart w:id="229" w:name="_Toc93907360"/>
      <w:r w:rsidRPr="00B364CB">
        <w:t>Types of action: specific provisions and funding rates</w:t>
      </w:r>
      <w:bookmarkEnd w:id="226"/>
      <w:bookmarkEnd w:id="227"/>
      <w:bookmarkEnd w:id="228"/>
      <w:bookmarkEnd w:id="229"/>
    </w:p>
    <w:p w14:paraId="5D197687" w14:textId="48A68B28" w:rsidR="002F4798" w:rsidRPr="00100BA2" w:rsidRDefault="002F4798" w:rsidP="002F4798">
      <w:pPr>
        <w:pStyle w:val="MAWP-Bodytext"/>
        <w:rPr>
          <w:szCs w:val="22"/>
        </w:rPr>
      </w:pPr>
      <w:r w:rsidRPr="00100BA2">
        <w:rPr>
          <w:szCs w:val="22"/>
        </w:rPr>
        <w:t xml:space="preserve">The call for proposals will distinguish </w:t>
      </w:r>
      <w:r>
        <w:rPr>
          <w:szCs w:val="22"/>
        </w:rPr>
        <w:t>between different</w:t>
      </w:r>
      <w:r w:rsidRPr="00100BA2">
        <w:rPr>
          <w:szCs w:val="22"/>
        </w:rPr>
        <w:t xml:space="preserve"> levels of </w:t>
      </w:r>
      <w:r>
        <w:rPr>
          <w:szCs w:val="22"/>
        </w:rPr>
        <w:t xml:space="preserve">technology readiness </w:t>
      </w:r>
      <w:r w:rsidR="000C41FC">
        <w:rPr>
          <w:szCs w:val="22"/>
        </w:rPr>
        <w:t xml:space="preserve">and may consider </w:t>
      </w:r>
      <w:r w:rsidRPr="00100BA2">
        <w:rPr>
          <w:szCs w:val="22"/>
        </w:rPr>
        <w:t xml:space="preserve">decreasing funding rates </w:t>
      </w:r>
      <w:r w:rsidR="000C41FC">
        <w:rPr>
          <w:szCs w:val="22"/>
        </w:rPr>
        <w:t>or capping the funding from the EU/JU to be complemented by</w:t>
      </w:r>
      <w:r w:rsidRPr="00100BA2">
        <w:rPr>
          <w:szCs w:val="22"/>
        </w:rPr>
        <w:t xml:space="preserve"> higher industry</w:t>
      </w:r>
      <w:r w:rsidR="000C41FC">
        <w:rPr>
          <w:szCs w:val="22"/>
        </w:rPr>
        <w:t xml:space="preserve"> and/or research</w:t>
      </w:r>
      <w:r w:rsidRPr="00100BA2">
        <w:rPr>
          <w:szCs w:val="22"/>
        </w:rPr>
        <w:t xml:space="preserve"> investment. </w:t>
      </w:r>
    </w:p>
    <w:p w14:paraId="5AA78E05" w14:textId="333B0556" w:rsidR="002F4798" w:rsidRDefault="00785823" w:rsidP="009D4052">
      <w:pPr>
        <w:pStyle w:val="MAWP-Bodytext"/>
        <w:rPr>
          <w:color w:val="auto"/>
        </w:rPr>
      </w:pPr>
      <w:r w:rsidRPr="00B364CB">
        <w:rPr>
          <w:color w:val="auto"/>
        </w:rPr>
        <w:t xml:space="preserve">In consideration of the specific objective of the Clean Hydrogen JU to increase commitments and contributions in a qualitative and quantitative manner (see above), it is expected that private members should make a substantial share of their contributions at the level of indirect actions (‘projects’) funded by the </w:t>
      </w:r>
      <w:r w:rsidR="007B70F5">
        <w:t xml:space="preserve">Clean Hydrogen </w:t>
      </w:r>
      <w:r w:rsidRPr="00B364CB">
        <w:rPr>
          <w:color w:val="auto"/>
        </w:rPr>
        <w:t xml:space="preserve">JU. </w:t>
      </w:r>
    </w:p>
    <w:p w14:paraId="6D1B44BE" w14:textId="57982332" w:rsidR="00785823" w:rsidRDefault="00785823" w:rsidP="00785823">
      <w:pPr>
        <w:pStyle w:val="MAWP-Bodytext"/>
        <w:rPr>
          <w:color w:val="auto"/>
        </w:rPr>
      </w:pPr>
      <w:r w:rsidRPr="00B364CB">
        <w:rPr>
          <w:color w:val="auto"/>
        </w:rPr>
        <w:t xml:space="preserve">A key element of the </w:t>
      </w:r>
      <w:r w:rsidR="007B70F5">
        <w:t xml:space="preserve">Clean Hydrogen </w:t>
      </w:r>
      <w:r w:rsidRPr="00B364CB">
        <w:rPr>
          <w:color w:val="auto"/>
        </w:rPr>
        <w:t xml:space="preserve">JU is therefore to leverage EU funding with contributions of private members. This will be achieved by a lower funding intensity of projects and a higher co-investment/co-funding of project participants/beneficiaries. For example, the </w:t>
      </w:r>
      <w:r w:rsidR="007B70F5">
        <w:t xml:space="preserve">Clean Hydrogen </w:t>
      </w:r>
      <w:r w:rsidRPr="00B364CB">
        <w:rPr>
          <w:color w:val="auto"/>
        </w:rPr>
        <w:t>JU’s programme may limit the funding for a flagship project, corresponding to higher industry (and research) investment or co-funding.</w:t>
      </w:r>
    </w:p>
    <w:p w14:paraId="78E36B91" w14:textId="3D0F5E9E" w:rsidR="008D1D98" w:rsidRPr="00AF69FA" w:rsidRDefault="008D1D98" w:rsidP="00785823">
      <w:pPr>
        <w:pStyle w:val="MAWP-Bodytext"/>
        <w:rPr>
          <w:color w:val="auto"/>
        </w:rPr>
      </w:pPr>
      <w:r w:rsidRPr="00525971">
        <w:rPr>
          <w:color w:val="auto"/>
        </w:rPr>
        <w:t xml:space="preserve">A flagship project is a project that is expected to have significant impact in accelerating the </w:t>
      </w:r>
      <w:r w:rsidR="0056558C">
        <w:rPr>
          <w:color w:val="auto"/>
        </w:rPr>
        <w:t>transition to a hydrogen economy.</w:t>
      </w:r>
      <w:r w:rsidR="008315B9">
        <w:rPr>
          <w:color w:val="auto"/>
        </w:rPr>
        <w:t xml:space="preserve"> </w:t>
      </w:r>
      <w:r w:rsidR="0056558C">
        <w:rPr>
          <w:color w:val="auto"/>
        </w:rPr>
        <w:t>A</w:t>
      </w:r>
      <w:r w:rsidR="00B30877">
        <w:rPr>
          <w:color w:val="auto"/>
        </w:rPr>
        <w:t xml:space="preserve"> limited number of flagship</w:t>
      </w:r>
      <w:r w:rsidR="0056558C">
        <w:rPr>
          <w:color w:val="auto"/>
        </w:rPr>
        <w:t xml:space="preserve"> projects could be selected to become </w:t>
      </w:r>
      <w:r w:rsidR="00B30877">
        <w:rPr>
          <w:color w:val="auto"/>
        </w:rPr>
        <w:t>“</w:t>
      </w:r>
      <w:r w:rsidR="0056558C" w:rsidRPr="0056558C">
        <w:rPr>
          <w:color w:val="auto"/>
        </w:rPr>
        <w:t>Green Deal accelerator projects</w:t>
      </w:r>
      <w:r w:rsidR="00B30877">
        <w:rPr>
          <w:color w:val="auto"/>
        </w:rPr>
        <w:t>”</w:t>
      </w:r>
      <w:r w:rsidR="0056558C">
        <w:rPr>
          <w:color w:val="auto"/>
        </w:rPr>
        <w:t xml:space="preserve"> to contribute to the</w:t>
      </w:r>
      <w:r w:rsidRPr="00525971">
        <w:rPr>
          <w:color w:val="auto"/>
        </w:rPr>
        <w:t xml:space="preserve"> European Green Deal objectives and that has identified on EU, national or regional level concrete synergies with other programmes and instruments such as partnerships</w:t>
      </w:r>
      <w:r w:rsidR="00B30877">
        <w:rPr>
          <w:color w:val="auto"/>
        </w:rPr>
        <w:t xml:space="preserve"> (large impact is the main goal </w:t>
      </w:r>
      <w:r w:rsidR="00B3593B">
        <w:rPr>
          <w:color w:val="auto"/>
        </w:rPr>
        <w:t>while</w:t>
      </w:r>
      <w:r w:rsidR="00B30877">
        <w:rPr>
          <w:color w:val="auto"/>
        </w:rPr>
        <w:t xml:space="preserve"> the magnitude of investment is variable)</w:t>
      </w:r>
      <w:r w:rsidRPr="00525971">
        <w:rPr>
          <w:color w:val="auto"/>
        </w:rPr>
        <w:t>.</w:t>
      </w:r>
    </w:p>
    <w:p w14:paraId="4A291AA5" w14:textId="55EFBA7D" w:rsidR="00785823" w:rsidRPr="00B364CB" w:rsidRDefault="00B30877" w:rsidP="00785823">
      <w:pPr>
        <w:pStyle w:val="MAWP-Bodytext"/>
        <w:rPr>
          <w:color w:val="auto"/>
        </w:rPr>
      </w:pPr>
      <w:r>
        <w:rPr>
          <w:color w:val="auto"/>
        </w:rPr>
        <w:t>A number of flagship projects, without limitation in numbers</w:t>
      </w:r>
      <w:r w:rsidR="008315B9">
        <w:rPr>
          <w:color w:val="auto"/>
        </w:rPr>
        <w:t>,</w:t>
      </w:r>
      <w:r>
        <w:rPr>
          <w:color w:val="auto"/>
        </w:rPr>
        <w:t xml:space="preserve"> can be identified with the specific objective to </w:t>
      </w:r>
      <w:r w:rsidR="00785823" w:rsidRPr="00B364CB">
        <w:rPr>
          <w:color w:val="auto"/>
        </w:rPr>
        <w:t>demonstrate the viability of clean hydrogen solutions at scale, are actions (mostly Innovation Actions, but may also be strategic Research Actions) that constitute a first-of-a-kind demonstration at scale, in real operational environment of the different generations of hydrogen applications (including sectoral integration such as Hydrogen Valleys). Geographical balance should be ensured in the case of these flagship projects to ensure pan-European impact.</w:t>
      </w:r>
    </w:p>
    <w:p w14:paraId="25EFFBE4" w14:textId="2CDC7EC0" w:rsidR="00785823" w:rsidRPr="00B364CB" w:rsidRDefault="00785823" w:rsidP="00785823">
      <w:pPr>
        <w:pStyle w:val="MAWP-Bodytext"/>
        <w:rPr>
          <w:color w:val="auto"/>
        </w:rPr>
      </w:pPr>
      <w:r w:rsidRPr="00B364CB">
        <w:rPr>
          <w:color w:val="auto"/>
        </w:rPr>
        <w:t xml:space="preserve">It is expected that after completion of such flagship project the hydrogen application(s) is/are fully demonstrated (including its business model) and if successful, can further enter the market deployment stage and be replicated at scale (or on a commercial basis). These projects will be implemented through Innovation Actions (or Research and Innovation Actions exceptionally) and may include some special characteristics i.e. a high total budget to achieve volume and scale, therefore limited funding and demanding a large co-funding from participants/beneficiaries such as industry (and consequently related strong involvement of most of the industrial players supporting the concerned hydrogen applications). </w:t>
      </w:r>
    </w:p>
    <w:p w14:paraId="029F2C67" w14:textId="5FB19084" w:rsidR="00785823" w:rsidRPr="00B364CB" w:rsidRDefault="00785823" w:rsidP="00785823">
      <w:pPr>
        <w:pStyle w:val="MAWP-Bodytext"/>
        <w:rPr>
          <w:color w:val="auto"/>
        </w:rPr>
      </w:pPr>
      <w:r w:rsidRPr="00B364CB">
        <w:rPr>
          <w:color w:val="auto"/>
        </w:rPr>
        <w:t xml:space="preserve">The exact limit of funding will be defined at the level of each annual work-plan for the relevant call topics, and should be based on the specific strategic agenda of the </w:t>
      </w:r>
      <w:r w:rsidR="007B70F5">
        <w:t xml:space="preserve">Clean Hydrogen </w:t>
      </w:r>
      <w:r w:rsidRPr="00B364CB">
        <w:rPr>
          <w:color w:val="auto"/>
        </w:rPr>
        <w:t xml:space="preserve">JU </w:t>
      </w:r>
      <w:r w:rsidRPr="00B364CB">
        <w:rPr>
          <w:color w:val="auto"/>
        </w:rPr>
        <w:lastRenderedPageBreak/>
        <w:t>and the related commitment of industry</w:t>
      </w:r>
      <w:r w:rsidRPr="00B364CB">
        <w:rPr>
          <w:color w:val="auto"/>
          <w:vertAlign w:val="superscript"/>
        </w:rPr>
        <w:footnoteReference w:id="244"/>
      </w:r>
      <w:r w:rsidRPr="00B364CB">
        <w:rPr>
          <w:color w:val="auto"/>
        </w:rPr>
        <w:t>, and approved annually by its Governing Board.</w:t>
      </w:r>
    </w:p>
    <w:p w14:paraId="2F772557" w14:textId="672F6579" w:rsidR="00785823" w:rsidRPr="00B364CB" w:rsidRDefault="00785823" w:rsidP="00785823">
      <w:pPr>
        <w:pStyle w:val="MAWP-Bodytext"/>
        <w:rPr>
          <w:color w:val="auto"/>
        </w:rPr>
      </w:pPr>
      <w:r w:rsidRPr="00B364CB">
        <w:rPr>
          <w:color w:val="auto"/>
        </w:rPr>
        <w:t>For these flagship projects, where a reduction of funding will be applied, and where it is expected that important involvement from industrial stakeholders and/or end-users (such as public authorities) and corresponding contributions shall be made, synergies with other sources of funding and financing shall be sought</w:t>
      </w:r>
      <w:r w:rsidRPr="00B364CB">
        <w:rPr>
          <w:rStyle w:val="FootnoteReference"/>
          <w:color w:val="auto"/>
        </w:rPr>
        <w:footnoteReference w:id="245"/>
      </w:r>
      <w:r w:rsidRPr="00B364CB">
        <w:rPr>
          <w:color w:val="auto"/>
        </w:rPr>
        <w:t xml:space="preserve">. In that respect, consortia will be encouraged to identify and secure additional funding and financing sources. The flagship topics may consequently require that proposals include a financing scheme describing the business model, including envisaged sources of co-funding/co-financing in line with state-aid rules. </w:t>
      </w:r>
    </w:p>
    <w:p w14:paraId="08E03DBF" w14:textId="7761996B" w:rsidR="00785823" w:rsidRPr="00B364CB" w:rsidRDefault="00785823" w:rsidP="00785823">
      <w:pPr>
        <w:pStyle w:val="MAWP-Bodytext"/>
        <w:rPr>
          <w:color w:val="auto"/>
        </w:rPr>
      </w:pPr>
      <w:r w:rsidRPr="00B364CB">
        <w:rPr>
          <w:color w:val="auto"/>
        </w:rPr>
        <w:t xml:space="preserve">In line </w:t>
      </w:r>
      <w:r w:rsidRPr="00637F43">
        <w:rPr>
          <w:color w:val="auto"/>
        </w:rPr>
        <w:t xml:space="preserve">with the </w:t>
      </w:r>
      <w:r w:rsidRPr="00E4788A">
        <w:rPr>
          <w:color w:val="auto"/>
        </w:rPr>
        <w:t>SBA</w:t>
      </w:r>
      <w:r w:rsidRPr="00E4788A">
        <w:rPr>
          <w:rStyle w:val="FootnoteReference"/>
          <w:color w:val="auto"/>
        </w:rPr>
        <w:footnoteReference w:id="246"/>
      </w:r>
      <w:r w:rsidRPr="00637F43">
        <w:rPr>
          <w:color w:val="auto"/>
        </w:rPr>
        <w:t xml:space="preserve"> in duly</w:t>
      </w:r>
      <w:r w:rsidRPr="00B364CB">
        <w:rPr>
          <w:color w:val="auto"/>
        </w:rPr>
        <w:t xml:space="preserve"> justified cases, the capital expenditure for, e.g. large scale demonstrators or flagship projects, may be considered as an eligible cost in line with the applicable legal framework</w:t>
      </w:r>
      <w:r w:rsidR="00B30877">
        <w:rPr>
          <w:color w:val="auto"/>
        </w:rPr>
        <w:t xml:space="preserve"> and synergies with other part</w:t>
      </w:r>
      <w:r w:rsidR="00CB4613">
        <w:rPr>
          <w:color w:val="auto"/>
        </w:rPr>
        <w:t>n</w:t>
      </w:r>
      <w:r w:rsidR="00B30877">
        <w:rPr>
          <w:color w:val="auto"/>
        </w:rPr>
        <w:t>e</w:t>
      </w:r>
      <w:r w:rsidR="00CB4613">
        <w:rPr>
          <w:color w:val="auto"/>
        </w:rPr>
        <w:t>r</w:t>
      </w:r>
      <w:r w:rsidR="00B30877">
        <w:rPr>
          <w:color w:val="auto"/>
        </w:rPr>
        <w:t>ships apply</w:t>
      </w:r>
      <w:r w:rsidRPr="00B364CB">
        <w:rPr>
          <w:color w:val="auto"/>
        </w:rPr>
        <w:t>.</w:t>
      </w:r>
    </w:p>
    <w:p w14:paraId="1DAD8947" w14:textId="702D2976" w:rsidR="00785823" w:rsidRPr="00B364CB" w:rsidRDefault="00785823" w:rsidP="00785823">
      <w:pPr>
        <w:pStyle w:val="MAWP-Bodytext"/>
        <w:rPr>
          <w:color w:val="auto"/>
        </w:rPr>
      </w:pPr>
      <w:r w:rsidRPr="00B364CB">
        <w:rPr>
          <w:color w:val="auto"/>
        </w:rPr>
        <w:t>Therefore, it is considered that in the flagship projects</w:t>
      </w:r>
      <w:r w:rsidRPr="00B364CB">
        <w:rPr>
          <w:rStyle w:val="FootnoteReference"/>
          <w:color w:val="auto"/>
        </w:rPr>
        <w:footnoteReference w:id="247"/>
      </w:r>
      <w:r w:rsidRPr="00B364CB">
        <w:rPr>
          <w:color w:val="auto"/>
        </w:rPr>
        <w:t xml:space="preserve"> where the activities may receive limited funding under the </w:t>
      </w:r>
      <w:r w:rsidR="007B70F5">
        <w:t xml:space="preserve">Clean Hydrogen </w:t>
      </w:r>
      <w:r w:rsidRPr="00B364CB">
        <w:rPr>
          <w:color w:val="auto"/>
        </w:rPr>
        <w:t xml:space="preserve">JU, the full </w:t>
      </w:r>
      <w:r w:rsidRPr="00637F43">
        <w:rPr>
          <w:color w:val="auto"/>
        </w:rPr>
        <w:t xml:space="preserve">capital expenditure of equipment to be demonstrated should be considered as eligible costs. To this end, option 2 of section C2 of Article 6.2 “Specific eligibility conditions for each budget category” of the </w:t>
      </w:r>
      <w:r w:rsidRPr="00E4788A">
        <w:rPr>
          <w:color w:val="auto"/>
        </w:rPr>
        <w:t>Horizon Europe Model Grant Agreement</w:t>
      </w:r>
      <w:r w:rsidRPr="00E4788A">
        <w:rPr>
          <w:rStyle w:val="FootnoteReference"/>
          <w:color w:val="auto"/>
        </w:rPr>
        <w:footnoteReference w:id="248"/>
      </w:r>
      <w:r w:rsidRPr="00637F43">
        <w:rPr>
          <w:color w:val="auto"/>
        </w:rPr>
        <w:t xml:space="preserve"> would be enabled, at topic level, in the annual work-plan, in order to allow for the purchase of equipment, infrastructure and other assets specifically</w:t>
      </w:r>
      <w:r w:rsidRPr="00B364CB">
        <w:rPr>
          <w:color w:val="auto"/>
        </w:rPr>
        <w:t xml:space="preserve"> for the action to be declared as full capitalised costs. </w:t>
      </w:r>
    </w:p>
    <w:p w14:paraId="257827CF" w14:textId="77777777" w:rsidR="00785823" w:rsidRPr="00B364CB" w:rsidRDefault="00785823" w:rsidP="006802D3">
      <w:pPr>
        <w:pStyle w:val="Subtitle"/>
      </w:pPr>
      <w:bookmarkStart w:id="230" w:name="_Toc66888458"/>
      <w:bookmarkStart w:id="231" w:name="_Toc93907361"/>
      <w:bookmarkStart w:id="232" w:name="_Toc64640595"/>
      <w:r w:rsidRPr="00B364CB">
        <w:t>Rules for participation</w:t>
      </w:r>
      <w:bookmarkEnd w:id="230"/>
      <w:bookmarkEnd w:id="231"/>
      <w:r w:rsidRPr="00B364CB">
        <w:t xml:space="preserve"> </w:t>
      </w:r>
    </w:p>
    <w:p w14:paraId="0D9C00D3" w14:textId="042B90D3" w:rsidR="00785823" w:rsidRPr="00B364CB" w:rsidRDefault="00785823" w:rsidP="00785823">
      <w:pPr>
        <w:pStyle w:val="MAWP-Bodytext"/>
        <w:rPr>
          <w:color w:val="auto"/>
        </w:rPr>
      </w:pPr>
      <w:r w:rsidRPr="00B364CB">
        <w:rPr>
          <w:color w:val="auto"/>
        </w:rPr>
        <w:t xml:space="preserve">The </w:t>
      </w:r>
      <w:r w:rsidR="0074077B">
        <w:rPr>
          <w:color w:val="auto"/>
        </w:rPr>
        <w:t>Horizon Europe Regulation</w:t>
      </w:r>
      <w:r w:rsidR="0074077B" w:rsidRPr="00B364CB">
        <w:rPr>
          <w:color w:val="auto"/>
        </w:rPr>
        <w:t xml:space="preserve"> </w:t>
      </w:r>
      <w:r w:rsidRPr="00B364CB">
        <w:rPr>
          <w:color w:val="auto"/>
        </w:rPr>
        <w:t>shall apply to the actions funded by the joint undertaking under Horizon Europe</w:t>
      </w:r>
      <w:r w:rsidRPr="00B364CB">
        <w:rPr>
          <w:color w:val="auto"/>
          <w:vertAlign w:val="superscript"/>
        </w:rPr>
        <w:footnoteReference w:id="249"/>
      </w:r>
      <w:r w:rsidRPr="00B364CB">
        <w:rPr>
          <w:color w:val="auto"/>
        </w:rPr>
        <w:t xml:space="preserve">. </w:t>
      </w:r>
    </w:p>
    <w:p w14:paraId="34D86336" w14:textId="615B125E" w:rsidR="00785823" w:rsidRPr="00637F43" w:rsidRDefault="00785823" w:rsidP="00785823">
      <w:pPr>
        <w:pStyle w:val="MAWP-Bodytext"/>
        <w:rPr>
          <w:color w:val="auto"/>
        </w:rPr>
      </w:pPr>
      <w:r w:rsidRPr="00B364CB">
        <w:rPr>
          <w:color w:val="auto"/>
        </w:rPr>
        <w:t xml:space="preserve">Each joint undertaking shall be considered as a funding body and shall provide financial support to indirect actions </w:t>
      </w:r>
      <w:r w:rsidRPr="00637F43">
        <w:rPr>
          <w:color w:val="auto"/>
        </w:rPr>
        <w:t xml:space="preserve">pursuant to </w:t>
      </w:r>
      <w:r w:rsidRPr="00E4788A">
        <w:rPr>
          <w:color w:val="auto"/>
        </w:rPr>
        <w:t xml:space="preserve">Article </w:t>
      </w:r>
      <w:r w:rsidR="00A5568F" w:rsidRPr="00E4788A">
        <w:rPr>
          <w:color w:val="auto"/>
        </w:rPr>
        <w:t>6</w:t>
      </w:r>
      <w:r w:rsidRPr="00637F43">
        <w:rPr>
          <w:color w:val="auto"/>
        </w:rPr>
        <w:t xml:space="preserve"> of that Regulation. In addition, actions funded by the </w:t>
      </w:r>
      <w:r w:rsidR="00144E1C">
        <w:rPr>
          <w:color w:val="auto"/>
        </w:rPr>
        <w:t>JU</w:t>
      </w:r>
      <w:r w:rsidRPr="00637F43">
        <w:rPr>
          <w:color w:val="auto"/>
        </w:rPr>
        <w:t xml:space="preserve"> under Horizon Europe</w:t>
      </w:r>
      <w:r w:rsidRPr="00B364CB">
        <w:rPr>
          <w:color w:val="auto"/>
        </w:rPr>
        <w:t xml:space="preserve"> may also be subject to any specific provisions set out in Part Two of the </w:t>
      </w:r>
      <w:r w:rsidR="00144E1C">
        <w:rPr>
          <w:color w:val="auto"/>
        </w:rPr>
        <w:t>SBA</w:t>
      </w:r>
      <w:r w:rsidR="00227A03">
        <w:rPr>
          <w:color w:val="auto"/>
        </w:rPr>
        <w:t>,</w:t>
      </w:r>
      <w:r w:rsidR="00144E1C" w:rsidRPr="00637F43">
        <w:rPr>
          <w:color w:val="auto"/>
        </w:rPr>
        <w:t xml:space="preserve"> </w:t>
      </w:r>
      <w:r w:rsidRPr="00637F43">
        <w:rPr>
          <w:color w:val="auto"/>
        </w:rPr>
        <w:t>as well as in section 5 of the present document.</w:t>
      </w:r>
    </w:p>
    <w:p w14:paraId="4D1E838B" w14:textId="15F63556" w:rsidR="003C46A0" w:rsidRDefault="00785823" w:rsidP="00B81E9E">
      <w:pPr>
        <w:pStyle w:val="MAWP-Bodytext"/>
        <w:rPr>
          <w:rStyle w:val="MAWPTitle"/>
          <w:b/>
          <w:bCs w:val="0"/>
          <w:lang w:val="en-GB"/>
        </w:rPr>
      </w:pPr>
      <w:r w:rsidRPr="00637F43">
        <w:rPr>
          <w:color w:val="auto"/>
        </w:rPr>
        <w:t xml:space="preserve">In accordance with article 3 of the </w:t>
      </w:r>
      <w:r w:rsidRPr="00E4788A">
        <w:rPr>
          <w:color w:val="auto"/>
        </w:rPr>
        <w:t>SBA</w:t>
      </w:r>
      <w:r w:rsidRPr="00637F43">
        <w:rPr>
          <w:color w:val="auto"/>
        </w:rPr>
        <w:t>, in order to take into account the duration of Horizon Europe, calls for proposals under the joint undertakings shall be launched at the latest by 31 December 2027. In duly justified cases, calls for proposals may be launched by 31 December 2028, at the latest.</w:t>
      </w:r>
      <w:bookmarkStart w:id="233" w:name="_Toc64640599"/>
      <w:bookmarkStart w:id="234" w:name="_Toc66888459"/>
      <w:bookmarkEnd w:id="232"/>
      <w:r w:rsidR="003C46A0">
        <w:rPr>
          <w:rStyle w:val="MAWPTitle"/>
          <w:lang w:val="en-GB"/>
        </w:rPr>
        <w:br w:type="page"/>
      </w:r>
    </w:p>
    <w:p w14:paraId="21DD52A5" w14:textId="64347FFA" w:rsidR="00785823" w:rsidRPr="00B364CB" w:rsidRDefault="00785823" w:rsidP="00785823">
      <w:pPr>
        <w:pStyle w:val="Heading11"/>
        <w:keepNext/>
        <w:keepLines/>
        <w:numPr>
          <w:ilvl w:val="0"/>
          <w:numId w:val="1"/>
        </w:numPr>
        <w:shd w:val="clear" w:color="auto" w:fill="auto"/>
        <w:tabs>
          <w:tab w:val="left" w:pos="850"/>
        </w:tabs>
        <w:spacing w:after="240" w:line="276" w:lineRule="auto"/>
        <w:jc w:val="left"/>
        <w:rPr>
          <w:rStyle w:val="MAWPTitle"/>
          <w:lang w:val="en-GB"/>
        </w:rPr>
      </w:pPr>
      <w:bookmarkStart w:id="235" w:name="_Toc93907362"/>
      <w:bookmarkEnd w:id="219"/>
      <w:r w:rsidRPr="00B364CB">
        <w:rPr>
          <w:rStyle w:val="MAWPTitle"/>
          <w:lang w:val="en-GB"/>
        </w:rPr>
        <w:lastRenderedPageBreak/>
        <w:t>Governance</w:t>
      </w:r>
      <w:bookmarkEnd w:id="233"/>
      <w:bookmarkEnd w:id="234"/>
      <w:bookmarkEnd w:id="235"/>
    </w:p>
    <w:p w14:paraId="42B83A1D" w14:textId="77777777" w:rsidR="00785823" w:rsidRPr="00B364CB" w:rsidRDefault="00785823" w:rsidP="006802D3">
      <w:pPr>
        <w:pStyle w:val="Subtitle"/>
      </w:pPr>
      <w:bookmarkStart w:id="236" w:name="_Toc64640600"/>
      <w:bookmarkStart w:id="237" w:name="_Toc66888460"/>
      <w:bookmarkStart w:id="238" w:name="_Toc93907363"/>
      <w:r w:rsidRPr="00B364CB">
        <w:t>Main actors: roles and representation</w:t>
      </w:r>
      <w:bookmarkEnd w:id="236"/>
      <w:bookmarkEnd w:id="237"/>
      <w:bookmarkEnd w:id="238"/>
    </w:p>
    <w:p w14:paraId="2B1DF2F3" w14:textId="77777777" w:rsidR="00785823" w:rsidRPr="00B364CB" w:rsidRDefault="00785823" w:rsidP="00785823">
      <w:pPr>
        <w:pStyle w:val="MAWP-Bodytext"/>
        <w:rPr>
          <w:color w:val="auto"/>
        </w:rPr>
      </w:pPr>
      <w:r w:rsidRPr="00B364CB">
        <w:rPr>
          <w:color w:val="auto"/>
        </w:rPr>
        <w:t>Under Horizon Europe the Clean Hydrogen JU will continue to be an industry led private-public partnership. The private sector will be represented by the Hydrogen Europe AISBL (the ‘Industry Grouping’) and the Hydrogen Europe Research AISBL (the ‘Research Grouping’).  The European Union will be represented by the Commission.  Each of the Members will appoint its representatives at the Governing Board of the Clean Hydrogen JU.</w:t>
      </w:r>
    </w:p>
    <w:p w14:paraId="5083E356" w14:textId="165FAC19" w:rsidR="00785823" w:rsidRPr="00B364CB" w:rsidRDefault="00785823" w:rsidP="00785823">
      <w:pPr>
        <w:pStyle w:val="MAWP-Bodytext"/>
        <w:rPr>
          <w:color w:val="auto"/>
        </w:rPr>
      </w:pPr>
      <w:r w:rsidRPr="00B364CB">
        <w:rPr>
          <w:color w:val="auto"/>
        </w:rPr>
        <w:t xml:space="preserve">The bodies of the </w:t>
      </w:r>
      <w:r w:rsidR="007B70F5">
        <w:t>Clean Hydrogen</w:t>
      </w:r>
      <w:r w:rsidRPr="00B364CB">
        <w:rPr>
          <w:color w:val="auto"/>
        </w:rPr>
        <w:t xml:space="preserve"> JU shall be:</w:t>
      </w:r>
    </w:p>
    <w:p w14:paraId="6EB53FB1" w14:textId="1D997AFC" w:rsidR="00785823" w:rsidRPr="00B364CB" w:rsidRDefault="00785823" w:rsidP="00785823">
      <w:pPr>
        <w:pStyle w:val="MAWP-Bodytext"/>
        <w:rPr>
          <w:color w:val="auto"/>
        </w:rPr>
      </w:pPr>
      <w:r w:rsidRPr="00B364CB">
        <w:rPr>
          <w:color w:val="auto"/>
        </w:rPr>
        <w:t>(a) the Governing Board</w:t>
      </w:r>
      <w:r w:rsidR="006467BB">
        <w:rPr>
          <w:color w:val="auto"/>
        </w:rPr>
        <w:t xml:space="preserve"> (GB)</w:t>
      </w:r>
      <w:r w:rsidRPr="00B364CB">
        <w:rPr>
          <w:color w:val="auto"/>
        </w:rPr>
        <w:t>;</w:t>
      </w:r>
    </w:p>
    <w:p w14:paraId="3A596742" w14:textId="79B88ECA" w:rsidR="00785823" w:rsidRPr="00B364CB" w:rsidRDefault="00785823" w:rsidP="00785823">
      <w:pPr>
        <w:pStyle w:val="MAWP-Bodytext"/>
        <w:rPr>
          <w:color w:val="auto"/>
        </w:rPr>
      </w:pPr>
      <w:r w:rsidRPr="00B364CB">
        <w:rPr>
          <w:color w:val="auto"/>
        </w:rPr>
        <w:t>(b) the Executive Director</w:t>
      </w:r>
      <w:r w:rsidR="006467BB">
        <w:rPr>
          <w:color w:val="auto"/>
        </w:rPr>
        <w:t xml:space="preserve"> (ED)</w:t>
      </w:r>
      <w:r w:rsidRPr="00B364CB">
        <w:rPr>
          <w:color w:val="auto"/>
        </w:rPr>
        <w:t>;</w:t>
      </w:r>
    </w:p>
    <w:p w14:paraId="12DB0F7E" w14:textId="23364F11" w:rsidR="00785823" w:rsidRPr="00B364CB" w:rsidRDefault="00785823" w:rsidP="00785823">
      <w:pPr>
        <w:pStyle w:val="MAWP-Bodytext"/>
        <w:rPr>
          <w:color w:val="auto"/>
        </w:rPr>
      </w:pPr>
      <w:r w:rsidRPr="00B364CB">
        <w:rPr>
          <w:color w:val="auto"/>
        </w:rPr>
        <w:t>(c) the States’ Representatives Group</w:t>
      </w:r>
      <w:r w:rsidR="006467BB">
        <w:rPr>
          <w:color w:val="auto"/>
        </w:rPr>
        <w:t xml:space="preserve"> (SRG)</w:t>
      </w:r>
      <w:r w:rsidRPr="00B364CB">
        <w:rPr>
          <w:color w:val="auto"/>
        </w:rPr>
        <w:t>; and</w:t>
      </w:r>
    </w:p>
    <w:p w14:paraId="78EE174E" w14:textId="1C2469AD" w:rsidR="00785823" w:rsidRPr="00B364CB" w:rsidRDefault="00785823" w:rsidP="00785823">
      <w:pPr>
        <w:pStyle w:val="MAWP-Bodytext"/>
        <w:rPr>
          <w:color w:val="auto"/>
          <w:highlight w:val="yellow"/>
        </w:rPr>
      </w:pPr>
      <w:r w:rsidRPr="00B364CB">
        <w:rPr>
          <w:color w:val="auto"/>
        </w:rPr>
        <w:t>(d) the Stakeholders Group</w:t>
      </w:r>
      <w:r w:rsidR="006467BB">
        <w:rPr>
          <w:color w:val="auto"/>
        </w:rPr>
        <w:t xml:space="preserve"> (SG)</w:t>
      </w:r>
      <w:r w:rsidRPr="00B364CB">
        <w:rPr>
          <w:color w:val="auto"/>
        </w:rPr>
        <w:t>.</w:t>
      </w:r>
    </w:p>
    <w:p w14:paraId="01D96B3A" w14:textId="77777777" w:rsidR="00785823" w:rsidRPr="00B364CB" w:rsidRDefault="00785823" w:rsidP="00785823">
      <w:pPr>
        <w:pStyle w:val="MAWP-Bodytext"/>
        <w:rPr>
          <w:color w:val="auto"/>
        </w:rPr>
      </w:pPr>
      <w:r w:rsidRPr="00B364CB">
        <w:rPr>
          <w:color w:val="auto"/>
        </w:rPr>
        <w:t>The States Representatives Group and the Stakeholders group are advisory bodies</w:t>
      </w:r>
      <w:r w:rsidRPr="00B364CB">
        <w:rPr>
          <w:rStyle w:val="FootnoteReference"/>
          <w:color w:val="auto"/>
        </w:rPr>
        <w:footnoteReference w:id="250"/>
      </w:r>
      <w:r w:rsidRPr="00B364CB">
        <w:rPr>
          <w:color w:val="auto"/>
        </w:rPr>
        <w:t xml:space="preserve">. </w:t>
      </w:r>
    </w:p>
    <w:p w14:paraId="0CF33D7B" w14:textId="32947899" w:rsidR="00785823" w:rsidRPr="00B364CB" w:rsidRDefault="00785823" w:rsidP="006802D3">
      <w:pPr>
        <w:pStyle w:val="Subtitle"/>
      </w:pPr>
      <w:bookmarkStart w:id="239" w:name="_Toc64640601"/>
      <w:bookmarkStart w:id="240" w:name="_Toc66888461"/>
      <w:bookmarkStart w:id="241" w:name="_Toc93907364"/>
      <w:r w:rsidRPr="006C7112">
        <w:t>Governing Board</w:t>
      </w:r>
      <w:bookmarkEnd w:id="239"/>
      <w:bookmarkEnd w:id="240"/>
      <w:r w:rsidR="00750B0C" w:rsidRPr="00B364CB">
        <w:rPr>
          <w:rStyle w:val="FootnoteReference"/>
          <w:color w:val="auto"/>
        </w:rPr>
        <w:footnoteReference w:id="251"/>
      </w:r>
      <w:bookmarkEnd w:id="241"/>
    </w:p>
    <w:p w14:paraId="6A8A4E02" w14:textId="229AF840" w:rsidR="00785823" w:rsidRPr="00B364CB" w:rsidRDefault="00785823" w:rsidP="00785823">
      <w:pPr>
        <w:pStyle w:val="MAWP-Bodytext"/>
        <w:rPr>
          <w:color w:val="auto"/>
        </w:rPr>
      </w:pPr>
      <w:bookmarkStart w:id="242" w:name="_Hlk93676517"/>
      <w:r w:rsidRPr="00B364CB">
        <w:rPr>
          <w:color w:val="auto"/>
        </w:rPr>
        <w:t xml:space="preserve">The GB is the decision-making body of the </w:t>
      </w:r>
      <w:r w:rsidR="00C85278">
        <w:rPr>
          <w:color w:val="auto"/>
        </w:rPr>
        <w:t>JU</w:t>
      </w:r>
      <w:r w:rsidRPr="00B364CB">
        <w:rPr>
          <w:color w:val="auto"/>
        </w:rPr>
        <w:t xml:space="preserve"> that decides on the long-term strategic orientation of the partnership, as well as its annual priorities</w:t>
      </w:r>
      <w:bookmarkEnd w:id="242"/>
      <w:r w:rsidRPr="00B364CB">
        <w:rPr>
          <w:color w:val="auto"/>
        </w:rPr>
        <w:t>. It has overall responsibility for the strategic orientation and the operations of the JU and supervises the implementation of its activities</w:t>
      </w:r>
      <w:r w:rsidR="007B70F5">
        <w:rPr>
          <w:color w:val="auto"/>
        </w:rPr>
        <w:t>.</w:t>
      </w:r>
      <w:r w:rsidRPr="00B364CB">
        <w:rPr>
          <w:color w:val="auto"/>
        </w:rPr>
        <w:t xml:space="preserve"> </w:t>
      </w:r>
    </w:p>
    <w:p w14:paraId="56DF87A5" w14:textId="4ACDF684" w:rsidR="00785823" w:rsidRPr="00B364CB" w:rsidRDefault="00785823" w:rsidP="00785823">
      <w:pPr>
        <w:pStyle w:val="MAWP-Bodytext"/>
        <w:rPr>
          <w:color w:val="auto"/>
        </w:rPr>
      </w:pPr>
      <w:r w:rsidRPr="00B364CB">
        <w:rPr>
          <w:color w:val="auto"/>
        </w:rPr>
        <w:t xml:space="preserve">It shall also foster synergies with relevant activities and programmes at Union, national and regional level </w:t>
      </w:r>
      <w:r w:rsidRPr="00C85278">
        <w:rPr>
          <w:color w:val="auto"/>
        </w:rPr>
        <w:t>in particular with those supporting the deployment of research and innovation solutions, infrastructure, education and regional development on the use of clean hydrogen</w:t>
      </w:r>
      <w:r w:rsidRPr="00B364CB">
        <w:rPr>
          <w:color w:val="auto"/>
        </w:rPr>
        <w:t>, provide strategic orientation as regards the collaboration with other European partnerships including the partnerships towards zero emission road transport, zero emission waterborne, Europe’s rail, clean aviation, processes for the planet and clean steel in accordance with their respective Strategic Research and Innovation Agendas or other equivalent document and encourage market uptake of technologies and solutions for achieving the European Green Deal’s objectives. For further details on synergies and collaboration with other partnerships and programmes see section</w:t>
      </w:r>
      <w:r w:rsidR="005E370C">
        <w:rPr>
          <w:color w:val="auto"/>
        </w:rPr>
        <w:t xml:space="preserve"> </w:t>
      </w:r>
      <w:r w:rsidR="006467BB">
        <w:rPr>
          <w:color w:val="auto"/>
        </w:rPr>
        <w:fldChar w:fldCharType="begin"/>
      </w:r>
      <w:r w:rsidR="006467BB">
        <w:rPr>
          <w:color w:val="auto"/>
        </w:rPr>
        <w:instrText xml:space="preserve"> REF _Ref55249545 \n \h </w:instrText>
      </w:r>
      <w:r w:rsidR="00C85278">
        <w:rPr>
          <w:color w:val="auto"/>
        </w:rPr>
        <w:instrText xml:space="preserve"> \* MERGEFORMAT </w:instrText>
      </w:r>
      <w:r w:rsidR="006467BB">
        <w:rPr>
          <w:color w:val="auto"/>
        </w:rPr>
      </w:r>
      <w:r w:rsidR="006467BB">
        <w:rPr>
          <w:color w:val="auto"/>
        </w:rPr>
        <w:fldChar w:fldCharType="separate"/>
      </w:r>
      <w:r w:rsidR="006467BB">
        <w:rPr>
          <w:color w:val="auto"/>
        </w:rPr>
        <w:t>4.1</w:t>
      </w:r>
      <w:r w:rsidR="006467BB">
        <w:rPr>
          <w:color w:val="auto"/>
        </w:rPr>
        <w:fldChar w:fldCharType="end"/>
      </w:r>
      <w:r w:rsidR="0003138E">
        <w:rPr>
          <w:color w:val="auto"/>
        </w:rPr>
        <w:t>.</w:t>
      </w:r>
    </w:p>
    <w:p w14:paraId="5863A932" w14:textId="7B6822F2" w:rsidR="00785823" w:rsidRPr="00C85278" w:rsidRDefault="00785823" w:rsidP="00785823">
      <w:pPr>
        <w:pStyle w:val="MAWP-Bodytext"/>
        <w:rPr>
          <w:color w:val="auto"/>
        </w:rPr>
      </w:pPr>
      <w:r w:rsidRPr="00B364CB">
        <w:rPr>
          <w:color w:val="auto"/>
        </w:rPr>
        <w:t>The GB is chaired by a representative of the private members with a representative of the European Commission as Vice Chairperson and constituted by representatives of the EC on behalf of the Union (50% of voting rights which are indivisible), six representatives of Hydrogen Europe (43% of the voting rights) and one representative of Hydrogen Europe Research (7% of the voting rights).</w:t>
      </w:r>
    </w:p>
    <w:p w14:paraId="025EBE5B" w14:textId="4E210CE1" w:rsidR="00785823" w:rsidRPr="006C7112" w:rsidRDefault="00785823" w:rsidP="006802D3">
      <w:pPr>
        <w:pStyle w:val="Subtitle"/>
      </w:pPr>
      <w:bookmarkStart w:id="243" w:name="_Toc66888462"/>
      <w:bookmarkStart w:id="244" w:name="_Toc93907365"/>
      <w:r w:rsidRPr="006C7112">
        <w:t>Executive Director</w:t>
      </w:r>
      <w:bookmarkEnd w:id="243"/>
      <w:r w:rsidR="006C7112" w:rsidRPr="006C7112">
        <w:rPr>
          <w:rStyle w:val="FootnoteReference"/>
        </w:rPr>
        <w:t xml:space="preserve"> </w:t>
      </w:r>
      <w:r w:rsidR="00750B0C" w:rsidRPr="006C7112">
        <w:rPr>
          <w:rStyle w:val="FootnoteReference"/>
        </w:rPr>
        <w:footnoteReference w:id="252"/>
      </w:r>
      <w:bookmarkEnd w:id="244"/>
    </w:p>
    <w:p w14:paraId="56949E4C" w14:textId="3646B749" w:rsidR="00750B0C" w:rsidRPr="00C85278" w:rsidRDefault="006467BB" w:rsidP="00C85278">
      <w:pPr>
        <w:pStyle w:val="MAWP-Bodytext"/>
      </w:pPr>
      <w:bookmarkStart w:id="245" w:name="_Hlk93676529"/>
      <w:r w:rsidRPr="00C85278">
        <w:t xml:space="preserve">The ED shall be the chief executive responsible for the day-to-day management of the joint undertaking in accordance with the decisions of the GB. </w:t>
      </w:r>
      <w:r w:rsidR="00750B0C" w:rsidRPr="00C85278">
        <w:t xml:space="preserve">The executive director shall be the </w:t>
      </w:r>
      <w:r w:rsidR="00750B0C" w:rsidRPr="00C85278">
        <w:lastRenderedPageBreak/>
        <w:t xml:space="preserve">legal representative of the </w:t>
      </w:r>
      <w:r w:rsidR="00550264">
        <w:t>JU</w:t>
      </w:r>
      <w:r w:rsidR="00750B0C" w:rsidRPr="00C85278">
        <w:t xml:space="preserve">. He or she shall be accountable to the </w:t>
      </w:r>
      <w:r w:rsidR="00C85278" w:rsidRPr="00C85278">
        <w:t>GB</w:t>
      </w:r>
      <w:r w:rsidR="00750B0C" w:rsidRPr="00C85278">
        <w:t xml:space="preserve"> of the </w:t>
      </w:r>
      <w:r w:rsidR="00550264">
        <w:t>JU</w:t>
      </w:r>
      <w:r w:rsidR="00750B0C" w:rsidRPr="00C85278">
        <w:t>.</w:t>
      </w:r>
    </w:p>
    <w:bookmarkEnd w:id="245"/>
    <w:p w14:paraId="07B95EB6" w14:textId="7DFA4CF5" w:rsidR="00785823" w:rsidRDefault="006467BB" w:rsidP="00CB4613">
      <w:pPr>
        <w:pStyle w:val="MAWP-Bodytext"/>
        <w:rPr>
          <w:color w:val="auto"/>
        </w:rPr>
      </w:pPr>
      <w:r w:rsidRPr="00C85278">
        <w:t xml:space="preserve">He or she shall provide the GB with all information necessary for the performance of its functions. </w:t>
      </w:r>
      <w:r w:rsidR="00785823" w:rsidRPr="00B364CB">
        <w:rPr>
          <w:color w:val="auto"/>
        </w:rPr>
        <w:t xml:space="preserve">This includes in particular, the preparation and submission of the annual work programmes and the corresponding expenditure estimates for the joint undertaking to implement the </w:t>
      </w:r>
      <w:r w:rsidR="002967E8">
        <w:rPr>
          <w:color w:val="auto"/>
        </w:rPr>
        <w:t>SRIA</w:t>
      </w:r>
      <w:r w:rsidR="00785823" w:rsidRPr="00B364CB">
        <w:rPr>
          <w:color w:val="auto"/>
        </w:rPr>
        <w:t xml:space="preserve"> and regular reporting on the progress of private members in achieving the targets on in-kind contributions to operational activities. The </w:t>
      </w:r>
      <w:r w:rsidR="00C85278">
        <w:rPr>
          <w:color w:val="auto"/>
        </w:rPr>
        <w:t>ED</w:t>
      </w:r>
      <w:r w:rsidR="00785823" w:rsidRPr="00B364CB">
        <w:rPr>
          <w:color w:val="auto"/>
        </w:rPr>
        <w:t xml:space="preserve"> shall also </w:t>
      </w:r>
      <w:r w:rsidR="00550264" w:rsidRPr="00550264">
        <w:rPr>
          <w:color w:val="auto"/>
        </w:rPr>
        <w:t>establish a formal and regular collaboration with the European partnerships identified in the Strategic Research and Innovation Agenda</w:t>
      </w:r>
      <w:r w:rsidR="00550264">
        <w:rPr>
          <w:color w:val="auto"/>
        </w:rPr>
        <w:t>, with priority on those mentioned in the SBA,</w:t>
      </w:r>
      <w:r w:rsidR="00550264" w:rsidRPr="00550264">
        <w:rPr>
          <w:color w:val="auto"/>
        </w:rPr>
        <w:t xml:space="preserve"> and in accordance with the strategic orientation provided by the </w:t>
      </w:r>
      <w:r w:rsidR="00550264">
        <w:rPr>
          <w:color w:val="auto"/>
        </w:rPr>
        <w:t>GB. T</w:t>
      </w:r>
      <w:r w:rsidR="00713810">
        <w:rPr>
          <w:color w:val="auto"/>
        </w:rPr>
        <w:t xml:space="preserve">he ED </w:t>
      </w:r>
      <w:r w:rsidR="00785823" w:rsidRPr="00B364CB">
        <w:rPr>
          <w:color w:val="auto"/>
        </w:rPr>
        <w:t>propose</w:t>
      </w:r>
      <w:r w:rsidR="00713810">
        <w:rPr>
          <w:color w:val="auto"/>
        </w:rPr>
        <w:t>s</w:t>
      </w:r>
      <w:r w:rsidR="00785823" w:rsidRPr="00B364CB">
        <w:rPr>
          <w:color w:val="auto"/>
        </w:rPr>
        <w:t xml:space="preserve"> activities that favour synergies with relevant activities and programmes at Union, national, and regional level and support and contribute to other Union initiatives related to hydrogen. </w:t>
      </w:r>
      <w:r w:rsidR="00BF40F6" w:rsidRPr="00BF40F6">
        <w:rPr>
          <w:color w:val="auto"/>
        </w:rPr>
        <w:t>He or she shall convene an annual European Clean Hydrogen JU forum. This may be organised jointly and/or in parallel with the European Hydrogen Forum of the Clean Hydrogen Alliance.</w:t>
      </w:r>
      <w:r w:rsidR="00BF40F6" w:rsidRPr="00BF40F6" w:rsidDel="00BF40F6">
        <w:rPr>
          <w:color w:val="auto"/>
        </w:rPr>
        <w:t xml:space="preserve"> </w:t>
      </w:r>
    </w:p>
    <w:p w14:paraId="74E06F43" w14:textId="57562C64" w:rsidR="00785823" w:rsidRPr="006C7112" w:rsidRDefault="00785823" w:rsidP="006802D3">
      <w:pPr>
        <w:pStyle w:val="MAWPsubtitle2"/>
      </w:pPr>
      <w:bookmarkStart w:id="246" w:name="_Toc66888463"/>
      <w:bookmarkStart w:id="247" w:name="_Toc93907366"/>
      <w:r w:rsidRPr="006C7112">
        <w:t>Programme Office</w:t>
      </w:r>
      <w:bookmarkEnd w:id="246"/>
      <w:r w:rsidR="006C7112" w:rsidRPr="00B364CB">
        <w:rPr>
          <w:rStyle w:val="FootnoteReference"/>
          <w:color w:val="auto"/>
        </w:rPr>
        <w:footnoteReference w:id="253"/>
      </w:r>
      <w:bookmarkEnd w:id="247"/>
    </w:p>
    <w:p w14:paraId="21665A71" w14:textId="1EC5661F" w:rsidR="00785823" w:rsidRPr="00B364CB" w:rsidRDefault="00785823" w:rsidP="00785823">
      <w:pPr>
        <w:pStyle w:val="MAWP-Bodytext"/>
        <w:rPr>
          <w:color w:val="auto"/>
          <w:highlight w:val="yellow"/>
        </w:rPr>
      </w:pPr>
      <w:bookmarkStart w:id="248" w:name="_Hlk93676536"/>
      <w:r w:rsidRPr="00B364CB">
        <w:rPr>
          <w:color w:val="auto"/>
        </w:rPr>
        <w:t xml:space="preserve">The </w:t>
      </w:r>
      <w:r w:rsidR="00720C21" w:rsidRPr="00B364CB">
        <w:rPr>
          <w:color w:val="auto"/>
        </w:rPr>
        <w:t>P</w:t>
      </w:r>
      <w:r w:rsidR="006C7112">
        <w:rPr>
          <w:color w:val="auto"/>
        </w:rPr>
        <w:t xml:space="preserve">rogramme Office </w:t>
      </w:r>
      <w:r w:rsidRPr="00B364CB">
        <w:rPr>
          <w:color w:val="auto"/>
        </w:rPr>
        <w:t xml:space="preserve">set up by and operating under the responsibility of the </w:t>
      </w:r>
      <w:r w:rsidR="00564626">
        <w:rPr>
          <w:color w:val="auto"/>
        </w:rPr>
        <w:t xml:space="preserve">ED </w:t>
      </w:r>
      <w:r w:rsidRPr="00B364CB">
        <w:rPr>
          <w:color w:val="auto"/>
        </w:rPr>
        <w:t xml:space="preserve">will execute all the necessary tasks for the implementation of the mandate of the </w:t>
      </w:r>
      <w:r w:rsidR="007B70F5">
        <w:t xml:space="preserve">Clean Hydrogen </w:t>
      </w:r>
      <w:r w:rsidRPr="00B364CB">
        <w:rPr>
          <w:color w:val="auto"/>
        </w:rPr>
        <w:t xml:space="preserve">JU. </w:t>
      </w:r>
      <w:bookmarkEnd w:id="248"/>
      <w:r w:rsidRPr="00B364CB">
        <w:rPr>
          <w:color w:val="auto"/>
        </w:rPr>
        <w:t xml:space="preserve">It shall in particular ensure the establishment and management of an appropriate accounting system in accordance with the financial rules for the </w:t>
      </w:r>
      <w:r w:rsidR="00564626">
        <w:rPr>
          <w:color w:val="auto"/>
        </w:rPr>
        <w:t>JU</w:t>
      </w:r>
      <w:r w:rsidRPr="00B364CB">
        <w:rPr>
          <w:color w:val="auto"/>
        </w:rPr>
        <w:t xml:space="preserve">; manage the implementation of the work programme of the </w:t>
      </w:r>
      <w:r w:rsidR="00564626">
        <w:rPr>
          <w:color w:val="auto"/>
        </w:rPr>
        <w:t>JU</w:t>
      </w:r>
      <w:r w:rsidRPr="00B364CB">
        <w:rPr>
          <w:color w:val="auto"/>
        </w:rPr>
        <w:t xml:space="preserve"> throughout the implementation cycle; provide to the members and the bodies of the </w:t>
      </w:r>
      <w:r w:rsidR="00564626">
        <w:rPr>
          <w:color w:val="auto"/>
        </w:rPr>
        <w:t>JU</w:t>
      </w:r>
      <w:r w:rsidR="003A6E97" w:rsidRPr="00B364CB">
        <w:rPr>
          <w:color w:val="auto"/>
        </w:rPr>
        <w:t xml:space="preserve"> </w:t>
      </w:r>
      <w:r w:rsidRPr="00B364CB">
        <w:rPr>
          <w:color w:val="auto"/>
        </w:rPr>
        <w:t xml:space="preserve">all relevant information and support necessary for them to perform their duties; act as the secretariat of the bodies of the </w:t>
      </w:r>
      <w:r w:rsidR="00564626">
        <w:rPr>
          <w:color w:val="auto"/>
        </w:rPr>
        <w:t>JU</w:t>
      </w:r>
      <w:r w:rsidR="003A6E97" w:rsidRPr="00B364CB">
        <w:rPr>
          <w:color w:val="auto"/>
        </w:rPr>
        <w:t xml:space="preserve"> </w:t>
      </w:r>
      <w:r w:rsidRPr="00B364CB">
        <w:rPr>
          <w:color w:val="auto"/>
        </w:rPr>
        <w:t xml:space="preserve">and provide support to advisory groups set up by the </w:t>
      </w:r>
      <w:r w:rsidR="00564626">
        <w:rPr>
          <w:color w:val="auto"/>
        </w:rPr>
        <w:t>GB</w:t>
      </w:r>
      <w:r w:rsidRPr="00B364CB">
        <w:rPr>
          <w:color w:val="auto"/>
        </w:rPr>
        <w:t xml:space="preserve">. In this regard, digital working methods including collaborative tools will be used to facilitate the work of the bodies in particular the </w:t>
      </w:r>
      <w:r w:rsidR="00720C21" w:rsidRPr="00B364CB">
        <w:rPr>
          <w:color w:val="auto"/>
        </w:rPr>
        <w:t>GB</w:t>
      </w:r>
      <w:r w:rsidRPr="00B364CB">
        <w:rPr>
          <w:color w:val="auto"/>
        </w:rPr>
        <w:t xml:space="preserve"> and the SRG. </w:t>
      </w:r>
    </w:p>
    <w:p w14:paraId="76FFED35" w14:textId="046125D2" w:rsidR="00785823" w:rsidRPr="00B364CB" w:rsidRDefault="00785823" w:rsidP="006802D3">
      <w:pPr>
        <w:pStyle w:val="MAWPHeadingStyleLevel3"/>
      </w:pPr>
      <w:bookmarkStart w:id="249" w:name="_Toc64640602"/>
      <w:bookmarkStart w:id="250" w:name="_Toc66888464"/>
      <w:bookmarkStart w:id="251" w:name="_Toc93907367"/>
      <w:r w:rsidRPr="00B364CB">
        <w:t>States Representatives Group</w:t>
      </w:r>
      <w:bookmarkEnd w:id="249"/>
      <w:bookmarkEnd w:id="250"/>
      <w:r w:rsidR="00564626" w:rsidRPr="00B364CB">
        <w:rPr>
          <w:rStyle w:val="FootnoteReference"/>
          <w:color w:val="auto"/>
        </w:rPr>
        <w:footnoteReference w:id="254"/>
      </w:r>
      <w:bookmarkEnd w:id="251"/>
    </w:p>
    <w:p w14:paraId="533C0F2D" w14:textId="21354AB0" w:rsidR="00785823" w:rsidRPr="00B364CB" w:rsidRDefault="00785823" w:rsidP="00785823">
      <w:pPr>
        <w:pStyle w:val="MAWP-Bodytext"/>
        <w:rPr>
          <w:color w:val="auto"/>
        </w:rPr>
      </w:pPr>
      <w:bookmarkStart w:id="252" w:name="_Hlk93676546"/>
      <w:r w:rsidRPr="00B364CB">
        <w:rPr>
          <w:color w:val="auto"/>
        </w:rPr>
        <w:t xml:space="preserve">The </w:t>
      </w:r>
      <w:r w:rsidR="00720C21" w:rsidRPr="00B364CB">
        <w:rPr>
          <w:color w:val="auto"/>
        </w:rPr>
        <w:t>SRG</w:t>
      </w:r>
      <w:r w:rsidRPr="00B364CB">
        <w:rPr>
          <w:color w:val="auto"/>
        </w:rPr>
        <w:t xml:space="preserve"> of the Clean Hydrogen JU shall consist of </w:t>
      </w:r>
      <w:r w:rsidR="00564626">
        <w:rPr>
          <w:color w:val="auto"/>
        </w:rPr>
        <w:t xml:space="preserve">up to </w:t>
      </w:r>
      <w:r w:rsidR="00F715E3">
        <w:rPr>
          <w:color w:val="auto"/>
        </w:rPr>
        <w:t xml:space="preserve">two </w:t>
      </w:r>
      <w:r w:rsidRPr="00B364CB">
        <w:rPr>
          <w:color w:val="auto"/>
        </w:rPr>
        <w:t>representative</w:t>
      </w:r>
      <w:r w:rsidR="00F715E3">
        <w:rPr>
          <w:color w:val="auto"/>
        </w:rPr>
        <w:t>s</w:t>
      </w:r>
      <w:r w:rsidRPr="00B364CB">
        <w:rPr>
          <w:color w:val="auto"/>
        </w:rPr>
        <w:t xml:space="preserve"> and</w:t>
      </w:r>
      <w:r w:rsidR="00564626">
        <w:rPr>
          <w:color w:val="auto"/>
        </w:rPr>
        <w:t xml:space="preserve"> up to</w:t>
      </w:r>
      <w:r w:rsidRPr="00B364CB">
        <w:rPr>
          <w:color w:val="auto"/>
        </w:rPr>
        <w:t xml:space="preserve"> </w:t>
      </w:r>
      <w:r w:rsidR="00F715E3">
        <w:rPr>
          <w:color w:val="auto"/>
        </w:rPr>
        <w:t>two</w:t>
      </w:r>
      <w:r w:rsidRPr="00B364CB">
        <w:rPr>
          <w:color w:val="auto"/>
        </w:rPr>
        <w:t xml:space="preserve"> alternate from each member state and of each associated country. </w:t>
      </w:r>
      <w:bookmarkEnd w:id="252"/>
      <w:r w:rsidRPr="00B364CB">
        <w:rPr>
          <w:color w:val="auto"/>
        </w:rPr>
        <w:t xml:space="preserve">The SRG shall be consulted and, in particular, it shall review information and provide opinions on the programme progress and achievement of the </w:t>
      </w:r>
      <w:r w:rsidR="007B70F5">
        <w:t xml:space="preserve">Clean Hydrogen </w:t>
      </w:r>
      <w:r w:rsidRPr="00B364CB">
        <w:rPr>
          <w:color w:val="auto"/>
        </w:rPr>
        <w:t>JU’s targets as part of Horizon Europe, including the information on calls for proposals</w:t>
      </w:r>
      <w:r w:rsidR="00F715E3">
        <w:rPr>
          <w:color w:val="auto"/>
        </w:rPr>
        <w:t xml:space="preserve"> results</w:t>
      </w:r>
      <w:r w:rsidRPr="00B364CB">
        <w:rPr>
          <w:color w:val="auto"/>
        </w:rPr>
        <w:t xml:space="preserve"> and the proposals evaluation process; on the updating of strategic orientation in line with the Horizon Europe strategic planning and with other Union and member states funding instruments; on the links to Horizon Europe and other Union, national and, where relevant, regional initiatives, including cohesion policy funds in line with smart specialisation strategies; on the work programmes and on the involvement of SMEs.</w:t>
      </w:r>
    </w:p>
    <w:p w14:paraId="421F142E" w14:textId="6B7F065C" w:rsidR="00785823" w:rsidRPr="00B364CB" w:rsidRDefault="00785823" w:rsidP="00785823">
      <w:pPr>
        <w:pStyle w:val="MAWP-Bodytext"/>
        <w:rPr>
          <w:color w:val="auto"/>
        </w:rPr>
      </w:pPr>
      <w:r w:rsidRPr="00B364CB">
        <w:rPr>
          <w:color w:val="auto"/>
        </w:rPr>
        <w:t xml:space="preserve">The SRG shall also regularly report to the governing board, and act as an interface with the </w:t>
      </w:r>
      <w:r w:rsidR="007B70F5">
        <w:t xml:space="preserve">Clean Hydrogen </w:t>
      </w:r>
      <w:r w:rsidRPr="00B364CB">
        <w:rPr>
          <w:color w:val="auto"/>
        </w:rPr>
        <w:t xml:space="preserve">JU on relevant national or regional research and innovation programmes and identification of potential areas of cooperation, </w:t>
      </w:r>
      <w:r w:rsidR="00564626">
        <w:rPr>
          <w:color w:val="auto"/>
        </w:rPr>
        <w:t>including the ERA pilot on Hydrogen,</w:t>
      </w:r>
      <w:r w:rsidR="00564626">
        <w:rPr>
          <w:rStyle w:val="FootnoteReference"/>
          <w:color w:val="auto"/>
        </w:rPr>
        <w:footnoteReference w:id="255"/>
      </w:r>
      <w:r w:rsidR="00564626">
        <w:rPr>
          <w:color w:val="auto"/>
        </w:rPr>
        <w:t xml:space="preserve"> </w:t>
      </w:r>
      <w:r w:rsidRPr="00B364CB">
        <w:rPr>
          <w:color w:val="auto"/>
        </w:rPr>
        <w:t xml:space="preserve">specific measures taken at national level or regional level with regard to dissemination events, dedicated technical workshops and communication activities and deployment activities as well as national or regional policies and initiatives with the view to ensuring complementarities with regard to the Clean Hydrogen JU </w:t>
      </w:r>
      <w:r w:rsidR="002967E8">
        <w:rPr>
          <w:color w:val="auto"/>
        </w:rPr>
        <w:t>SRIA</w:t>
      </w:r>
      <w:r w:rsidRPr="00B364CB">
        <w:rPr>
          <w:color w:val="auto"/>
        </w:rPr>
        <w:t xml:space="preserve"> and annual work programmes.</w:t>
      </w:r>
    </w:p>
    <w:p w14:paraId="3D55F297" w14:textId="05B18B8C" w:rsidR="00785823" w:rsidRPr="00B364CB" w:rsidRDefault="00785823" w:rsidP="00785823">
      <w:pPr>
        <w:pStyle w:val="MAWP-Bodytext"/>
        <w:rPr>
          <w:color w:val="auto"/>
        </w:rPr>
      </w:pPr>
      <w:r w:rsidRPr="00B364CB">
        <w:rPr>
          <w:color w:val="auto"/>
        </w:rPr>
        <w:lastRenderedPageBreak/>
        <w:t xml:space="preserve">The SRG shall submit, at the end of each calendar year, a report describing the national or regional policies in the scope of the </w:t>
      </w:r>
      <w:r w:rsidR="00564626">
        <w:rPr>
          <w:color w:val="auto"/>
        </w:rPr>
        <w:t>JU</w:t>
      </w:r>
      <w:r w:rsidRPr="00B364CB">
        <w:rPr>
          <w:color w:val="auto"/>
        </w:rPr>
        <w:t xml:space="preserve"> and identifying specific ways of cooperation with the actions funded by the </w:t>
      </w:r>
      <w:r w:rsidR="00564626">
        <w:rPr>
          <w:color w:val="auto"/>
        </w:rPr>
        <w:t>JU</w:t>
      </w:r>
      <w:r w:rsidRPr="00B364CB">
        <w:rPr>
          <w:color w:val="auto"/>
        </w:rPr>
        <w:t>.</w:t>
      </w:r>
    </w:p>
    <w:p w14:paraId="25486871" w14:textId="6067D84C" w:rsidR="00785823" w:rsidRPr="00B364CB" w:rsidRDefault="00785823" w:rsidP="006802D3">
      <w:pPr>
        <w:pStyle w:val="MAWPHeadingStyleLevel3"/>
      </w:pPr>
      <w:bookmarkStart w:id="253" w:name="_Toc64640603"/>
      <w:bookmarkStart w:id="254" w:name="_Toc66888465"/>
      <w:bookmarkStart w:id="255" w:name="_Ref85618589"/>
      <w:bookmarkStart w:id="256" w:name="_Toc93907368"/>
      <w:r w:rsidRPr="00B364CB">
        <w:t>Stakeholders’ Group</w:t>
      </w:r>
      <w:bookmarkEnd w:id="253"/>
      <w:bookmarkEnd w:id="254"/>
      <w:bookmarkEnd w:id="255"/>
      <w:r w:rsidR="008706B8" w:rsidRPr="00B364CB">
        <w:rPr>
          <w:rStyle w:val="FootnoteReference"/>
          <w:color w:val="auto"/>
        </w:rPr>
        <w:footnoteReference w:id="256"/>
      </w:r>
      <w:bookmarkEnd w:id="256"/>
    </w:p>
    <w:p w14:paraId="3291B52A" w14:textId="65D24E06" w:rsidR="00785823" w:rsidRPr="00B364CB" w:rsidRDefault="00785823" w:rsidP="00785823">
      <w:pPr>
        <w:pStyle w:val="MAWP-Bodytext"/>
        <w:rPr>
          <w:color w:val="auto"/>
        </w:rPr>
      </w:pPr>
      <w:bookmarkStart w:id="257" w:name="_Hlk93676555"/>
      <w:r w:rsidRPr="00B364CB">
        <w:rPr>
          <w:color w:val="auto"/>
        </w:rPr>
        <w:t xml:space="preserve">The </w:t>
      </w:r>
      <w:r w:rsidR="00720C21" w:rsidRPr="00B364CB">
        <w:rPr>
          <w:color w:val="auto"/>
        </w:rPr>
        <w:t>SG</w:t>
      </w:r>
      <w:r w:rsidRPr="00B364CB">
        <w:rPr>
          <w:color w:val="auto"/>
        </w:rPr>
        <w:t xml:space="preserve"> of the </w:t>
      </w:r>
      <w:r w:rsidR="007B70F5">
        <w:t xml:space="preserve">Clean Hydrogen </w:t>
      </w:r>
      <w:r w:rsidRPr="00B364CB">
        <w:rPr>
          <w:color w:val="auto"/>
        </w:rPr>
        <w:t xml:space="preserve">JU shall be open to all public and private stakeholders, including organised groups, active in the field of the </w:t>
      </w:r>
      <w:r w:rsidR="008706B8">
        <w:rPr>
          <w:color w:val="auto"/>
        </w:rPr>
        <w:t>JU</w:t>
      </w:r>
      <w:r w:rsidRPr="00B364CB">
        <w:rPr>
          <w:color w:val="auto"/>
        </w:rPr>
        <w:t xml:space="preserve">, international interest groups from member states, associated countries as well as from other countries. </w:t>
      </w:r>
      <w:bookmarkEnd w:id="257"/>
      <w:r w:rsidRPr="00B364CB">
        <w:rPr>
          <w:color w:val="auto"/>
        </w:rPr>
        <w:t xml:space="preserve">It shall </w:t>
      </w:r>
      <w:r w:rsidR="00E0594C" w:rsidRPr="00E0594C">
        <w:rPr>
          <w:color w:val="auto"/>
        </w:rPr>
        <w:t>consist of representatives of sectors which generate, distribute, store, need or use clean hydrogen across the Union, including the representatives of other relevant European partnerships, as well as representatives of the European Hydrogen Valleys Interregional Partnership and of the scientific community.</w:t>
      </w:r>
      <w:r w:rsidR="008706B8" w:rsidRPr="008706B8">
        <w:t xml:space="preserve"> </w:t>
      </w:r>
      <w:r w:rsidR="008706B8" w:rsidRPr="008706B8">
        <w:rPr>
          <w:color w:val="auto"/>
        </w:rPr>
        <w:t xml:space="preserve">The </w:t>
      </w:r>
      <w:r w:rsidR="008706B8">
        <w:rPr>
          <w:color w:val="auto"/>
        </w:rPr>
        <w:t xml:space="preserve">GB </w:t>
      </w:r>
      <w:r w:rsidR="008706B8" w:rsidRPr="008706B8">
        <w:rPr>
          <w:color w:val="auto"/>
        </w:rPr>
        <w:t xml:space="preserve">shall establish the specific criteria and selection process for the composition of the </w:t>
      </w:r>
      <w:r w:rsidR="008706B8">
        <w:rPr>
          <w:color w:val="auto"/>
        </w:rPr>
        <w:t>SG</w:t>
      </w:r>
      <w:r w:rsidR="008706B8" w:rsidRPr="008706B8">
        <w:rPr>
          <w:color w:val="auto"/>
        </w:rPr>
        <w:t xml:space="preserve"> and shall aim to balance representation in terms of geographical distribution, gender, sector and stakeholders’ expertise. </w:t>
      </w:r>
    </w:p>
    <w:p w14:paraId="1ADFED38" w14:textId="024F9243" w:rsidR="00785823" w:rsidRPr="00B364CB" w:rsidRDefault="00785823" w:rsidP="00E4788A">
      <w:pPr>
        <w:pStyle w:val="MAWP-Bodytext"/>
        <w:rPr>
          <w:color w:val="auto"/>
        </w:rPr>
      </w:pPr>
      <w:r w:rsidRPr="00B364CB">
        <w:rPr>
          <w:color w:val="auto"/>
        </w:rPr>
        <w:t xml:space="preserve">The </w:t>
      </w:r>
      <w:r w:rsidR="00720C21" w:rsidRPr="00B364CB">
        <w:rPr>
          <w:color w:val="auto"/>
        </w:rPr>
        <w:t>SG</w:t>
      </w:r>
      <w:r w:rsidRPr="00B364CB">
        <w:rPr>
          <w:color w:val="auto"/>
        </w:rPr>
        <w:t xml:space="preserve"> shall also provide input on the strategic and the technological priorities to be addressed by the JU as laid down in the </w:t>
      </w:r>
      <w:r w:rsidR="002967E8">
        <w:rPr>
          <w:color w:val="auto"/>
        </w:rPr>
        <w:t>SRIA</w:t>
      </w:r>
      <w:r w:rsidRPr="00B364CB">
        <w:rPr>
          <w:color w:val="auto"/>
        </w:rPr>
        <w:t xml:space="preserve">; provide suggestions to enable concrete synergies to take place between the JU and the adjacent sectors or any sector with which synergies are deemed of added value and </w:t>
      </w:r>
      <w:r w:rsidR="00E0594C" w:rsidRPr="00E0594C">
        <w:rPr>
          <w:color w:val="auto"/>
        </w:rPr>
        <w:t>provide input to the European Clean Hydrogen partnership forum and to the European Hydrogen Forum of the Clean Hydrogen Alliance</w:t>
      </w:r>
      <w:r w:rsidRPr="00B364CB">
        <w:rPr>
          <w:color w:val="auto"/>
        </w:rPr>
        <w:t>.</w:t>
      </w:r>
    </w:p>
    <w:p w14:paraId="543D055A" w14:textId="116FE61F" w:rsidR="00785823" w:rsidRPr="00B364CB" w:rsidRDefault="00785823" w:rsidP="00785823">
      <w:pPr>
        <w:pStyle w:val="MAWP-Bodytext"/>
        <w:rPr>
          <w:color w:val="auto"/>
        </w:rPr>
      </w:pPr>
      <w:r w:rsidRPr="00B364CB">
        <w:rPr>
          <w:color w:val="auto"/>
        </w:rPr>
        <w:t>It shall be regularly informed of the activities of the JU and shall be invited to provide comments on the JU’s planned initiatives.</w:t>
      </w:r>
      <w:r w:rsidR="00720C21" w:rsidRPr="00B364CB">
        <w:rPr>
          <w:color w:val="auto"/>
        </w:rPr>
        <w:t xml:space="preserve"> </w:t>
      </w:r>
      <w:r w:rsidRPr="00B364CB">
        <w:rPr>
          <w:color w:val="auto"/>
        </w:rPr>
        <w:t xml:space="preserve">The meetings of the </w:t>
      </w:r>
      <w:r w:rsidR="008706B8">
        <w:rPr>
          <w:color w:val="auto"/>
        </w:rPr>
        <w:t>SG</w:t>
      </w:r>
      <w:r w:rsidRPr="00B364CB">
        <w:rPr>
          <w:color w:val="auto"/>
        </w:rPr>
        <w:t xml:space="preserve"> shall be convened by the </w:t>
      </w:r>
      <w:r w:rsidR="00720C21" w:rsidRPr="00B364CB">
        <w:rPr>
          <w:color w:val="auto"/>
        </w:rPr>
        <w:t>ED</w:t>
      </w:r>
      <w:r w:rsidRPr="00B364CB">
        <w:rPr>
          <w:color w:val="auto"/>
        </w:rPr>
        <w:t xml:space="preserve">. </w:t>
      </w:r>
    </w:p>
    <w:p w14:paraId="4403242A" w14:textId="70562D36" w:rsidR="00785823" w:rsidRPr="00B364CB" w:rsidRDefault="00785823" w:rsidP="00785823">
      <w:pPr>
        <w:pStyle w:val="MAWP-Bodytext"/>
        <w:rPr>
          <w:color w:val="auto"/>
        </w:rPr>
      </w:pPr>
      <w:r w:rsidRPr="00B364CB">
        <w:rPr>
          <w:color w:val="auto"/>
        </w:rPr>
        <w:t xml:space="preserve">The </w:t>
      </w:r>
      <w:r w:rsidR="00720C21" w:rsidRPr="00B364CB">
        <w:rPr>
          <w:color w:val="auto"/>
        </w:rPr>
        <w:t>ED</w:t>
      </w:r>
      <w:r w:rsidRPr="00B364CB">
        <w:rPr>
          <w:color w:val="auto"/>
        </w:rPr>
        <w:t xml:space="preserve"> may advise the </w:t>
      </w:r>
      <w:r w:rsidR="008706B8">
        <w:rPr>
          <w:color w:val="auto"/>
        </w:rPr>
        <w:t>GB</w:t>
      </w:r>
      <w:r w:rsidRPr="00B364CB">
        <w:rPr>
          <w:color w:val="auto"/>
        </w:rPr>
        <w:t xml:space="preserve"> to consult the </w:t>
      </w:r>
      <w:r w:rsidR="00720C21" w:rsidRPr="00B364CB">
        <w:rPr>
          <w:color w:val="auto"/>
        </w:rPr>
        <w:t>SG</w:t>
      </w:r>
      <w:r w:rsidRPr="00B364CB">
        <w:rPr>
          <w:color w:val="auto"/>
        </w:rPr>
        <w:t xml:space="preserve"> on specific questions. Where such consultation takes place, a report shall be submitted to the </w:t>
      </w:r>
      <w:r w:rsidR="008706B8">
        <w:rPr>
          <w:color w:val="auto"/>
        </w:rPr>
        <w:t>GB</w:t>
      </w:r>
      <w:r w:rsidRPr="00B364CB">
        <w:rPr>
          <w:color w:val="auto"/>
        </w:rPr>
        <w:t xml:space="preserve"> after the relevant discussion in the </w:t>
      </w:r>
      <w:r w:rsidR="00720C21" w:rsidRPr="00B364CB">
        <w:rPr>
          <w:color w:val="auto"/>
        </w:rPr>
        <w:t>SG</w:t>
      </w:r>
      <w:r w:rsidRPr="00B364CB">
        <w:rPr>
          <w:color w:val="auto"/>
        </w:rPr>
        <w:t>.</w:t>
      </w:r>
    </w:p>
    <w:p w14:paraId="07DF4EE8" w14:textId="77777777" w:rsidR="000525AF" w:rsidRPr="00B364CB" w:rsidRDefault="000525AF" w:rsidP="000525AF">
      <w:r w:rsidRPr="00B364CB">
        <w:br w:type="page"/>
      </w:r>
    </w:p>
    <w:p w14:paraId="1CE2D3FA" w14:textId="423F1777" w:rsidR="000525AF" w:rsidRPr="00B364CB" w:rsidRDefault="000525AF" w:rsidP="000525AF">
      <w:pPr>
        <w:pStyle w:val="MAWPHeadingStyle1"/>
        <w:rPr>
          <w:rStyle w:val="MAWPTitle"/>
          <w:lang w:val="en-GB"/>
        </w:rPr>
      </w:pPr>
      <w:bookmarkStart w:id="258" w:name="_Ref93677639"/>
      <w:bookmarkStart w:id="259" w:name="_Ref93677644"/>
      <w:bookmarkStart w:id="260" w:name="_Toc93907369"/>
      <w:bookmarkStart w:id="261" w:name="_Toc70088058"/>
      <w:r w:rsidRPr="00B364CB">
        <w:rPr>
          <w:rStyle w:val="MAWPTitle"/>
          <w:lang w:val="en-GB"/>
        </w:rPr>
        <w:lastRenderedPageBreak/>
        <w:t xml:space="preserve">Programme </w:t>
      </w:r>
      <w:r w:rsidR="00BB52EF" w:rsidRPr="00B364CB">
        <w:rPr>
          <w:rStyle w:val="MAWPTitle"/>
          <w:lang w:val="en-GB"/>
        </w:rPr>
        <w:t>monitoring</w:t>
      </w:r>
      <w:r w:rsidR="0095305F">
        <w:rPr>
          <w:rStyle w:val="MAWPTitle"/>
          <w:lang w:val="en-GB"/>
        </w:rPr>
        <w:t xml:space="preserve"> and</w:t>
      </w:r>
      <w:r w:rsidR="00BB52EF" w:rsidRPr="00B364CB">
        <w:rPr>
          <w:rStyle w:val="MAWPTitle"/>
          <w:lang w:val="en-GB"/>
        </w:rPr>
        <w:t xml:space="preserve"> </w:t>
      </w:r>
      <w:r w:rsidRPr="00B364CB">
        <w:rPr>
          <w:rStyle w:val="MAWPTitle"/>
          <w:lang w:val="en-GB"/>
        </w:rPr>
        <w:t>reporting</w:t>
      </w:r>
      <w:bookmarkEnd w:id="258"/>
      <w:bookmarkEnd w:id="259"/>
      <w:bookmarkEnd w:id="260"/>
      <w:r w:rsidRPr="00B364CB">
        <w:rPr>
          <w:rStyle w:val="MAWPTitle"/>
          <w:lang w:val="en-GB"/>
        </w:rPr>
        <w:t xml:space="preserve"> </w:t>
      </w:r>
      <w:bookmarkEnd w:id="261"/>
    </w:p>
    <w:p w14:paraId="03AA7D8E" w14:textId="19D041EA" w:rsidR="00785823" w:rsidRPr="00B364CB" w:rsidRDefault="002B2663" w:rsidP="00E126CE">
      <w:pPr>
        <w:pStyle w:val="MAWP-Bodytext"/>
        <w:rPr>
          <w:color w:val="auto"/>
        </w:rPr>
      </w:pPr>
      <w:r w:rsidRPr="00B364CB">
        <w:rPr>
          <w:color w:val="auto"/>
        </w:rPr>
        <w:t xml:space="preserve">The </w:t>
      </w:r>
      <w:r w:rsidR="00785823" w:rsidRPr="00B364CB">
        <w:rPr>
          <w:color w:val="auto"/>
        </w:rPr>
        <w:t>European Commission monitors</w:t>
      </w:r>
      <w:r w:rsidRPr="00B364CB">
        <w:rPr>
          <w:color w:val="auto"/>
        </w:rPr>
        <w:t xml:space="preserve"> the</w:t>
      </w:r>
      <w:r w:rsidR="00785823" w:rsidRPr="00B364CB">
        <w:rPr>
          <w:color w:val="auto"/>
        </w:rPr>
        <w:t xml:space="preserve"> EU research and innovation framework through a systematic process of data collection, addressing in particular how the </w:t>
      </w:r>
      <w:r w:rsidR="009B1557" w:rsidRPr="00B364CB">
        <w:rPr>
          <w:color w:val="auto"/>
        </w:rPr>
        <w:t xml:space="preserve">Horizon Europe </w:t>
      </w:r>
      <w:r w:rsidR="00EB0625" w:rsidRPr="00B364CB">
        <w:rPr>
          <w:color w:val="auto"/>
        </w:rPr>
        <w:t>p</w:t>
      </w:r>
      <w:r w:rsidR="00785823" w:rsidRPr="00B364CB">
        <w:rPr>
          <w:color w:val="auto"/>
        </w:rPr>
        <w:t>rogramme is implemented. The activities of the joint undertakings are subject to continuous monitoring and periodic reviews in accordance with their financial rules, to ensure the highest impact, scientific excellence and the most efficient use of resources. The outcomes of monitoring and periodic reviews feed into the monitoring of European partnerships and evaluations of the Joint Undertakings as part of Horizon Europe evaluations.</w:t>
      </w:r>
      <w:r w:rsidR="00E126CE" w:rsidRPr="00B364CB">
        <w:t xml:space="preserve"> </w:t>
      </w:r>
      <w:r w:rsidR="00E126CE" w:rsidRPr="00B364CB">
        <w:rPr>
          <w:color w:val="auto"/>
        </w:rPr>
        <w:t>This provide</w:t>
      </w:r>
      <w:r w:rsidR="00895D04">
        <w:rPr>
          <w:color w:val="auto"/>
        </w:rPr>
        <w:t>s</w:t>
      </w:r>
      <w:r w:rsidR="00E126CE" w:rsidRPr="00B364CB">
        <w:rPr>
          <w:color w:val="auto"/>
        </w:rPr>
        <w:t xml:space="preserve"> the necessary evidence base to guide the effective and efficient implementation of partnerships throughout their lifecycle and inform the strategic discussions on the partnership policies.</w:t>
      </w:r>
    </w:p>
    <w:p w14:paraId="4723B3A9" w14:textId="55A59225" w:rsidR="003757FD" w:rsidRDefault="00E126CE" w:rsidP="00E126CE">
      <w:pPr>
        <w:pStyle w:val="MAWP-Bodytext"/>
        <w:rPr>
          <w:color w:val="auto"/>
        </w:rPr>
      </w:pPr>
      <w:r w:rsidRPr="00B364CB">
        <w:rPr>
          <w:color w:val="auto"/>
        </w:rPr>
        <w:t xml:space="preserve">To achieve that, all European </w:t>
      </w:r>
      <w:r w:rsidR="00CF6388">
        <w:rPr>
          <w:color w:val="auto"/>
        </w:rPr>
        <w:t>p</w:t>
      </w:r>
      <w:r w:rsidRPr="00B364CB">
        <w:rPr>
          <w:color w:val="auto"/>
        </w:rPr>
        <w:t>artnerships need to establish a monitoring system that can track progress towards their objectives</w:t>
      </w:r>
      <w:r w:rsidR="003757FD">
        <w:rPr>
          <w:color w:val="auto"/>
        </w:rPr>
        <w:t xml:space="preserve"> as set out in the SBA and the Horizon Europe Regulation, as well as the priorities of the Union and the SRIA.</w:t>
      </w:r>
      <w:r w:rsidR="003757FD">
        <w:rPr>
          <w:rStyle w:val="FootnoteReference"/>
          <w:color w:val="auto"/>
        </w:rPr>
        <w:footnoteReference w:id="257"/>
      </w:r>
      <w:r w:rsidR="003757FD">
        <w:rPr>
          <w:color w:val="auto"/>
        </w:rPr>
        <w:t xml:space="preserve"> </w:t>
      </w:r>
    </w:p>
    <w:p w14:paraId="4E824535" w14:textId="376418C7" w:rsidR="00E126CE" w:rsidRPr="00B364CB" w:rsidRDefault="00E126CE" w:rsidP="00E126CE">
      <w:pPr>
        <w:pStyle w:val="MAWP-Bodytext"/>
        <w:rPr>
          <w:color w:val="auto"/>
        </w:rPr>
      </w:pPr>
      <w:r w:rsidRPr="00B364CB">
        <w:rPr>
          <w:color w:val="auto"/>
        </w:rPr>
        <w:t xml:space="preserve">As part of this effort, the </w:t>
      </w:r>
      <w:r w:rsidR="007B70F5">
        <w:t xml:space="preserve">Clean Hydrogen </w:t>
      </w:r>
      <w:r w:rsidRPr="00B364CB">
        <w:rPr>
          <w:color w:val="auto"/>
        </w:rPr>
        <w:t xml:space="preserve">JU will continuously monitor its management activities and perform periodic reviews of the outputs, results and impacts of its projects, implemented in accordance with the Horizon Europe Regulation. The monitoring shall be performed (a) via </w:t>
      </w:r>
      <w:r w:rsidR="0009799D">
        <w:rPr>
          <w:color w:val="auto"/>
        </w:rPr>
        <w:t xml:space="preserve">reporting on </w:t>
      </w:r>
      <w:r w:rsidRPr="00B364CB">
        <w:rPr>
          <w:color w:val="auto"/>
        </w:rPr>
        <w:t>indicators towards the achievements of its objectives, and (b) by reporting information on a number</w:t>
      </w:r>
      <w:r w:rsidR="003757FD">
        <w:rPr>
          <w:color w:val="auto"/>
        </w:rPr>
        <w:t xml:space="preserve"> </w:t>
      </w:r>
      <w:r w:rsidRPr="00B364CB">
        <w:rPr>
          <w:color w:val="auto"/>
        </w:rPr>
        <w:t xml:space="preserve">of social, technologic and administrative </w:t>
      </w:r>
      <w:r w:rsidR="003757FD">
        <w:rPr>
          <w:color w:val="auto"/>
        </w:rPr>
        <w:t>indicators</w:t>
      </w:r>
      <w:r w:rsidRPr="00B364CB">
        <w:rPr>
          <w:color w:val="auto"/>
        </w:rPr>
        <w:t>, including on its financial performance.</w:t>
      </w:r>
      <w:r w:rsidRPr="00B364CB">
        <w:rPr>
          <w:rStyle w:val="FootnoteReference"/>
          <w:color w:val="auto"/>
        </w:rPr>
        <w:footnoteReference w:id="258"/>
      </w:r>
      <w:r w:rsidRPr="00B364CB">
        <w:rPr>
          <w:color w:val="auto"/>
        </w:rPr>
        <w:t xml:space="preserve"> </w:t>
      </w:r>
    </w:p>
    <w:p w14:paraId="1FA361F3" w14:textId="09DC9DBD" w:rsidR="0009799D" w:rsidRPr="0009799D" w:rsidRDefault="0009799D" w:rsidP="00E126CE">
      <w:pPr>
        <w:pStyle w:val="MAWP-Bodytext"/>
        <w:rPr>
          <w:i/>
          <w:iCs/>
          <w:color w:val="auto"/>
        </w:rPr>
      </w:pPr>
      <w:r w:rsidRPr="0009799D">
        <w:rPr>
          <w:i/>
          <w:iCs/>
          <w:color w:val="auto"/>
        </w:rPr>
        <w:t>A. Horizon Europe KIPs (Key Impact Pathways)</w:t>
      </w:r>
    </w:p>
    <w:p w14:paraId="210A7699" w14:textId="311865BE" w:rsidR="00E126CE" w:rsidRDefault="00E126CE" w:rsidP="00E126CE">
      <w:pPr>
        <w:pStyle w:val="MAWP-Bodytext"/>
        <w:rPr>
          <w:color w:val="auto"/>
        </w:rPr>
      </w:pPr>
      <w:r w:rsidRPr="00B364CB">
        <w:rPr>
          <w:color w:val="auto"/>
        </w:rPr>
        <w:t xml:space="preserve">At the level of the </w:t>
      </w:r>
      <w:r w:rsidR="0009799D">
        <w:rPr>
          <w:color w:val="auto"/>
        </w:rPr>
        <w:t>Horizon Europe Programme</w:t>
      </w:r>
      <w:r w:rsidRPr="00B364CB">
        <w:rPr>
          <w:color w:val="auto"/>
        </w:rPr>
        <w:t xml:space="preserve">, the monitoring will be simplified and standardised as much as possible. These indicators will be determined by the European Commission, which will also collect the necessary information on projects, their results and expected impact through its IT systems. </w:t>
      </w:r>
      <w:r w:rsidR="00EB0625" w:rsidRPr="00B364CB">
        <w:rPr>
          <w:color w:val="auto"/>
        </w:rPr>
        <w:t xml:space="preserve">This will allow to trace the contributions of the </w:t>
      </w:r>
      <w:r w:rsidR="007B70F5">
        <w:t xml:space="preserve">Clean Hydrogen </w:t>
      </w:r>
      <w:r w:rsidR="00EB0625" w:rsidRPr="00B364CB">
        <w:rPr>
          <w:color w:val="auto"/>
        </w:rPr>
        <w:t>JU to the Key Impact Pathways, set out in the Annexes of the Horizon Europe Regulation, through their projects automatically and in a consistent manner with the rest of the programme.</w:t>
      </w:r>
    </w:p>
    <w:p w14:paraId="1003E538" w14:textId="4F8C0739" w:rsidR="0009799D" w:rsidRPr="0009799D" w:rsidRDefault="0009799D" w:rsidP="00E126CE">
      <w:pPr>
        <w:pStyle w:val="MAWP-Bodytext"/>
        <w:rPr>
          <w:i/>
          <w:iCs/>
          <w:color w:val="auto"/>
        </w:rPr>
      </w:pPr>
      <w:r>
        <w:rPr>
          <w:i/>
          <w:iCs/>
          <w:color w:val="auto"/>
        </w:rPr>
        <w:t>B. Partnership KPIs</w:t>
      </w:r>
    </w:p>
    <w:p w14:paraId="7E11D0A9" w14:textId="0D97DBFC" w:rsidR="00811259" w:rsidRPr="00B364CB" w:rsidRDefault="004844BC" w:rsidP="00785823">
      <w:pPr>
        <w:pStyle w:val="MAWP-Bodytext"/>
        <w:rPr>
          <w:color w:val="auto"/>
        </w:rPr>
      </w:pPr>
      <w:r w:rsidRPr="00B364CB">
        <w:rPr>
          <w:color w:val="auto"/>
        </w:rPr>
        <w:t>A</w:t>
      </w:r>
      <w:r w:rsidR="00DF3B0B" w:rsidRPr="00B364CB">
        <w:rPr>
          <w:color w:val="auto"/>
        </w:rPr>
        <w:t xml:space="preserve">t the </w:t>
      </w:r>
      <w:r w:rsidR="00DF3B0B" w:rsidRPr="00120F40">
        <w:rPr>
          <w:color w:val="auto"/>
        </w:rPr>
        <w:t xml:space="preserve">level of </w:t>
      </w:r>
      <w:r w:rsidR="00CF6388">
        <w:rPr>
          <w:color w:val="auto"/>
        </w:rPr>
        <w:t>p</w:t>
      </w:r>
      <w:r w:rsidR="00DF3B0B" w:rsidRPr="00120F40">
        <w:rPr>
          <w:color w:val="auto"/>
        </w:rPr>
        <w:t xml:space="preserve">artnerships, </w:t>
      </w:r>
      <w:r w:rsidRPr="00120F40">
        <w:rPr>
          <w:color w:val="auto"/>
        </w:rPr>
        <w:t xml:space="preserve">an Expert Group has been set up to support the Strategic Coordination Process, the new governance framework for EU R&amp;I </w:t>
      </w:r>
      <w:r w:rsidR="00CF6388">
        <w:rPr>
          <w:color w:val="auto"/>
        </w:rPr>
        <w:t>p</w:t>
      </w:r>
      <w:r w:rsidRPr="00120F40">
        <w:rPr>
          <w:color w:val="auto"/>
        </w:rPr>
        <w:t>artnerships. In its first interim report,</w:t>
      </w:r>
      <w:r w:rsidR="00120F40" w:rsidRPr="00120F40">
        <w:rPr>
          <w:rStyle w:val="FootnoteReference"/>
          <w:lang w:eastAsia="sv-SE" w:bidi="sv-SE"/>
        </w:rPr>
        <w:footnoteReference w:id="259"/>
      </w:r>
      <w:r w:rsidRPr="00120F40">
        <w:rPr>
          <w:color w:val="auto"/>
        </w:rPr>
        <w:t xml:space="preserve"> the Expert Group focused on developing a framework for reporting and monitoring on the</w:t>
      </w:r>
      <w:r w:rsidRPr="00B364CB">
        <w:rPr>
          <w:color w:val="auto"/>
        </w:rPr>
        <w:t xml:space="preserve"> progress made by all forms of European </w:t>
      </w:r>
      <w:r w:rsidR="00CF6388">
        <w:rPr>
          <w:color w:val="auto"/>
        </w:rPr>
        <w:t>p</w:t>
      </w:r>
      <w:r w:rsidRPr="00B364CB">
        <w:rPr>
          <w:color w:val="auto"/>
        </w:rPr>
        <w:t>artnerships – individually (‘partnership-specific indicators’) and as a whole (‘common indicators’), while making sure it is aligned with the Horizon Europe monitoring system and its Key Impact Pathways.</w:t>
      </w:r>
      <w:r w:rsidR="00A551CC">
        <w:rPr>
          <w:rStyle w:val="FootnoteReference"/>
          <w:color w:val="auto"/>
        </w:rPr>
        <w:footnoteReference w:id="260"/>
      </w:r>
      <w:r w:rsidRPr="00B364CB">
        <w:rPr>
          <w:color w:val="auto"/>
        </w:rPr>
        <w:t xml:space="preserve"> </w:t>
      </w:r>
    </w:p>
    <w:p w14:paraId="4443EF14" w14:textId="7A8E1DCA" w:rsidR="00811259" w:rsidRDefault="00811259" w:rsidP="00785823">
      <w:pPr>
        <w:pStyle w:val="MAWP-Bodytext"/>
        <w:rPr>
          <w:color w:val="auto"/>
        </w:rPr>
      </w:pPr>
      <w:r w:rsidRPr="00B364CB">
        <w:rPr>
          <w:color w:val="auto"/>
        </w:rPr>
        <w:t xml:space="preserve">In particular, the Expert Group </w:t>
      </w:r>
      <w:r w:rsidR="00A551CC">
        <w:rPr>
          <w:color w:val="auto"/>
        </w:rPr>
        <w:t>has proposed a</w:t>
      </w:r>
      <w:r w:rsidRPr="00B364CB">
        <w:rPr>
          <w:color w:val="auto"/>
        </w:rPr>
        <w:t xml:space="preserve"> set of common indicators for all the </w:t>
      </w:r>
      <w:r w:rsidR="00CF6388">
        <w:rPr>
          <w:color w:val="auto"/>
        </w:rPr>
        <w:t>partnership</w:t>
      </w:r>
      <w:r w:rsidRPr="00B364CB">
        <w:rPr>
          <w:color w:val="auto"/>
        </w:rPr>
        <w:t xml:space="preserve">s, including recommendations to make them operational, such as methodologies and identification of required data to monitor these indicators. The aim of these indicators </w:t>
      </w:r>
      <w:r w:rsidR="00A551CC">
        <w:rPr>
          <w:color w:val="auto"/>
        </w:rPr>
        <w:t>is</w:t>
      </w:r>
      <w:r w:rsidRPr="00B364CB">
        <w:rPr>
          <w:color w:val="auto"/>
        </w:rPr>
        <w:t xml:space="preserve"> to </w:t>
      </w:r>
      <w:r w:rsidR="00A551CC">
        <w:rPr>
          <w:color w:val="auto"/>
        </w:rPr>
        <w:lastRenderedPageBreak/>
        <w:t>monitor</w:t>
      </w:r>
      <w:r w:rsidR="00A551CC" w:rsidRPr="00B364CB">
        <w:rPr>
          <w:color w:val="auto"/>
        </w:rPr>
        <w:t xml:space="preserve"> </w:t>
      </w:r>
      <w:r w:rsidRPr="00B364CB">
        <w:rPr>
          <w:color w:val="auto"/>
        </w:rPr>
        <w:t xml:space="preserve">quantitative and qualitative information and aspects, which should be able to capture the full value the </w:t>
      </w:r>
      <w:r w:rsidR="00CF6388">
        <w:rPr>
          <w:color w:val="auto"/>
        </w:rPr>
        <w:t>partnership</w:t>
      </w:r>
      <w:r w:rsidRPr="00B364CB">
        <w:rPr>
          <w:color w:val="auto"/>
        </w:rPr>
        <w:t xml:space="preserve">s, an aspect not well developed </w:t>
      </w:r>
      <w:r w:rsidR="00A551CC">
        <w:rPr>
          <w:color w:val="auto"/>
        </w:rPr>
        <w:t>in the past</w:t>
      </w:r>
      <w:r w:rsidRPr="00B364CB">
        <w:rPr>
          <w:color w:val="auto"/>
        </w:rPr>
        <w:t>. The monitoring system and indicators defined are expected to be closely related to the data reporting system of the European Commission</w:t>
      </w:r>
      <w:r w:rsidR="007A08C7">
        <w:rPr>
          <w:color w:val="auto"/>
        </w:rPr>
        <w:t xml:space="preserve">, although not all data will become available directly through its IT systems. </w:t>
      </w:r>
      <w:r w:rsidR="002F5881">
        <w:rPr>
          <w:color w:val="auto"/>
        </w:rPr>
        <w:t>In those cases</w:t>
      </w:r>
      <w:r w:rsidR="007A08C7">
        <w:rPr>
          <w:color w:val="auto"/>
        </w:rPr>
        <w:t xml:space="preserve">, the JU will need to setup </w:t>
      </w:r>
      <w:r w:rsidR="002F5881">
        <w:rPr>
          <w:color w:val="auto"/>
        </w:rPr>
        <w:t xml:space="preserve">the appropriate </w:t>
      </w:r>
      <w:r w:rsidR="007A08C7">
        <w:rPr>
          <w:color w:val="auto"/>
        </w:rPr>
        <w:t xml:space="preserve">processes for </w:t>
      </w:r>
      <w:r w:rsidR="002F5881">
        <w:rPr>
          <w:color w:val="auto"/>
        </w:rPr>
        <w:t>the collection and reporting of the data.</w:t>
      </w:r>
    </w:p>
    <w:p w14:paraId="2530BA68" w14:textId="0997CA3C" w:rsidR="0009799D" w:rsidRPr="0009799D" w:rsidRDefault="0009799D" w:rsidP="0009799D">
      <w:pPr>
        <w:pStyle w:val="MAWP-Bodytext"/>
        <w:rPr>
          <w:i/>
          <w:iCs/>
          <w:color w:val="auto"/>
        </w:rPr>
      </w:pPr>
      <w:r>
        <w:rPr>
          <w:i/>
          <w:iCs/>
          <w:color w:val="auto"/>
        </w:rPr>
        <w:t>C. Clean Hydrogen JU Strategy Map</w:t>
      </w:r>
      <w:r w:rsidR="007A08C7">
        <w:rPr>
          <w:i/>
          <w:iCs/>
          <w:color w:val="auto"/>
        </w:rPr>
        <w:t xml:space="preserve"> and JU specific KPIs</w:t>
      </w:r>
    </w:p>
    <w:p w14:paraId="324C7A0A" w14:textId="05490EA8" w:rsidR="00BA4437" w:rsidRDefault="00811259" w:rsidP="00B4088C">
      <w:pPr>
        <w:pStyle w:val="MAWP-Bodytext"/>
        <w:rPr>
          <w:color w:val="auto"/>
        </w:rPr>
      </w:pPr>
      <w:r w:rsidRPr="00B364CB">
        <w:rPr>
          <w:color w:val="auto"/>
        </w:rPr>
        <w:t xml:space="preserve">The Expert Group </w:t>
      </w:r>
      <w:r w:rsidR="002B7AE5" w:rsidRPr="00B364CB">
        <w:rPr>
          <w:color w:val="auto"/>
        </w:rPr>
        <w:t xml:space="preserve">also supported </w:t>
      </w:r>
      <w:r w:rsidRPr="00B364CB">
        <w:rPr>
          <w:color w:val="auto"/>
        </w:rPr>
        <w:t xml:space="preserve">the </w:t>
      </w:r>
      <w:r w:rsidR="00CF6388">
        <w:rPr>
          <w:color w:val="auto"/>
        </w:rPr>
        <w:t>partnership</w:t>
      </w:r>
      <w:r w:rsidRPr="00B364CB">
        <w:rPr>
          <w:color w:val="auto"/>
        </w:rPr>
        <w:t>s</w:t>
      </w:r>
      <w:r w:rsidR="000855C4" w:rsidRPr="00B364CB">
        <w:rPr>
          <w:color w:val="auto"/>
        </w:rPr>
        <w:t xml:space="preserve"> in preparing the</w:t>
      </w:r>
      <w:r w:rsidR="001C1CE5">
        <w:rPr>
          <w:color w:val="auto"/>
        </w:rPr>
        <w:t>ir</w:t>
      </w:r>
      <w:r w:rsidR="000855C4" w:rsidRPr="00B364CB">
        <w:rPr>
          <w:color w:val="auto"/>
        </w:rPr>
        <w:t xml:space="preserve"> set of specific indicators intended to monitor the progress towards the achievement of its </w:t>
      </w:r>
      <w:r w:rsidR="00CF6388">
        <w:rPr>
          <w:color w:val="auto"/>
        </w:rPr>
        <w:t>partnership</w:t>
      </w:r>
      <w:r w:rsidR="000855C4" w:rsidRPr="00B364CB">
        <w:rPr>
          <w:color w:val="auto"/>
        </w:rPr>
        <w:t xml:space="preserve"> specific objectives. To this end, the Expert Group prepar</w:t>
      </w:r>
      <w:r w:rsidR="009A5219" w:rsidRPr="00B364CB">
        <w:rPr>
          <w:color w:val="auto"/>
        </w:rPr>
        <w:t>ed</w:t>
      </w:r>
      <w:r w:rsidR="000855C4" w:rsidRPr="00B364CB">
        <w:rPr>
          <w:color w:val="auto"/>
        </w:rPr>
        <w:t xml:space="preserve"> a </w:t>
      </w:r>
      <w:r w:rsidR="001C1CE5">
        <w:rPr>
          <w:color w:val="auto"/>
        </w:rPr>
        <w:t>set of guidelines</w:t>
      </w:r>
      <w:r w:rsidR="001C1CE5" w:rsidRPr="00B364CB">
        <w:rPr>
          <w:color w:val="auto"/>
        </w:rPr>
        <w:t xml:space="preserve"> </w:t>
      </w:r>
      <w:r w:rsidR="000855C4" w:rsidRPr="00B364CB">
        <w:rPr>
          <w:color w:val="auto"/>
        </w:rPr>
        <w:t xml:space="preserve">with recommendations </w:t>
      </w:r>
      <w:r w:rsidR="009A5219" w:rsidRPr="00B364CB">
        <w:rPr>
          <w:color w:val="auto"/>
        </w:rPr>
        <w:t xml:space="preserve">for the </w:t>
      </w:r>
      <w:r w:rsidR="00CF6388">
        <w:rPr>
          <w:color w:val="auto"/>
        </w:rPr>
        <w:t>partnership</w:t>
      </w:r>
      <w:r w:rsidR="009A5219" w:rsidRPr="00B364CB">
        <w:rPr>
          <w:color w:val="auto"/>
        </w:rPr>
        <w:t xml:space="preserve">s on how to establish and design the monitoring framework, as well as define the appropriate indicators. </w:t>
      </w:r>
      <w:r w:rsidR="00B525B6">
        <w:rPr>
          <w:color w:val="auto"/>
        </w:rPr>
        <w:t xml:space="preserve">In particular, the Expert Group </w:t>
      </w:r>
      <w:r w:rsidR="002B7AE5">
        <w:rPr>
          <w:color w:val="auto"/>
        </w:rPr>
        <w:t>stated the view</w:t>
      </w:r>
      <w:r w:rsidR="00B525B6">
        <w:rPr>
          <w:color w:val="auto"/>
        </w:rPr>
        <w:t xml:space="preserve"> in its interim report that despite the usefulness of the generic monitoring frameworks reflecting the objectives set in the regulations, a more simplified and easier to communicate approach is required </w:t>
      </w:r>
      <w:r w:rsidR="00BA4437">
        <w:rPr>
          <w:color w:val="auto"/>
        </w:rPr>
        <w:t xml:space="preserve">to simplify the multiple layers of objectives and monitoring frameworks. </w:t>
      </w:r>
      <w:r w:rsidR="00D440C4">
        <w:rPr>
          <w:color w:val="auto"/>
        </w:rPr>
        <w:t>Moreover, these objectives tend to be policy objectives, often overlapping with each other</w:t>
      </w:r>
      <w:r w:rsidR="0092746F">
        <w:rPr>
          <w:color w:val="auto"/>
        </w:rPr>
        <w:t xml:space="preserve"> and missing interlinks between the different levels</w:t>
      </w:r>
      <w:r w:rsidR="00D440C4">
        <w:rPr>
          <w:color w:val="auto"/>
        </w:rPr>
        <w:t xml:space="preserve">, than </w:t>
      </w:r>
      <w:r w:rsidR="0092746F">
        <w:rPr>
          <w:color w:val="auto"/>
        </w:rPr>
        <w:t xml:space="preserve">the </w:t>
      </w:r>
      <w:r w:rsidR="00D440C4">
        <w:rPr>
          <w:color w:val="auto"/>
        </w:rPr>
        <w:t>clearly defined, distinct</w:t>
      </w:r>
      <w:r w:rsidR="0092746F">
        <w:rPr>
          <w:color w:val="auto"/>
        </w:rPr>
        <w:t>, well-structured</w:t>
      </w:r>
      <w:r w:rsidR="00D440C4">
        <w:rPr>
          <w:color w:val="auto"/>
        </w:rPr>
        <w:t xml:space="preserve"> and measurable objectives</w:t>
      </w:r>
      <w:r w:rsidR="003E513C">
        <w:rPr>
          <w:color w:val="auto"/>
        </w:rPr>
        <w:t xml:space="preserve"> that </w:t>
      </w:r>
      <w:r w:rsidR="0092746F">
        <w:rPr>
          <w:color w:val="auto"/>
        </w:rPr>
        <w:t xml:space="preserve">are needed </w:t>
      </w:r>
      <w:r w:rsidR="003E513C">
        <w:rPr>
          <w:color w:val="auto"/>
        </w:rPr>
        <w:t xml:space="preserve">for a monitoring framework. </w:t>
      </w:r>
    </w:p>
    <w:p w14:paraId="13305D80" w14:textId="5BE01059" w:rsidR="00103310" w:rsidRDefault="00BA4437" w:rsidP="00B4088C">
      <w:pPr>
        <w:pStyle w:val="MAWP-Bodytext"/>
        <w:rPr>
          <w:color w:val="auto"/>
        </w:rPr>
      </w:pPr>
      <w:r>
        <w:rPr>
          <w:color w:val="auto"/>
        </w:rPr>
        <w:t xml:space="preserve">In practice, each </w:t>
      </w:r>
      <w:r w:rsidR="00CF6388">
        <w:rPr>
          <w:color w:val="auto"/>
        </w:rPr>
        <w:t>partnership</w:t>
      </w:r>
      <w:r>
        <w:rPr>
          <w:color w:val="auto"/>
        </w:rPr>
        <w:t xml:space="preserve"> needs to meet a number of high level objectives: from the two sets of general objectives in the SBA (one for all partnerships and one for each specific partnership), to the objectives of the Horizon Europe Regulation and the policy objectives and priorities of the Union. The latter </w:t>
      </w:r>
      <w:r w:rsidR="00B1686C">
        <w:rPr>
          <w:color w:val="auto"/>
        </w:rPr>
        <w:t xml:space="preserve">can be reflected to a large extent in the </w:t>
      </w:r>
      <w:r w:rsidR="0090418C">
        <w:rPr>
          <w:color w:val="auto"/>
        </w:rPr>
        <w:t>K</w:t>
      </w:r>
      <w:r w:rsidR="00B1686C">
        <w:rPr>
          <w:color w:val="auto"/>
        </w:rPr>
        <w:t xml:space="preserve">ey </w:t>
      </w:r>
      <w:r w:rsidR="0090418C">
        <w:rPr>
          <w:color w:val="auto"/>
        </w:rPr>
        <w:t>S</w:t>
      </w:r>
      <w:r w:rsidR="00B1686C">
        <w:rPr>
          <w:color w:val="auto"/>
        </w:rPr>
        <w:t xml:space="preserve">trategic </w:t>
      </w:r>
      <w:r w:rsidR="0090418C">
        <w:rPr>
          <w:color w:val="auto"/>
        </w:rPr>
        <w:t>O</w:t>
      </w:r>
      <w:r w:rsidR="00B1686C">
        <w:rPr>
          <w:color w:val="auto"/>
        </w:rPr>
        <w:t>rientations for research and innovation of the Horizon Europe Programme</w:t>
      </w:r>
      <w:bookmarkStart w:id="262" w:name="_Ref91747144"/>
      <w:r w:rsidR="00B1686C">
        <w:rPr>
          <w:rStyle w:val="FootnoteReference"/>
          <w:color w:val="auto"/>
        </w:rPr>
        <w:footnoteReference w:id="261"/>
      </w:r>
      <w:bookmarkEnd w:id="262"/>
      <w:r w:rsidR="00B1686C">
        <w:rPr>
          <w:color w:val="auto"/>
        </w:rPr>
        <w:t xml:space="preserve"> and the relevant impact areas, and on an even higher level </w:t>
      </w:r>
      <w:r w:rsidR="00103310">
        <w:rPr>
          <w:color w:val="auto"/>
        </w:rPr>
        <w:t xml:space="preserve">to the </w:t>
      </w:r>
      <w:r w:rsidR="00B1686C" w:rsidRPr="00827078">
        <w:rPr>
          <w:lang w:eastAsia="en-US"/>
        </w:rPr>
        <w:t>"2030 Agenda"</w:t>
      </w:r>
      <w:r w:rsidR="00103310">
        <w:rPr>
          <w:lang w:eastAsia="en-US"/>
        </w:rPr>
        <w:t xml:space="preserve"> and the associated SDGs. Each partnership can </w:t>
      </w:r>
      <w:r w:rsidR="00A96219">
        <w:rPr>
          <w:lang w:eastAsia="en-US"/>
        </w:rPr>
        <w:t xml:space="preserve">have an impact by </w:t>
      </w:r>
      <w:r w:rsidR="00103310">
        <w:rPr>
          <w:lang w:eastAsia="en-US"/>
        </w:rPr>
        <w:t>contribut</w:t>
      </w:r>
      <w:r w:rsidR="00A96219">
        <w:rPr>
          <w:lang w:eastAsia="en-US"/>
        </w:rPr>
        <w:t>ing through its Programme</w:t>
      </w:r>
      <w:r w:rsidR="00103310">
        <w:rPr>
          <w:lang w:eastAsia="en-US"/>
        </w:rPr>
        <w:t xml:space="preserve"> to certain aspects of these high level objectives</w:t>
      </w:r>
      <w:r w:rsidR="00A96219">
        <w:rPr>
          <w:lang w:eastAsia="en-US"/>
        </w:rPr>
        <w:t>. The monitoring framework should thus be able to capture these efforts/actions, their outcomes and their subsequent impact.</w:t>
      </w:r>
    </w:p>
    <w:p w14:paraId="6170D8B9" w14:textId="7F7D7A30" w:rsidR="0038796D" w:rsidRDefault="009A5219" w:rsidP="00B4088C">
      <w:pPr>
        <w:pStyle w:val="MAWP-Bodytext"/>
        <w:rPr>
          <w:color w:val="auto"/>
        </w:rPr>
      </w:pPr>
      <w:r w:rsidRPr="00B364CB">
        <w:rPr>
          <w:color w:val="auto"/>
        </w:rPr>
        <w:t xml:space="preserve">The </w:t>
      </w:r>
      <w:r w:rsidR="007B70F5">
        <w:t xml:space="preserve">Clean Hydrogen </w:t>
      </w:r>
      <w:r w:rsidRPr="00B364CB">
        <w:rPr>
          <w:color w:val="auto"/>
        </w:rPr>
        <w:t>JU, following these recommendations</w:t>
      </w:r>
      <w:r w:rsidR="000D4563">
        <w:rPr>
          <w:color w:val="auto"/>
        </w:rPr>
        <w:t xml:space="preserve"> and in communication with the European Commission and the Expert Group</w:t>
      </w:r>
      <w:r w:rsidRPr="00B364CB">
        <w:rPr>
          <w:color w:val="auto"/>
        </w:rPr>
        <w:t xml:space="preserve">, prepared a comprehensive set of indicators fitting the proposed framework. Following the proposed “Strategy Map logic” </w:t>
      </w:r>
      <w:r w:rsidR="006869E1" w:rsidRPr="00B364CB">
        <w:rPr>
          <w:color w:val="auto"/>
        </w:rPr>
        <w:t xml:space="preserve">of the Expert Group, the proposed indicators </w:t>
      </w:r>
      <w:r w:rsidR="0038796D">
        <w:rPr>
          <w:color w:val="auto"/>
        </w:rPr>
        <w:t>aim</w:t>
      </w:r>
      <w:r w:rsidR="006869E1" w:rsidRPr="00B364CB">
        <w:rPr>
          <w:color w:val="auto"/>
        </w:rPr>
        <w:t xml:space="preserve"> to </w:t>
      </w:r>
      <w:r w:rsidRPr="00B364CB">
        <w:rPr>
          <w:color w:val="auto"/>
        </w:rPr>
        <w:t xml:space="preserve">link the resources of the </w:t>
      </w:r>
      <w:r w:rsidR="00CF6388">
        <w:rPr>
          <w:color w:val="auto"/>
        </w:rPr>
        <w:t>partnership</w:t>
      </w:r>
      <w:r w:rsidRPr="00B364CB">
        <w:rPr>
          <w:color w:val="auto"/>
        </w:rPr>
        <w:t xml:space="preserve"> and the actions taken (operational objectives / indicators) towards concrete outcomes (specific objectives / </w:t>
      </w:r>
      <w:r w:rsidRPr="005D19BE">
        <w:rPr>
          <w:color w:val="auto"/>
        </w:rPr>
        <w:t xml:space="preserve">indicators) </w:t>
      </w:r>
      <w:r w:rsidR="006869E1" w:rsidRPr="005D19BE">
        <w:rPr>
          <w:color w:val="auto"/>
        </w:rPr>
        <w:t xml:space="preserve">and </w:t>
      </w:r>
      <w:r w:rsidRPr="005D19BE">
        <w:rPr>
          <w:color w:val="auto"/>
        </w:rPr>
        <w:t xml:space="preserve">directly to one (or more) of the general objectives and intended impacts of the </w:t>
      </w:r>
      <w:r w:rsidR="007B70F5">
        <w:t xml:space="preserve">Clean Hydrogen </w:t>
      </w:r>
      <w:r w:rsidRPr="005D19BE">
        <w:rPr>
          <w:color w:val="auto"/>
        </w:rPr>
        <w:t>JU</w:t>
      </w:r>
      <w:r w:rsidR="00A96219">
        <w:rPr>
          <w:color w:val="auto"/>
        </w:rPr>
        <w:t>, which would contribute in turn to one or more high-level objectives of the Union.</w:t>
      </w:r>
      <w:r w:rsidR="003E513C">
        <w:rPr>
          <w:color w:val="auto"/>
        </w:rPr>
        <w:t xml:space="preserve"> </w:t>
      </w:r>
    </w:p>
    <w:p w14:paraId="63A6AF50" w14:textId="169D5830" w:rsidR="00B4088C" w:rsidRDefault="00537EBF" w:rsidP="00B4088C">
      <w:pPr>
        <w:pStyle w:val="MAWP-Bodytext"/>
        <w:rPr>
          <w:color w:val="auto"/>
        </w:rPr>
      </w:pPr>
      <w:r>
        <w:rPr>
          <w:color w:val="auto"/>
        </w:rPr>
        <w:fldChar w:fldCharType="begin"/>
      </w:r>
      <w:r>
        <w:rPr>
          <w:color w:val="auto"/>
        </w:rPr>
        <w:instrText xml:space="preserve"> REF _Ref91086161 \h </w:instrText>
      </w:r>
      <w:r>
        <w:rPr>
          <w:color w:val="auto"/>
        </w:rPr>
      </w:r>
      <w:r>
        <w:rPr>
          <w:color w:val="auto"/>
        </w:rPr>
        <w:fldChar w:fldCharType="separate"/>
      </w:r>
      <w:r>
        <w:t xml:space="preserve">Figure </w:t>
      </w:r>
      <w:r>
        <w:rPr>
          <w:noProof/>
        </w:rPr>
        <w:t>4</w:t>
      </w:r>
      <w:r>
        <w:rPr>
          <w:color w:val="auto"/>
        </w:rPr>
        <w:fldChar w:fldCharType="end"/>
      </w:r>
      <w:r w:rsidR="005D19BE" w:rsidRPr="00E4788A">
        <w:rPr>
          <w:color w:val="auto"/>
        </w:rPr>
        <w:fldChar w:fldCharType="begin"/>
      </w:r>
      <w:r w:rsidR="005D19BE" w:rsidRPr="00E4788A">
        <w:rPr>
          <w:color w:val="auto"/>
        </w:rPr>
        <w:instrText xml:space="preserve"> REF _Ref75435394 \h </w:instrText>
      </w:r>
      <w:r w:rsidR="005D19BE">
        <w:rPr>
          <w:color w:val="auto"/>
        </w:rPr>
        <w:instrText xml:space="preserve"> \* MERGEFORMAT </w:instrText>
      </w:r>
      <w:r w:rsidR="005D19BE" w:rsidRPr="00E4788A">
        <w:rPr>
          <w:color w:val="auto"/>
        </w:rPr>
      </w:r>
      <w:r w:rsidR="005D19BE" w:rsidRPr="00E4788A">
        <w:rPr>
          <w:color w:val="auto"/>
        </w:rPr>
        <w:fldChar w:fldCharType="end"/>
      </w:r>
      <w:r w:rsidR="00B4088C" w:rsidRPr="00E4788A">
        <w:rPr>
          <w:color w:val="auto"/>
        </w:rPr>
        <w:t xml:space="preserve"> below presents the </w:t>
      </w:r>
      <w:r w:rsidR="00A96219">
        <w:rPr>
          <w:color w:val="auto"/>
        </w:rPr>
        <w:t xml:space="preserve">JU’s </w:t>
      </w:r>
      <w:r w:rsidR="0038796D">
        <w:rPr>
          <w:color w:val="auto"/>
        </w:rPr>
        <w:t>strategy map</w:t>
      </w:r>
      <w:r w:rsidR="00B4088C" w:rsidRPr="00E4788A">
        <w:rPr>
          <w:color w:val="auto"/>
        </w:rPr>
        <w:t>,</w:t>
      </w:r>
      <w:r w:rsidR="00B4088C" w:rsidRPr="00E4788A">
        <w:t xml:space="preserve"> </w:t>
      </w:r>
      <w:r w:rsidR="00B4088C" w:rsidRPr="00E4788A">
        <w:rPr>
          <w:color w:val="auto"/>
        </w:rPr>
        <w:t xml:space="preserve">linking </w:t>
      </w:r>
      <w:r w:rsidR="0038796D">
        <w:rPr>
          <w:color w:val="auto"/>
        </w:rPr>
        <w:t xml:space="preserve">actions with </w:t>
      </w:r>
      <w:r w:rsidR="00B4088C" w:rsidRPr="00E4788A">
        <w:rPr>
          <w:color w:val="auto"/>
        </w:rPr>
        <w:t xml:space="preserve">expected </w:t>
      </w:r>
      <w:r w:rsidR="0038796D">
        <w:rPr>
          <w:color w:val="auto"/>
        </w:rPr>
        <w:t xml:space="preserve">outcomes and intended </w:t>
      </w:r>
      <w:r w:rsidR="00B4088C" w:rsidRPr="00E4788A">
        <w:rPr>
          <w:color w:val="auto"/>
        </w:rPr>
        <w:t>impacts</w:t>
      </w:r>
      <w:r w:rsidR="00363ED6">
        <w:rPr>
          <w:color w:val="auto"/>
        </w:rPr>
        <w:t xml:space="preserve">. </w:t>
      </w:r>
      <w:r w:rsidR="00B4088C" w:rsidRPr="00E4788A">
        <w:rPr>
          <w:color w:val="auto"/>
        </w:rPr>
        <w:t xml:space="preserve">Annex I </w:t>
      </w:r>
      <w:r w:rsidR="00363ED6">
        <w:rPr>
          <w:color w:val="auto"/>
        </w:rPr>
        <w:t xml:space="preserve">provides </w:t>
      </w:r>
      <w:r w:rsidR="00B4088C" w:rsidRPr="00E4788A">
        <w:rPr>
          <w:color w:val="auto"/>
        </w:rPr>
        <w:t>a detailed description of the</w:t>
      </w:r>
      <w:r w:rsidR="0038796D">
        <w:rPr>
          <w:color w:val="auto"/>
        </w:rPr>
        <w:t xml:space="preserve"> KPIs that will be used to monitor them</w:t>
      </w:r>
      <w:r w:rsidR="00363ED6">
        <w:rPr>
          <w:color w:val="auto"/>
        </w:rPr>
        <w:t>, as well as t</w:t>
      </w:r>
      <w:r w:rsidR="006604D3">
        <w:rPr>
          <w:color w:val="auto"/>
        </w:rPr>
        <w:t>he</w:t>
      </w:r>
      <w:r w:rsidR="00363ED6">
        <w:rPr>
          <w:color w:val="auto"/>
        </w:rPr>
        <w:t xml:space="preserve"> link of the different items of the strategy map with the various JU</w:t>
      </w:r>
      <w:r w:rsidR="006604D3">
        <w:rPr>
          <w:color w:val="auto"/>
        </w:rPr>
        <w:t xml:space="preserve"> objectives </w:t>
      </w:r>
      <w:r w:rsidR="00363ED6">
        <w:rPr>
          <w:color w:val="auto"/>
        </w:rPr>
        <w:t>(</w:t>
      </w:r>
      <w:r w:rsidR="001E7CE4">
        <w:rPr>
          <w:color w:val="auto"/>
        </w:rPr>
        <w:t xml:space="preserve">the </w:t>
      </w:r>
      <w:r w:rsidR="00363ED6">
        <w:rPr>
          <w:color w:val="auto"/>
        </w:rPr>
        <w:t xml:space="preserve">links </w:t>
      </w:r>
      <w:r w:rsidR="001E7CE4">
        <w:rPr>
          <w:color w:val="auto"/>
        </w:rPr>
        <w:t xml:space="preserve">are </w:t>
      </w:r>
      <w:r w:rsidR="00363ED6">
        <w:rPr>
          <w:color w:val="auto"/>
        </w:rPr>
        <w:t xml:space="preserve">mentioned </w:t>
      </w:r>
      <w:r w:rsidR="006604D3">
        <w:rPr>
          <w:color w:val="auto"/>
        </w:rPr>
        <w:t>in the second column of the table in Annex I</w:t>
      </w:r>
      <w:r w:rsidR="00363ED6">
        <w:rPr>
          <w:color w:val="auto"/>
        </w:rPr>
        <w:t>)</w:t>
      </w:r>
      <w:r w:rsidR="006604D3">
        <w:rPr>
          <w:color w:val="auto"/>
        </w:rPr>
        <w:t>.</w:t>
      </w:r>
    </w:p>
    <w:p w14:paraId="7E24F911" w14:textId="689DB3E0" w:rsidR="00322A34" w:rsidRDefault="00322A34" w:rsidP="00B34817">
      <w:pPr>
        <w:pStyle w:val="Caption"/>
        <w:jc w:val="both"/>
      </w:pPr>
      <w:bookmarkStart w:id="263" w:name="_Ref91086161"/>
      <w:bookmarkStart w:id="264" w:name="_Ref91086138"/>
      <w:r>
        <w:lastRenderedPageBreak/>
        <w:t xml:space="preserve">Figure </w:t>
      </w:r>
      <w:r>
        <w:fldChar w:fldCharType="begin"/>
      </w:r>
      <w:r>
        <w:instrText xml:space="preserve"> SEQ Figure \* ARABIC </w:instrText>
      </w:r>
      <w:r>
        <w:fldChar w:fldCharType="separate"/>
      </w:r>
      <w:r w:rsidR="00F151EA">
        <w:rPr>
          <w:noProof/>
        </w:rPr>
        <w:t>3</w:t>
      </w:r>
      <w:r>
        <w:fldChar w:fldCharType="end"/>
      </w:r>
      <w:bookmarkEnd w:id="263"/>
      <w:r>
        <w:t xml:space="preserve"> Strategy Map of</w:t>
      </w:r>
      <w:r w:rsidRPr="00B2762D">
        <w:t xml:space="preserve"> the Clean Hydrogen Joint Undertaking</w:t>
      </w:r>
      <w:bookmarkEnd w:id="264"/>
    </w:p>
    <w:p w14:paraId="6FB0631F" w14:textId="0F30E7C0" w:rsidR="00322A34" w:rsidRDefault="00322A34" w:rsidP="00322A34">
      <w:pPr>
        <w:pStyle w:val="MAWP-Bodytext"/>
        <w:keepNext/>
      </w:pPr>
      <w:r>
        <w:rPr>
          <w:noProof/>
          <w:lang w:bidi="ar-SA"/>
        </w:rPr>
        <w:drawing>
          <wp:inline distT="0" distB="0" distL="0" distR="0" wp14:anchorId="53041D34" wp14:editId="28877967">
            <wp:extent cx="5797550" cy="3261360"/>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5797550" cy="3261360"/>
                    </a:xfrm>
                    <a:prstGeom prst="rect">
                      <a:avLst/>
                    </a:prstGeom>
                  </pic:spPr>
                </pic:pic>
              </a:graphicData>
            </a:graphic>
          </wp:inline>
        </w:drawing>
      </w:r>
    </w:p>
    <w:p w14:paraId="2B36A4C4" w14:textId="5A317EBA" w:rsidR="0092746F" w:rsidRDefault="0092746F" w:rsidP="0092746F">
      <w:pPr>
        <w:pStyle w:val="MAWP-Bodytext"/>
        <w:rPr>
          <w:color w:val="auto"/>
        </w:rPr>
      </w:pPr>
      <w:r>
        <w:rPr>
          <w:color w:val="auto"/>
        </w:rPr>
        <w:t xml:space="preserve">It needs to be emphasized that the strategy map does not aim to replace the legal objectives of the JU, as reflected in the SBA and the Horizon Europe Regulation, but to </w:t>
      </w:r>
      <w:r w:rsidR="00856862">
        <w:rPr>
          <w:color w:val="auto"/>
        </w:rPr>
        <w:t>re</w:t>
      </w:r>
      <w:r>
        <w:rPr>
          <w:color w:val="auto"/>
        </w:rPr>
        <w:t xml:space="preserve">structure </w:t>
      </w:r>
      <w:r w:rsidR="006B0BD8">
        <w:rPr>
          <w:color w:val="auto"/>
        </w:rPr>
        <w:t xml:space="preserve">and further specify </w:t>
      </w:r>
      <w:r>
        <w:rPr>
          <w:color w:val="auto"/>
        </w:rPr>
        <w:t>them</w:t>
      </w:r>
      <w:r w:rsidR="006B0BD8">
        <w:rPr>
          <w:color w:val="auto"/>
        </w:rPr>
        <w:t>,</w:t>
      </w:r>
      <w:r>
        <w:rPr>
          <w:color w:val="auto"/>
        </w:rPr>
        <w:t xml:space="preserve"> </w:t>
      </w:r>
      <w:r w:rsidR="00856862">
        <w:rPr>
          <w:color w:val="auto"/>
        </w:rPr>
        <w:t>in order to be able to better define the relevant indicators for the monitoring framework, avoid overlaps and make more obvious the interlinkages between them.</w:t>
      </w:r>
    </w:p>
    <w:p w14:paraId="4379BF54" w14:textId="4432A178" w:rsidR="00856862" w:rsidRPr="0092746F" w:rsidRDefault="00856862" w:rsidP="0092746F">
      <w:pPr>
        <w:pStyle w:val="MAWP-Bodytext"/>
        <w:rPr>
          <w:color w:val="auto"/>
        </w:rPr>
      </w:pPr>
      <w:r>
        <w:rPr>
          <w:color w:val="auto"/>
        </w:rPr>
        <w:t>More specifically, on the different levels of the strategy map:</w:t>
      </w:r>
    </w:p>
    <w:p w14:paraId="7820B1B1" w14:textId="2838E1F1" w:rsidR="0092746F" w:rsidRDefault="0092746F" w:rsidP="0092746F">
      <w:pPr>
        <w:pStyle w:val="MAWP-Bodytext"/>
        <w:rPr>
          <w:color w:val="auto"/>
        </w:rPr>
      </w:pPr>
      <w:r w:rsidRPr="00BD5FBD">
        <w:rPr>
          <w:i/>
          <w:iCs/>
          <w:color w:val="auto"/>
        </w:rPr>
        <w:t>(macro level objectives)</w:t>
      </w:r>
      <w:r>
        <w:rPr>
          <w:color w:val="auto"/>
        </w:rPr>
        <w:t xml:space="preserve"> Three high-level policy objectives, relating to major societal challenges, were identified as most relevant to the JU: Climate Action, Clean Energy and Sustainable Growth. These high-level objectives are linked with a number of SDGs, but one Key Strategic Orientation of the Horizon Europe Strategic Plan: making Europe the first digitally enabled circular climate neutral and sustainable economy, </w:t>
      </w:r>
      <w:r w:rsidRPr="00B34817">
        <w:rPr>
          <w:color w:val="auto"/>
        </w:rPr>
        <w:t>through the transformation of its mobility, energy,</w:t>
      </w:r>
      <w:r>
        <w:rPr>
          <w:color w:val="auto"/>
        </w:rPr>
        <w:t xml:space="preserve"> </w:t>
      </w:r>
      <w:r w:rsidRPr="00B34817">
        <w:rPr>
          <w:color w:val="auto"/>
        </w:rPr>
        <w:t>construction and production systems</w:t>
      </w:r>
      <w:r>
        <w:rPr>
          <w:color w:val="auto"/>
        </w:rPr>
        <w:t>.</w:t>
      </w:r>
      <w:r w:rsidR="006B0BD8">
        <w:rPr>
          <w:color w:val="auto"/>
        </w:rPr>
        <w:t xml:space="preserve"> </w:t>
      </w:r>
    </w:p>
    <w:p w14:paraId="52FCD0FD" w14:textId="1E7F6128" w:rsidR="003D5B0A" w:rsidRDefault="00BD5FBD" w:rsidP="007A08C7">
      <w:pPr>
        <w:pStyle w:val="MAWP-Bodytext"/>
        <w:rPr>
          <w:color w:val="auto"/>
        </w:rPr>
      </w:pPr>
      <w:r>
        <w:rPr>
          <w:i/>
          <w:iCs/>
          <w:color w:val="auto"/>
        </w:rPr>
        <w:t>(</w:t>
      </w:r>
      <w:r w:rsidR="00B74291">
        <w:rPr>
          <w:i/>
          <w:iCs/>
          <w:color w:val="auto"/>
        </w:rPr>
        <w:t>g</w:t>
      </w:r>
      <w:r>
        <w:rPr>
          <w:i/>
          <w:iCs/>
          <w:color w:val="auto"/>
        </w:rPr>
        <w:t xml:space="preserve">eneral level impacts) </w:t>
      </w:r>
      <w:r w:rsidR="002F5881">
        <w:rPr>
          <w:color w:val="auto"/>
        </w:rPr>
        <w:t xml:space="preserve">The general level objectives of the JU should aim to have an impact towards the achievement of the above macro level objectives. </w:t>
      </w:r>
      <w:r w:rsidR="003D5B0A">
        <w:rPr>
          <w:color w:val="auto"/>
        </w:rPr>
        <w:t>The Clean Hydrogen JU has two sets of general objectives</w:t>
      </w:r>
      <w:r w:rsidR="002F5881">
        <w:rPr>
          <w:color w:val="auto"/>
        </w:rPr>
        <w:t>, as defined in the SBA</w:t>
      </w:r>
      <w:r w:rsidR="003D5B0A">
        <w:rPr>
          <w:color w:val="auto"/>
        </w:rPr>
        <w:t>:</w:t>
      </w:r>
    </w:p>
    <w:p w14:paraId="33293464" w14:textId="5D912E3B" w:rsidR="00856862" w:rsidRDefault="003D5B0A" w:rsidP="002256F6">
      <w:pPr>
        <w:pStyle w:val="MAWP-Bodytext"/>
        <w:numPr>
          <w:ilvl w:val="0"/>
          <w:numId w:val="74"/>
        </w:numPr>
        <w:rPr>
          <w:color w:val="auto"/>
        </w:rPr>
      </w:pPr>
      <w:r>
        <w:rPr>
          <w:color w:val="auto"/>
        </w:rPr>
        <w:t xml:space="preserve">On one hand, the general objectives applicable for all partnerships, which contribute in the key impact pathway categories (Scientific, Societal and Economic/Technological). </w:t>
      </w:r>
      <w:r w:rsidR="0090418C">
        <w:rPr>
          <w:color w:val="auto"/>
        </w:rPr>
        <w:t>Th</w:t>
      </w:r>
      <w:r w:rsidR="00D17D2B">
        <w:rPr>
          <w:color w:val="auto"/>
        </w:rPr>
        <w:t xml:space="preserve">ese are </w:t>
      </w:r>
      <w:r w:rsidR="0090418C">
        <w:rPr>
          <w:color w:val="auto"/>
        </w:rPr>
        <w:t>made more specific</w:t>
      </w:r>
      <w:r>
        <w:rPr>
          <w:color w:val="auto"/>
        </w:rPr>
        <w:t xml:space="preserve"> in the context of Horizon’s Europe Cluster 5</w:t>
      </w:r>
      <w:r w:rsidR="0090418C">
        <w:rPr>
          <w:color w:val="auto"/>
        </w:rPr>
        <w:t xml:space="preserve"> and its Strategic Plan, by linking them with impact areas (or “Destinations”) and the expected impacts the JU could contribute in these areas. The relevant </w:t>
      </w:r>
      <w:r w:rsidR="002F5881">
        <w:rPr>
          <w:color w:val="auto"/>
        </w:rPr>
        <w:t xml:space="preserve">impact </w:t>
      </w:r>
      <w:r w:rsidR="0090418C">
        <w:rPr>
          <w:color w:val="auto"/>
        </w:rPr>
        <w:t>areas for the JU</w:t>
      </w:r>
      <w:r w:rsidR="002F5881" w:rsidRPr="002F5881">
        <w:rPr>
          <w:color w:val="auto"/>
          <w:vertAlign w:val="superscript"/>
        </w:rPr>
        <w:fldChar w:fldCharType="begin"/>
      </w:r>
      <w:r w:rsidR="002F5881" w:rsidRPr="002F5881">
        <w:rPr>
          <w:color w:val="auto"/>
          <w:vertAlign w:val="superscript"/>
        </w:rPr>
        <w:instrText xml:space="preserve"> NOTEREF _Ref91747144 \h </w:instrText>
      </w:r>
      <w:r w:rsidR="002F5881">
        <w:rPr>
          <w:color w:val="auto"/>
          <w:vertAlign w:val="superscript"/>
        </w:rPr>
        <w:instrText xml:space="preserve"> \* MERGEFORMAT </w:instrText>
      </w:r>
      <w:r w:rsidR="002F5881" w:rsidRPr="002F5881">
        <w:rPr>
          <w:color w:val="auto"/>
          <w:vertAlign w:val="superscript"/>
        </w:rPr>
      </w:r>
      <w:r w:rsidR="002F5881" w:rsidRPr="002F5881">
        <w:rPr>
          <w:color w:val="auto"/>
          <w:vertAlign w:val="superscript"/>
        </w:rPr>
        <w:fldChar w:fldCharType="separate"/>
      </w:r>
      <w:r w:rsidR="002F5881" w:rsidRPr="002F5881">
        <w:rPr>
          <w:color w:val="auto"/>
          <w:vertAlign w:val="superscript"/>
        </w:rPr>
        <w:t>240</w:t>
      </w:r>
      <w:r w:rsidR="002F5881" w:rsidRPr="002F5881">
        <w:rPr>
          <w:color w:val="auto"/>
          <w:vertAlign w:val="superscript"/>
        </w:rPr>
        <w:fldChar w:fldCharType="end"/>
      </w:r>
      <w:r w:rsidR="0090418C">
        <w:rPr>
          <w:color w:val="auto"/>
        </w:rPr>
        <w:t xml:space="preserve"> are (22), (23) and (24), related to the clean energy transition and climate neutrality, as well as (15) concerning global leadership in clean and climate neutral value chains</w:t>
      </w:r>
      <w:r w:rsidR="00E0351A">
        <w:rPr>
          <w:color w:val="auto"/>
        </w:rPr>
        <w:t>;</w:t>
      </w:r>
    </w:p>
    <w:p w14:paraId="47A2B628" w14:textId="77777777" w:rsidR="00D76F23" w:rsidRDefault="0090418C" w:rsidP="002256F6">
      <w:pPr>
        <w:pStyle w:val="MAWP-Bodytext"/>
        <w:numPr>
          <w:ilvl w:val="0"/>
          <w:numId w:val="74"/>
        </w:numPr>
        <w:rPr>
          <w:color w:val="auto"/>
        </w:rPr>
      </w:pPr>
      <w:r>
        <w:rPr>
          <w:color w:val="auto"/>
        </w:rPr>
        <w:t>On the other hand, the general objectives of the JU</w:t>
      </w:r>
      <w:r w:rsidR="000622D6">
        <w:rPr>
          <w:color w:val="auto"/>
        </w:rPr>
        <w:t xml:space="preserve"> are to contribute towards the Green Deal and the Hydrogen Strategy, to strengthen the Union clean hydrogen value chain, notable supporting SMEs, and</w:t>
      </w:r>
      <w:r w:rsidR="00D76F23">
        <w:rPr>
          <w:color w:val="auto"/>
        </w:rPr>
        <w:t xml:space="preserve"> to </w:t>
      </w:r>
      <w:r w:rsidR="000622D6">
        <w:rPr>
          <w:color w:val="auto"/>
        </w:rPr>
        <w:t>stimulat</w:t>
      </w:r>
      <w:r w:rsidR="00D76F23">
        <w:rPr>
          <w:color w:val="auto"/>
        </w:rPr>
        <w:t>e</w:t>
      </w:r>
      <w:r w:rsidR="000622D6">
        <w:rPr>
          <w:color w:val="auto"/>
        </w:rPr>
        <w:t xml:space="preserve"> research and innovation</w:t>
      </w:r>
      <w:r w:rsidR="00D76F23">
        <w:rPr>
          <w:color w:val="auto"/>
        </w:rPr>
        <w:t xml:space="preserve"> in clean hydrogen technologies.</w:t>
      </w:r>
    </w:p>
    <w:p w14:paraId="1AE17831" w14:textId="582CE85D" w:rsidR="0090418C" w:rsidRDefault="00A86145" w:rsidP="00D76F23">
      <w:pPr>
        <w:pStyle w:val="MAWP-Bodytext"/>
        <w:rPr>
          <w:color w:val="auto"/>
        </w:rPr>
      </w:pPr>
      <w:r>
        <w:rPr>
          <w:color w:val="auto"/>
        </w:rPr>
        <w:t xml:space="preserve">Combining the two sets of objectives above and placing them in the context of the macro level </w:t>
      </w:r>
      <w:r>
        <w:rPr>
          <w:color w:val="auto"/>
        </w:rPr>
        <w:lastRenderedPageBreak/>
        <w:t>objectives leads to the three areas where the JU would be able to contribute the most:</w:t>
      </w:r>
    </w:p>
    <w:p w14:paraId="4DDB178B" w14:textId="49B3C626" w:rsidR="00A86145" w:rsidRDefault="00A86145" w:rsidP="002256F6">
      <w:pPr>
        <w:pStyle w:val="MAWP-Bodytext"/>
        <w:numPr>
          <w:ilvl w:val="0"/>
          <w:numId w:val="75"/>
        </w:numPr>
        <w:rPr>
          <w:color w:val="auto"/>
        </w:rPr>
      </w:pPr>
      <w:r w:rsidRPr="00A86145">
        <w:rPr>
          <w:color w:val="auto"/>
        </w:rPr>
        <w:t>Act</w:t>
      </w:r>
      <w:r>
        <w:rPr>
          <w:color w:val="auto"/>
        </w:rPr>
        <w:t>ion</w:t>
      </w:r>
      <w:r w:rsidRPr="00A86145">
        <w:rPr>
          <w:color w:val="auto"/>
        </w:rPr>
        <w:t xml:space="preserve"> against climate change by drastically reducing greenhouse gas emissions</w:t>
      </w:r>
      <w:r>
        <w:rPr>
          <w:color w:val="auto"/>
        </w:rPr>
        <w:t>;</w:t>
      </w:r>
    </w:p>
    <w:p w14:paraId="0758E82E" w14:textId="53515902" w:rsidR="00A86145" w:rsidRDefault="00A86145" w:rsidP="002256F6">
      <w:pPr>
        <w:pStyle w:val="MAWP-Bodytext"/>
        <w:numPr>
          <w:ilvl w:val="0"/>
          <w:numId w:val="75"/>
        </w:numPr>
        <w:rPr>
          <w:color w:val="auto"/>
        </w:rPr>
      </w:pPr>
      <w:r w:rsidRPr="00A86145">
        <w:rPr>
          <w:color w:val="auto"/>
        </w:rPr>
        <w:t>Transition to a clean energy system with renewable hydrogen as one of its main pillars</w:t>
      </w:r>
      <w:r>
        <w:rPr>
          <w:color w:val="auto"/>
        </w:rPr>
        <w:t>;</w:t>
      </w:r>
    </w:p>
    <w:p w14:paraId="72D08754" w14:textId="0DB9C18B" w:rsidR="00A86145" w:rsidRDefault="00A86145" w:rsidP="002256F6">
      <w:pPr>
        <w:pStyle w:val="MAWP-Bodytext"/>
        <w:numPr>
          <w:ilvl w:val="0"/>
          <w:numId w:val="75"/>
        </w:numPr>
        <w:rPr>
          <w:color w:val="auto"/>
        </w:rPr>
      </w:pPr>
      <w:r w:rsidRPr="00A86145">
        <w:rPr>
          <w:color w:val="auto"/>
        </w:rPr>
        <w:t>Emergence of a competitive and innovative European hydrogen value chain</w:t>
      </w:r>
      <w:r>
        <w:rPr>
          <w:color w:val="auto"/>
        </w:rPr>
        <w:t>.</w:t>
      </w:r>
    </w:p>
    <w:p w14:paraId="2A4298FC" w14:textId="665F72F2" w:rsidR="00A86145" w:rsidRDefault="00A86145" w:rsidP="00A86145">
      <w:pPr>
        <w:pStyle w:val="MAWP-Bodytext"/>
        <w:rPr>
          <w:color w:val="auto"/>
        </w:rPr>
      </w:pPr>
      <w:r>
        <w:rPr>
          <w:color w:val="auto"/>
        </w:rPr>
        <w:t>T</w:t>
      </w:r>
      <w:r w:rsidR="00B74291">
        <w:rPr>
          <w:color w:val="auto"/>
        </w:rPr>
        <w:t>herefore the above form the general level impacts of the JU in its strategy map.</w:t>
      </w:r>
    </w:p>
    <w:p w14:paraId="4213713C" w14:textId="54AD6966" w:rsidR="000A2AFE" w:rsidRDefault="00B74291" w:rsidP="00A83F29">
      <w:pPr>
        <w:pStyle w:val="MAWP-Bodytext"/>
        <w:rPr>
          <w:color w:val="auto"/>
        </w:rPr>
      </w:pPr>
      <w:r>
        <w:rPr>
          <w:i/>
          <w:iCs/>
          <w:color w:val="auto"/>
        </w:rPr>
        <w:t xml:space="preserve">(specific level outcomes) </w:t>
      </w:r>
      <w:r>
        <w:rPr>
          <w:color w:val="auto"/>
        </w:rPr>
        <w:t xml:space="preserve">The specific level objectives of the JU </w:t>
      </w:r>
      <w:r w:rsidR="000A2AFE">
        <w:rPr>
          <w:color w:val="auto"/>
        </w:rPr>
        <w:t>identify</w:t>
      </w:r>
      <w:r>
        <w:rPr>
          <w:color w:val="auto"/>
        </w:rPr>
        <w:t xml:space="preserve"> what should be the main </w:t>
      </w:r>
      <w:r w:rsidR="00E0351A">
        <w:rPr>
          <w:color w:val="auto"/>
        </w:rPr>
        <w:t xml:space="preserve">direct </w:t>
      </w:r>
      <w:r w:rsidR="000A2AFE">
        <w:rPr>
          <w:color w:val="auto"/>
        </w:rPr>
        <w:t>outcomes and results from the activities of the JU. These should be contributing to the general level impacts of the JU. As in the case of the general objectives, t</w:t>
      </w:r>
      <w:r>
        <w:rPr>
          <w:color w:val="auto"/>
        </w:rPr>
        <w:t xml:space="preserve">he Clean Hydrogen JU has two sets of </w:t>
      </w:r>
      <w:r w:rsidR="000A2AFE">
        <w:rPr>
          <w:color w:val="auto"/>
        </w:rPr>
        <w:t>specific</w:t>
      </w:r>
      <w:r>
        <w:rPr>
          <w:color w:val="auto"/>
        </w:rPr>
        <w:t xml:space="preserve"> objectives, as defined in the SBA</w:t>
      </w:r>
      <w:r w:rsidR="00A83F29">
        <w:rPr>
          <w:color w:val="auto"/>
        </w:rPr>
        <w:t xml:space="preserve">. They both focus </w:t>
      </w:r>
      <w:r w:rsidR="00E0351A">
        <w:rPr>
          <w:color w:val="auto"/>
        </w:rPr>
        <w:t>on the acceleration of the transition towards the goals set by the Green Deal, the enhancement of the research and innovation ecosystem, including SMEs</w:t>
      </w:r>
      <w:r w:rsidR="00B50765">
        <w:rPr>
          <w:color w:val="auto"/>
        </w:rPr>
        <w:t xml:space="preserve"> and involving stakeholders in all MS</w:t>
      </w:r>
      <w:r w:rsidR="00E0351A">
        <w:rPr>
          <w:color w:val="auto"/>
        </w:rPr>
        <w:t xml:space="preserve">, </w:t>
      </w:r>
      <w:r w:rsidR="00B50765">
        <w:rPr>
          <w:color w:val="auto"/>
        </w:rPr>
        <w:t xml:space="preserve">as well as </w:t>
      </w:r>
      <w:r w:rsidR="00E0351A">
        <w:rPr>
          <w:color w:val="auto"/>
        </w:rPr>
        <w:t>the delivery of innovative technology solutions and their uptake by the market</w:t>
      </w:r>
      <w:r w:rsidR="00B50765">
        <w:rPr>
          <w:color w:val="auto"/>
        </w:rPr>
        <w:t>,</w:t>
      </w:r>
      <w:r w:rsidR="00B50765" w:rsidRPr="00B50765">
        <w:rPr>
          <w:color w:val="auto"/>
        </w:rPr>
        <w:t xml:space="preserve"> </w:t>
      </w:r>
      <w:r w:rsidR="00B50765" w:rsidRPr="00816B17">
        <w:rPr>
          <w:color w:val="auto"/>
        </w:rPr>
        <w:t>with the view to local, regional and Union-wide deployment</w:t>
      </w:r>
      <w:r w:rsidR="00B50765">
        <w:rPr>
          <w:color w:val="auto"/>
        </w:rPr>
        <w:t>.</w:t>
      </w:r>
      <w:r w:rsidR="00A83F29">
        <w:rPr>
          <w:color w:val="auto"/>
        </w:rPr>
        <w:t xml:space="preserve"> </w:t>
      </w:r>
    </w:p>
    <w:p w14:paraId="5662BB08" w14:textId="7B51DE21" w:rsidR="00A83F29" w:rsidRDefault="00816B17" w:rsidP="00A83F29">
      <w:pPr>
        <w:pStyle w:val="MAWP-Bodytext"/>
        <w:rPr>
          <w:color w:val="auto"/>
        </w:rPr>
      </w:pPr>
      <w:r>
        <w:rPr>
          <w:color w:val="auto"/>
        </w:rPr>
        <w:t>On the basis of these objectives, seen in the specific context of the Clean Hydrogen JU, these were translated in the following specific level outcomes</w:t>
      </w:r>
      <w:r w:rsidR="00B50765">
        <w:rPr>
          <w:color w:val="auto"/>
        </w:rPr>
        <w:t xml:space="preserve"> in the context of the strategy map</w:t>
      </w:r>
      <w:r>
        <w:rPr>
          <w:color w:val="auto"/>
        </w:rPr>
        <w:t>:</w:t>
      </w:r>
    </w:p>
    <w:p w14:paraId="0C017EE5" w14:textId="2677CC6B" w:rsidR="00816B17" w:rsidRDefault="00816B17" w:rsidP="002256F6">
      <w:pPr>
        <w:pStyle w:val="MAWP-Bodytext"/>
        <w:numPr>
          <w:ilvl w:val="0"/>
          <w:numId w:val="76"/>
        </w:numPr>
        <w:rPr>
          <w:color w:val="auto"/>
        </w:rPr>
      </w:pPr>
      <w:r w:rsidRPr="00816B17">
        <w:rPr>
          <w:color w:val="auto"/>
        </w:rPr>
        <w:t>Limiting the environmental impact of hydrogen technology applications</w:t>
      </w:r>
      <w:r>
        <w:rPr>
          <w:color w:val="auto"/>
        </w:rPr>
        <w:t>;</w:t>
      </w:r>
    </w:p>
    <w:p w14:paraId="3320D55E" w14:textId="6DD27566" w:rsidR="00816B17" w:rsidRDefault="00816B17" w:rsidP="002256F6">
      <w:pPr>
        <w:pStyle w:val="MAWP-Bodytext"/>
        <w:numPr>
          <w:ilvl w:val="0"/>
          <w:numId w:val="76"/>
        </w:numPr>
        <w:rPr>
          <w:color w:val="auto"/>
        </w:rPr>
      </w:pPr>
      <w:r w:rsidRPr="00816B17">
        <w:rPr>
          <w:color w:val="auto"/>
        </w:rPr>
        <w:t>Improving the cost-effectiveness of clean hydrogen solutions</w:t>
      </w:r>
      <w:r>
        <w:rPr>
          <w:color w:val="auto"/>
        </w:rPr>
        <w:t>;</w:t>
      </w:r>
    </w:p>
    <w:p w14:paraId="3DA29122" w14:textId="1DA0D171" w:rsidR="00816B17" w:rsidRDefault="00816B17" w:rsidP="002256F6">
      <w:pPr>
        <w:pStyle w:val="MAWP-Bodytext"/>
        <w:numPr>
          <w:ilvl w:val="0"/>
          <w:numId w:val="76"/>
        </w:numPr>
        <w:rPr>
          <w:color w:val="auto"/>
        </w:rPr>
      </w:pPr>
      <w:r w:rsidRPr="00816B17">
        <w:rPr>
          <w:color w:val="auto"/>
        </w:rPr>
        <w:t>Demonstrating clean hydrogen solutions, in synergy with other Partnerships</w:t>
      </w:r>
      <w:r>
        <w:rPr>
          <w:color w:val="auto"/>
        </w:rPr>
        <w:t>;</w:t>
      </w:r>
    </w:p>
    <w:p w14:paraId="3D8FB118" w14:textId="34A3F2FA" w:rsidR="00816B17" w:rsidRDefault="00816B17" w:rsidP="002256F6">
      <w:pPr>
        <w:pStyle w:val="MAWP-Bodytext"/>
        <w:numPr>
          <w:ilvl w:val="0"/>
          <w:numId w:val="76"/>
        </w:numPr>
        <w:rPr>
          <w:color w:val="auto"/>
        </w:rPr>
      </w:pPr>
      <w:r w:rsidRPr="00816B17">
        <w:rPr>
          <w:color w:val="auto"/>
        </w:rPr>
        <w:t>Increasing public awareness and uptake of hydrogen technologies</w:t>
      </w:r>
      <w:r>
        <w:rPr>
          <w:color w:val="auto"/>
        </w:rPr>
        <w:t>;</w:t>
      </w:r>
    </w:p>
    <w:p w14:paraId="21CBF8F8" w14:textId="4E031326" w:rsidR="00816B17" w:rsidRDefault="00816B17" w:rsidP="002256F6">
      <w:pPr>
        <w:pStyle w:val="MAWP-Bodytext"/>
        <w:numPr>
          <w:ilvl w:val="0"/>
          <w:numId w:val="76"/>
        </w:numPr>
        <w:rPr>
          <w:color w:val="auto"/>
        </w:rPr>
      </w:pPr>
      <w:r w:rsidRPr="00816B17">
        <w:rPr>
          <w:color w:val="auto"/>
        </w:rPr>
        <w:t>Reinforcing EU scientific and industrial ecosystem, including SMEs</w:t>
      </w:r>
      <w:r>
        <w:rPr>
          <w:color w:val="auto"/>
        </w:rPr>
        <w:t>.</w:t>
      </w:r>
    </w:p>
    <w:p w14:paraId="0B56DAA8" w14:textId="10EC7258" w:rsidR="00B74291" w:rsidRPr="00856862" w:rsidRDefault="00B50765" w:rsidP="00A86145">
      <w:pPr>
        <w:pStyle w:val="MAWP-Bodytext"/>
        <w:rPr>
          <w:color w:val="auto"/>
        </w:rPr>
      </w:pPr>
      <w:r>
        <w:rPr>
          <w:color w:val="auto"/>
        </w:rPr>
        <w:t>The particular value of the above five points is that they turn the more general language of the specific objectives of the JU into more concrete, separated and measurable outcomes, that can be used for its monitoring framework. Moreover, the</w:t>
      </w:r>
      <w:r w:rsidR="00A72942">
        <w:rPr>
          <w:color w:val="auto"/>
        </w:rPr>
        <w:t>y</w:t>
      </w:r>
      <w:r>
        <w:rPr>
          <w:color w:val="auto"/>
        </w:rPr>
        <w:t xml:space="preserve"> provide a clear link between the JU impacts and actions</w:t>
      </w:r>
      <w:r w:rsidR="00A72942">
        <w:rPr>
          <w:color w:val="auto"/>
        </w:rPr>
        <w:t xml:space="preserve">, offering the necessary consistency needed for the JU’s strategy map as a whole. </w:t>
      </w:r>
    </w:p>
    <w:p w14:paraId="4C4FFF8C" w14:textId="5972A0F3" w:rsidR="00856862" w:rsidRDefault="00A72942" w:rsidP="002E347B">
      <w:pPr>
        <w:pStyle w:val="MAWP-Bodytext"/>
        <w:rPr>
          <w:color w:val="auto"/>
        </w:rPr>
      </w:pPr>
      <w:r>
        <w:rPr>
          <w:i/>
          <w:iCs/>
          <w:color w:val="auto"/>
        </w:rPr>
        <w:t xml:space="preserve">(operational objectives and additional tasks) </w:t>
      </w:r>
      <w:r>
        <w:rPr>
          <w:color w:val="auto"/>
        </w:rPr>
        <w:t>The bottom level of the strategy map describes the necessary actions and activities of the JU that will lead to the a</w:t>
      </w:r>
      <w:r w:rsidR="002E347B">
        <w:rPr>
          <w:color w:val="auto"/>
        </w:rPr>
        <w:t>f</w:t>
      </w:r>
      <w:r>
        <w:rPr>
          <w:color w:val="auto"/>
        </w:rPr>
        <w:t>o</w:t>
      </w:r>
      <w:r w:rsidR="002E347B">
        <w:rPr>
          <w:color w:val="auto"/>
        </w:rPr>
        <w:t>r</w:t>
      </w:r>
      <w:r>
        <w:rPr>
          <w:color w:val="auto"/>
        </w:rPr>
        <w:t>ementioned outcomes.</w:t>
      </w:r>
      <w:r w:rsidR="002E347B">
        <w:rPr>
          <w:color w:val="auto"/>
        </w:rPr>
        <w:t xml:space="preserve"> </w:t>
      </w:r>
      <w:r>
        <w:rPr>
          <w:color w:val="auto"/>
        </w:rPr>
        <w:t xml:space="preserve">These should be in line with the operational objectives and tasks </w:t>
      </w:r>
      <w:r w:rsidR="002E347B">
        <w:rPr>
          <w:color w:val="auto"/>
        </w:rPr>
        <w:t xml:space="preserve">of the JU, as </w:t>
      </w:r>
      <w:r>
        <w:rPr>
          <w:color w:val="auto"/>
        </w:rPr>
        <w:t>specified in the SBA</w:t>
      </w:r>
      <w:r w:rsidR="002E347B">
        <w:rPr>
          <w:color w:val="auto"/>
        </w:rPr>
        <w:t>, and fall in line with the activities described in the present SRIA:</w:t>
      </w:r>
    </w:p>
    <w:p w14:paraId="51380950" w14:textId="75EFD246" w:rsidR="002E347B" w:rsidRDefault="002E347B" w:rsidP="002256F6">
      <w:pPr>
        <w:pStyle w:val="MAWP-Bodytext"/>
        <w:numPr>
          <w:ilvl w:val="0"/>
          <w:numId w:val="77"/>
        </w:numPr>
        <w:rPr>
          <w:color w:val="auto"/>
        </w:rPr>
      </w:pPr>
      <w:r w:rsidRPr="002E347B">
        <w:rPr>
          <w:color w:val="auto"/>
        </w:rPr>
        <w:t>Supporting climate neutral and sustainable solutions</w:t>
      </w:r>
      <w:r>
        <w:rPr>
          <w:color w:val="auto"/>
        </w:rPr>
        <w:t>;</w:t>
      </w:r>
    </w:p>
    <w:p w14:paraId="2BC9F576" w14:textId="684F88ED" w:rsidR="002E347B" w:rsidRDefault="002E347B" w:rsidP="002256F6">
      <w:pPr>
        <w:pStyle w:val="MAWP-Bodytext"/>
        <w:numPr>
          <w:ilvl w:val="0"/>
          <w:numId w:val="77"/>
        </w:numPr>
        <w:rPr>
          <w:color w:val="auto"/>
        </w:rPr>
      </w:pPr>
      <w:r w:rsidRPr="002E347B">
        <w:rPr>
          <w:color w:val="auto"/>
        </w:rPr>
        <w:t>Research and Innovation for hydrogen technologies</w:t>
      </w:r>
      <w:r>
        <w:rPr>
          <w:color w:val="auto"/>
        </w:rPr>
        <w:t>;</w:t>
      </w:r>
    </w:p>
    <w:p w14:paraId="2F644665" w14:textId="3AAF0A5D" w:rsidR="002E347B" w:rsidRDefault="002E347B" w:rsidP="002256F6">
      <w:pPr>
        <w:pStyle w:val="MAWP-Bodytext"/>
        <w:numPr>
          <w:ilvl w:val="0"/>
          <w:numId w:val="77"/>
        </w:numPr>
        <w:rPr>
          <w:color w:val="auto"/>
        </w:rPr>
      </w:pPr>
      <w:r w:rsidRPr="002E347B">
        <w:rPr>
          <w:color w:val="auto"/>
        </w:rPr>
        <w:t>Supporting market uptake of clean hydrogen applications</w:t>
      </w:r>
      <w:r>
        <w:rPr>
          <w:color w:val="auto"/>
        </w:rPr>
        <w:t>.</w:t>
      </w:r>
    </w:p>
    <w:p w14:paraId="5CE375F2" w14:textId="2301C2EA" w:rsidR="007A08C7" w:rsidRPr="0009799D" w:rsidRDefault="007A08C7" w:rsidP="007A08C7">
      <w:pPr>
        <w:pStyle w:val="MAWP-Bodytext"/>
        <w:rPr>
          <w:i/>
          <w:iCs/>
          <w:color w:val="auto"/>
        </w:rPr>
      </w:pPr>
      <w:r>
        <w:rPr>
          <w:i/>
          <w:iCs/>
          <w:color w:val="auto"/>
        </w:rPr>
        <w:t>D. SRIA Technology KPIs</w:t>
      </w:r>
    </w:p>
    <w:p w14:paraId="2D66A672" w14:textId="14AD0EF3" w:rsidR="002967E8" w:rsidRDefault="00B4088C" w:rsidP="002967E8">
      <w:pPr>
        <w:pStyle w:val="MAWP-Bodytext"/>
        <w:rPr>
          <w:color w:val="auto"/>
        </w:rPr>
      </w:pPr>
      <w:r w:rsidRPr="00B364CB">
        <w:rPr>
          <w:color w:val="auto"/>
        </w:rPr>
        <w:t>Further to the above monitoring activities</w:t>
      </w:r>
      <w:r w:rsidR="00785823" w:rsidRPr="00B364CB">
        <w:rPr>
          <w:color w:val="auto"/>
        </w:rPr>
        <w:t xml:space="preserve">, one of the tasks of the </w:t>
      </w:r>
      <w:r w:rsidR="007B70F5">
        <w:t xml:space="preserve">Clean Hydrogen </w:t>
      </w:r>
      <w:r w:rsidR="00785823" w:rsidRPr="00B364CB">
        <w:rPr>
          <w:color w:val="auto"/>
        </w:rPr>
        <w:t>JU defined in the SBA is to identify and report the knowledge acquired from the management of research and innovation projects and their results, to serve as input for monitoring, evaluating, and rectifying (if necessary) existing policy measures or shaping new policy initiatives and decisions. The progress of the research and innovation projects will be measure</w:t>
      </w:r>
      <w:r w:rsidR="002B2663" w:rsidRPr="00B364CB">
        <w:rPr>
          <w:color w:val="auto"/>
        </w:rPr>
        <w:t>d</w:t>
      </w:r>
      <w:r w:rsidR="00785823" w:rsidRPr="00B364CB">
        <w:rPr>
          <w:color w:val="auto"/>
        </w:rPr>
        <w:t xml:space="preserve"> by comparing the results of the projects against the</w:t>
      </w:r>
      <w:r w:rsidR="00182D4B" w:rsidRPr="00B364CB">
        <w:rPr>
          <w:color w:val="auto"/>
        </w:rPr>
        <w:t xml:space="preserve"> relevant</w:t>
      </w:r>
      <w:r w:rsidR="00785823" w:rsidRPr="00B364CB">
        <w:rPr>
          <w:color w:val="auto"/>
        </w:rPr>
        <w:t xml:space="preserve"> technology KPIs propos</w:t>
      </w:r>
      <w:r w:rsidR="00977F32" w:rsidRPr="00B364CB">
        <w:rPr>
          <w:color w:val="auto"/>
        </w:rPr>
        <w:t xml:space="preserve">ed in the Annexes </w:t>
      </w:r>
      <w:r w:rsidR="00CF3408">
        <w:rPr>
          <w:color w:val="auto"/>
        </w:rPr>
        <w:t xml:space="preserve">2 to 6 </w:t>
      </w:r>
      <w:r w:rsidR="00977F32" w:rsidRPr="00B364CB">
        <w:rPr>
          <w:color w:val="auto"/>
        </w:rPr>
        <w:t xml:space="preserve">of this </w:t>
      </w:r>
      <w:r w:rsidR="002967E8">
        <w:rPr>
          <w:color w:val="auto"/>
        </w:rPr>
        <w:t>SRIA</w:t>
      </w:r>
      <w:r w:rsidR="00977F32" w:rsidRPr="00B364CB">
        <w:rPr>
          <w:color w:val="auto"/>
        </w:rPr>
        <w:t xml:space="preserve">. </w:t>
      </w:r>
      <w:r w:rsidR="002967E8" w:rsidRPr="00B364CB">
        <w:rPr>
          <w:color w:val="auto"/>
        </w:rPr>
        <w:t xml:space="preserve">This shall help measure how the outcomes of </w:t>
      </w:r>
      <w:r w:rsidR="002967E8">
        <w:t xml:space="preserve">Clean Hydrogen </w:t>
      </w:r>
      <w:r w:rsidR="002967E8" w:rsidRPr="00B364CB">
        <w:rPr>
          <w:color w:val="auto"/>
        </w:rPr>
        <w:t xml:space="preserve">JU’s R&amp;D actions contribute towards the achievements of the technological objectives of each pillar. Moreover, </w:t>
      </w:r>
      <w:r w:rsidR="002967E8" w:rsidRPr="00B364CB">
        <w:rPr>
          <w:color w:val="auto"/>
        </w:rPr>
        <w:lastRenderedPageBreak/>
        <w:t xml:space="preserve">the technology monitoring activity of the </w:t>
      </w:r>
      <w:r w:rsidR="002967E8">
        <w:t xml:space="preserve">Clean Hydrogen </w:t>
      </w:r>
      <w:r w:rsidR="002967E8" w:rsidRPr="00B364CB">
        <w:rPr>
          <w:color w:val="auto"/>
        </w:rPr>
        <w:t xml:space="preserve">JU will support EU policy making by providing timely information on the state-of-the-art and the achievements of the </w:t>
      </w:r>
      <w:r w:rsidR="002967E8">
        <w:t xml:space="preserve">Clean Hydrogen </w:t>
      </w:r>
      <w:r w:rsidR="002967E8" w:rsidRPr="00B364CB">
        <w:rPr>
          <w:color w:val="auto"/>
        </w:rPr>
        <w:t xml:space="preserve">JU. Technology monitoring shall be performed via the knowledge management activities described in Section </w:t>
      </w:r>
      <w:r w:rsidR="002967E8" w:rsidRPr="00B364CB">
        <w:rPr>
          <w:color w:val="auto"/>
        </w:rPr>
        <w:fldChar w:fldCharType="begin"/>
      </w:r>
      <w:r w:rsidR="002967E8" w:rsidRPr="00B364CB">
        <w:rPr>
          <w:color w:val="auto"/>
        </w:rPr>
        <w:instrText xml:space="preserve"> REF _Ref63444048 \r \h  \* MERGEFORMAT </w:instrText>
      </w:r>
      <w:r w:rsidR="002967E8" w:rsidRPr="00B364CB">
        <w:rPr>
          <w:color w:val="auto"/>
        </w:rPr>
      </w:r>
      <w:r w:rsidR="002967E8" w:rsidRPr="00B364CB">
        <w:rPr>
          <w:color w:val="auto"/>
        </w:rPr>
        <w:fldChar w:fldCharType="separate"/>
      </w:r>
      <w:r w:rsidR="002967E8">
        <w:rPr>
          <w:color w:val="auto"/>
        </w:rPr>
        <w:t>4.6</w:t>
      </w:r>
      <w:r w:rsidR="002967E8" w:rsidRPr="00B364CB">
        <w:rPr>
          <w:color w:val="auto"/>
        </w:rPr>
        <w:fldChar w:fldCharType="end"/>
      </w:r>
      <w:r w:rsidR="002967E8" w:rsidRPr="00B364CB">
        <w:rPr>
          <w:color w:val="auto"/>
        </w:rPr>
        <w:t>, supported also by JRC.</w:t>
      </w:r>
    </w:p>
    <w:p w14:paraId="57F95A90" w14:textId="5195A226" w:rsidR="00477B66" w:rsidRDefault="00477B66" w:rsidP="004D7EFF">
      <w:pPr>
        <w:pStyle w:val="MAWP-Bodytext"/>
        <w:rPr>
          <w:color w:val="auto"/>
        </w:rPr>
      </w:pPr>
      <w:r w:rsidRPr="00477B66">
        <w:rPr>
          <w:color w:val="auto"/>
        </w:rPr>
        <w:t xml:space="preserve">The methodology </w:t>
      </w:r>
      <w:r w:rsidR="001038D9">
        <w:rPr>
          <w:color w:val="auto"/>
        </w:rPr>
        <w:t xml:space="preserve">for the selection and definition of the technology KPIs, as well as the identification of the </w:t>
      </w:r>
      <w:r w:rsidRPr="00477B66">
        <w:rPr>
          <w:color w:val="auto"/>
        </w:rPr>
        <w:t xml:space="preserve">SoA and future targets, </w:t>
      </w:r>
      <w:r w:rsidR="001038D9">
        <w:rPr>
          <w:color w:val="auto"/>
        </w:rPr>
        <w:t xml:space="preserve">was performed </w:t>
      </w:r>
      <w:r w:rsidRPr="00477B66">
        <w:rPr>
          <w:color w:val="auto"/>
        </w:rPr>
        <w:t xml:space="preserve">by JRC. The KPIs </w:t>
      </w:r>
      <w:r w:rsidR="001038D9">
        <w:rPr>
          <w:color w:val="auto"/>
        </w:rPr>
        <w:t xml:space="preserve">were defined so that they could </w:t>
      </w:r>
      <w:r w:rsidRPr="00477B66">
        <w:rPr>
          <w:color w:val="auto"/>
        </w:rPr>
        <w:t xml:space="preserve">address specific aspects </w:t>
      </w:r>
      <w:r w:rsidR="001038D9" w:rsidRPr="00477B66">
        <w:rPr>
          <w:color w:val="auto"/>
        </w:rPr>
        <w:t xml:space="preserve">for improvement </w:t>
      </w:r>
      <w:r w:rsidRPr="00477B66">
        <w:rPr>
          <w:color w:val="auto"/>
        </w:rPr>
        <w:t>of technolog</w:t>
      </w:r>
      <w:r w:rsidR="001038D9">
        <w:rPr>
          <w:color w:val="auto"/>
        </w:rPr>
        <w:t>ies</w:t>
      </w:r>
      <w:r w:rsidRPr="00477B66">
        <w:rPr>
          <w:color w:val="auto"/>
        </w:rPr>
        <w:t xml:space="preserve"> or application</w:t>
      </w:r>
      <w:r w:rsidR="001038D9">
        <w:rPr>
          <w:color w:val="auto"/>
        </w:rPr>
        <w:t>s</w:t>
      </w:r>
      <w:r w:rsidRPr="00477B66">
        <w:rPr>
          <w:color w:val="auto"/>
        </w:rPr>
        <w:t xml:space="preserve"> and are aligned with a given objective of the </w:t>
      </w:r>
      <w:r w:rsidR="002967E8">
        <w:rPr>
          <w:color w:val="auto"/>
        </w:rPr>
        <w:t>SRIA</w:t>
      </w:r>
      <w:r w:rsidRPr="00477B66">
        <w:rPr>
          <w:color w:val="auto"/>
        </w:rPr>
        <w:t xml:space="preserve">. They </w:t>
      </w:r>
      <w:r w:rsidR="001038D9">
        <w:rPr>
          <w:color w:val="auto"/>
        </w:rPr>
        <w:t>should</w:t>
      </w:r>
      <w:r w:rsidRPr="00477B66">
        <w:rPr>
          <w:color w:val="auto"/>
        </w:rPr>
        <w:t xml:space="preserve"> be measurable</w:t>
      </w:r>
      <w:r w:rsidR="001038D9">
        <w:rPr>
          <w:color w:val="auto"/>
        </w:rPr>
        <w:t>, while</w:t>
      </w:r>
      <w:r w:rsidRPr="00477B66">
        <w:rPr>
          <w:color w:val="auto"/>
        </w:rPr>
        <w:t xml:space="preserve"> future target values should be realistic, i.e. achievable related to </w:t>
      </w:r>
      <w:r w:rsidR="001038D9">
        <w:rPr>
          <w:color w:val="auto"/>
        </w:rPr>
        <w:t>the P</w:t>
      </w:r>
      <w:r w:rsidRPr="00477B66">
        <w:rPr>
          <w:color w:val="auto"/>
        </w:rPr>
        <w:t xml:space="preserve">rogramme objectives </w:t>
      </w:r>
      <w:r w:rsidR="001038D9">
        <w:rPr>
          <w:color w:val="auto"/>
        </w:rPr>
        <w:t>with</w:t>
      </w:r>
      <w:r w:rsidRPr="00477B66">
        <w:rPr>
          <w:color w:val="auto"/>
        </w:rPr>
        <w:t xml:space="preserve">in the </w:t>
      </w:r>
      <w:r w:rsidR="001038D9">
        <w:rPr>
          <w:color w:val="auto"/>
        </w:rPr>
        <w:t xml:space="preserve">set </w:t>
      </w:r>
      <w:r w:rsidRPr="00477B66">
        <w:rPr>
          <w:color w:val="auto"/>
        </w:rPr>
        <w:t xml:space="preserve">timeframe, considering </w:t>
      </w:r>
      <w:r w:rsidR="001038D9">
        <w:rPr>
          <w:color w:val="auto"/>
        </w:rPr>
        <w:t xml:space="preserve">also </w:t>
      </w:r>
      <w:r w:rsidRPr="00477B66">
        <w:rPr>
          <w:color w:val="auto"/>
        </w:rPr>
        <w:t xml:space="preserve">the </w:t>
      </w:r>
      <w:r w:rsidR="001038D9">
        <w:rPr>
          <w:color w:val="auto"/>
        </w:rPr>
        <w:t xml:space="preserve">available </w:t>
      </w:r>
      <w:r w:rsidRPr="00477B66">
        <w:rPr>
          <w:color w:val="auto"/>
        </w:rPr>
        <w:t>resources</w:t>
      </w:r>
      <w:r>
        <w:rPr>
          <w:color w:val="auto"/>
        </w:rPr>
        <w:t>.</w:t>
      </w:r>
    </w:p>
    <w:p w14:paraId="65BA04C7" w14:textId="4CC58C5F" w:rsidR="00477B66" w:rsidRDefault="00477B66" w:rsidP="004D7EFF">
      <w:pPr>
        <w:pStyle w:val="MAWP-Bodytext"/>
        <w:rPr>
          <w:color w:val="auto"/>
        </w:rPr>
      </w:pPr>
      <w:r w:rsidRPr="00477B66">
        <w:rPr>
          <w:color w:val="auto"/>
        </w:rPr>
        <w:t>The process of setting the KPI</w:t>
      </w:r>
      <w:r w:rsidR="001038D9">
        <w:rPr>
          <w:color w:val="auto"/>
        </w:rPr>
        <w:t>s</w:t>
      </w:r>
      <w:r w:rsidRPr="00477B66">
        <w:rPr>
          <w:color w:val="auto"/>
        </w:rPr>
        <w:t xml:space="preserve"> </w:t>
      </w:r>
      <w:r w:rsidR="001038D9">
        <w:rPr>
          <w:color w:val="auto"/>
        </w:rPr>
        <w:t>was</w:t>
      </w:r>
      <w:r w:rsidRPr="00477B66">
        <w:rPr>
          <w:color w:val="auto"/>
        </w:rPr>
        <w:t xml:space="preserve"> coordinated by the Programme Office and mobilized several working groups composed of experts from industry and research organizations designated by Hydrogen Europe and Hydrogen Europe Research. Each working group corresponding to a specific pillar of the </w:t>
      </w:r>
      <w:r w:rsidR="002967E8">
        <w:rPr>
          <w:color w:val="auto"/>
        </w:rPr>
        <w:t>SRIA</w:t>
      </w:r>
      <w:r w:rsidRPr="00477B66">
        <w:rPr>
          <w:color w:val="auto"/>
        </w:rPr>
        <w:t xml:space="preserve"> followed the same methodology to evaluate the SoA </w:t>
      </w:r>
      <w:r w:rsidR="001008DE">
        <w:rPr>
          <w:color w:val="auto"/>
        </w:rPr>
        <w:t xml:space="preserve">in 2020 </w:t>
      </w:r>
      <w:r w:rsidRPr="00477B66">
        <w:rPr>
          <w:color w:val="auto"/>
        </w:rPr>
        <w:t>and set the KPIs</w:t>
      </w:r>
      <w:r w:rsidR="001008DE">
        <w:rPr>
          <w:color w:val="auto"/>
        </w:rPr>
        <w:t xml:space="preserve"> targets for the years</w:t>
      </w:r>
      <w:r w:rsidRPr="00477B66">
        <w:rPr>
          <w:color w:val="auto"/>
        </w:rPr>
        <w:t xml:space="preserve"> 2024 and 2030. </w:t>
      </w:r>
    </w:p>
    <w:p w14:paraId="7916ABDE" w14:textId="0122FBEA" w:rsidR="001008DE" w:rsidRDefault="00477B66" w:rsidP="004D7EFF">
      <w:pPr>
        <w:pStyle w:val="MAWP-Bodytext"/>
        <w:rPr>
          <w:color w:val="auto"/>
        </w:rPr>
      </w:pPr>
      <w:r w:rsidRPr="00477B66">
        <w:rPr>
          <w:color w:val="auto"/>
        </w:rPr>
        <w:t>The methodology was based on draft forms</w:t>
      </w:r>
      <w:r>
        <w:rPr>
          <w:color w:val="auto"/>
        </w:rPr>
        <w:t xml:space="preserve"> </w:t>
      </w:r>
      <w:r w:rsidRPr="00477B66">
        <w:rPr>
          <w:color w:val="auto"/>
        </w:rPr>
        <w:t xml:space="preserve">including a clear definition of the KPIs, the boundary conditions and the sources of the data to ensure </w:t>
      </w:r>
      <w:r w:rsidR="008940A0">
        <w:rPr>
          <w:color w:val="auto"/>
        </w:rPr>
        <w:t xml:space="preserve">full </w:t>
      </w:r>
      <w:r w:rsidRPr="00477B66">
        <w:rPr>
          <w:color w:val="auto"/>
        </w:rPr>
        <w:t>transparency and traceability. T</w:t>
      </w:r>
      <w:r w:rsidR="001008DE">
        <w:rPr>
          <w:color w:val="auto"/>
        </w:rPr>
        <w:t>he SoA was</w:t>
      </w:r>
      <w:r w:rsidRPr="00477B66">
        <w:rPr>
          <w:color w:val="auto"/>
        </w:rPr>
        <w:t xml:space="preserve"> well-documented, with </w:t>
      </w:r>
      <w:r w:rsidR="008940A0">
        <w:rPr>
          <w:color w:val="auto"/>
        </w:rPr>
        <w:t>all</w:t>
      </w:r>
      <w:r w:rsidRPr="00477B66">
        <w:rPr>
          <w:color w:val="auto"/>
        </w:rPr>
        <w:t xml:space="preserve"> associated references, and </w:t>
      </w:r>
      <w:r w:rsidR="008940A0">
        <w:rPr>
          <w:color w:val="auto"/>
        </w:rPr>
        <w:t>a justification</w:t>
      </w:r>
      <w:r w:rsidR="001008DE">
        <w:rPr>
          <w:color w:val="auto"/>
        </w:rPr>
        <w:t xml:space="preserve"> was</w:t>
      </w:r>
      <w:r w:rsidRPr="00477B66">
        <w:rPr>
          <w:color w:val="auto"/>
        </w:rPr>
        <w:t xml:space="preserve"> provided </w:t>
      </w:r>
      <w:r w:rsidR="008940A0">
        <w:rPr>
          <w:color w:val="auto"/>
        </w:rPr>
        <w:t xml:space="preserve">on </w:t>
      </w:r>
      <w:r w:rsidRPr="00477B66">
        <w:rPr>
          <w:color w:val="auto"/>
        </w:rPr>
        <w:t xml:space="preserve">how the future targets </w:t>
      </w:r>
      <w:r w:rsidR="008940A0">
        <w:rPr>
          <w:color w:val="auto"/>
        </w:rPr>
        <w:t xml:space="preserve">were </w:t>
      </w:r>
      <w:r w:rsidRPr="00477B66">
        <w:rPr>
          <w:color w:val="auto"/>
        </w:rPr>
        <w:t xml:space="preserve">agreed </w:t>
      </w:r>
      <w:r w:rsidR="008940A0">
        <w:rPr>
          <w:color w:val="auto"/>
        </w:rPr>
        <w:t xml:space="preserve">during the </w:t>
      </w:r>
      <w:r w:rsidRPr="00477B66">
        <w:rPr>
          <w:color w:val="auto"/>
        </w:rPr>
        <w:t>exercise. The sources included market surveys, literature reviews, expert opinions, data provided by OEMs either through field measurements or model calculation, learning curve</w:t>
      </w:r>
      <w:r w:rsidR="008940A0">
        <w:rPr>
          <w:color w:val="auto"/>
        </w:rPr>
        <w:t>s</w:t>
      </w:r>
      <w:r w:rsidRPr="00477B66">
        <w:rPr>
          <w:color w:val="auto"/>
        </w:rPr>
        <w:t xml:space="preserve">, etc. </w:t>
      </w:r>
      <w:r w:rsidR="008940A0">
        <w:rPr>
          <w:color w:val="auto"/>
        </w:rPr>
        <w:t xml:space="preserve">Moreover, </w:t>
      </w:r>
      <w:r w:rsidR="001008DE" w:rsidRPr="00477B66">
        <w:rPr>
          <w:color w:val="auto"/>
        </w:rPr>
        <w:t>FCH technologies are often co-existing or competing with incumbent technologies. Hence</w:t>
      </w:r>
      <w:r w:rsidR="008940A0">
        <w:rPr>
          <w:color w:val="auto"/>
        </w:rPr>
        <w:t>,</w:t>
      </w:r>
      <w:r w:rsidR="001008DE" w:rsidRPr="00477B66">
        <w:rPr>
          <w:color w:val="auto"/>
        </w:rPr>
        <w:t xml:space="preserve"> </w:t>
      </w:r>
      <w:r w:rsidR="001008DE">
        <w:rPr>
          <w:color w:val="auto"/>
        </w:rPr>
        <w:t xml:space="preserve">when </w:t>
      </w:r>
      <w:r w:rsidR="001008DE" w:rsidRPr="00477B66">
        <w:rPr>
          <w:color w:val="auto"/>
        </w:rPr>
        <w:t>defining KPIs, establishing SoA values and setting targets</w:t>
      </w:r>
      <w:r w:rsidR="00E16ED2">
        <w:rPr>
          <w:color w:val="auto"/>
        </w:rPr>
        <w:t>,</w:t>
      </w:r>
      <w:r w:rsidR="001008DE" w:rsidRPr="00477B66">
        <w:rPr>
          <w:color w:val="auto"/>
        </w:rPr>
        <w:t xml:space="preserve"> the related performance of other technologies against th</w:t>
      </w:r>
      <w:r w:rsidR="008940A0">
        <w:rPr>
          <w:color w:val="auto"/>
        </w:rPr>
        <w:t>e</w:t>
      </w:r>
      <w:r w:rsidR="001008DE" w:rsidRPr="00477B66">
        <w:rPr>
          <w:color w:val="auto"/>
        </w:rPr>
        <w:t>s</w:t>
      </w:r>
      <w:r w:rsidR="008940A0">
        <w:rPr>
          <w:color w:val="auto"/>
        </w:rPr>
        <w:t>e</w:t>
      </w:r>
      <w:r w:rsidR="001008DE" w:rsidRPr="00477B66">
        <w:rPr>
          <w:color w:val="auto"/>
        </w:rPr>
        <w:t xml:space="preserve"> KPI</w:t>
      </w:r>
      <w:r w:rsidR="008940A0">
        <w:rPr>
          <w:color w:val="auto"/>
        </w:rPr>
        <w:t>s</w:t>
      </w:r>
      <w:r w:rsidR="001008DE" w:rsidRPr="00477B66">
        <w:rPr>
          <w:color w:val="auto"/>
        </w:rPr>
        <w:t xml:space="preserve"> </w:t>
      </w:r>
      <w:r w:rsidR="001008DE">
        <w:rPr>
          <w:color w:val="auto"/>
        </w:rPr>
        <w:t xml:space="preserve">was also considered </w:t>
      </w:r>
      <w:r w:rsidR="001008DE" w:rsidRPr="00477B66">
        <w:rPr>
          <w:color w:val="auto"/>
        </w:rPr>
        <w:t>in order to be relevant and appropriate.</w:t>
      </w:r>
    </w:p>
    <w:p w14:paraId="78169E40" w14:textId="4993801B" w:rsidR="0095305F" w:rsidRPr="0009799D" w:rsidRDefault="0095305F" w:rsidP="0095305F">
      <w:pPr>
        <w:pStyle w:val="MAWP-Bodytext"/>
        <w:rPr>
          <w:i/>
          <w:iCs/>
          <w:color w:val="auto"/>
        </w:rPr>
      </w:pPr>
      <w:r>
        <w:rPr>
          <w:i/>
          <w:iCs/>
          <w:color w:val="auto"/>
        </w:rPr>
        <w:t>E. Financial Performance monitoring and reporting</w:t>
      </w:r>
    </w:p>
    <w:p w14:paraId="0B6FFC0C" w14:textId="0182966F" w:rsidR="00785823" w:rsidRPr="00B364CB" w:rsidRDefault="00785823" w:rsidP="00785823">
      <w:pPr>
        <w:pStyle w:val="MAWP-Bodytext"/>
        <w:rPr>
          <w:color w:val="auto"/>
        </w:rPr>
      </w:pPr>
      <w:r w:rsidRPr="00B364CB">
        <w:rPr>
          <w:color w:val="auto"/>
        </w:rPr>
        <w:t>The ED will report annually on the actions carried out and the corresponding expenditure, the proposals submitted, including breakdown per participant type, SMEs and country distribution, the actions selected for funding, the additional activities undertaken by its members other than the Union and the collaboration and synergies with other partnerships as well as national and regional initiatives</w:t>
      </w:r>
      <w:r w:rsidRPr="00B364CB">
        <w:rPr>
          <w:rStyle w:val="FootnoteReference"/>
          <w:color w:val="auto"/>
        </w:rPr>
        <w:footnoteReference w:id="262"/>
      </w:r>
      <w:r w:rsidRPr="00B364CB">
        <w:rPr>
          <w:color w:val="auto"/>
        </w:rPr>
        <w:t xml:space="preserve">.  </w:t>
      </w:r>
    </w:p>
    <w:p w14:paraId="622514AD" w14:textId="4FBBCC63" w:rsidR="00785823" w:rsidRPr="00B364CB" w:rsidRDefault="00785823" w:rsidP="00785823">
      <w:pPr>
        <w:pStyle w:val="MAWP-Bodytext"/>
        <w:rPr>
          <w:color w:val="auto"/>
        </w:rPr>
      </w:pPr>
      <w:r w:rsidRPr="00B364CB">
        <w:rPr>
          <w:color w:val="auto"/>
        </w:rPr>
        <w:t xml:space="preserve">Furthermore, the </w:t>
      </w:r>
      <w:r w:rsidR="007B70F5">
        <w:t xml:space="preserve">Clean Hydrogen </w:t>
      </w:r>
      <w:r w:rsidRPr="00B364CB">
        <w:rPr>
          <w:color w:val="auto"/>
        </w:rPr>
        <w:t xml:space="preserve">JU </w:t>
      </w:r>
      <w:r w:rsidR="003A0FE0">
        <w:rPr>
          <w:color w:val="auto"/>
        </w:rPr>
        <w:t xml:space="preserve">PO </w:t>
      </w:r>
      <w:r w:rsidRPr="00B364CB">
        <w:rPr>
          <w:color w:val="auto"/>
        </w:rPr>
        <w:t>will prepare annually the accounts and the report on budgetary and financial management</w:t>
      </w:r>
      <w:r w:rsidRPr="00B364CB">
        <w:rPr>
          <w:rStyle w:val="FootnoteReference"/>
          <w:color w:val="auto"/>
        </w:rPr>
        <w:footnoteReference w:id="263"/>
      </w:r>
      <w:r w:rsidRPr="00B364CB">
        <w:rPr>
          <w:color w:val="auto"/>
        </w:rPr>
        <w:t>.</w:t>
      </w:r>
    </w:p>
    <w:p w14:paraId="43971327" w14:textId="77777777" w:rsidR="00785823" w:rsidRPr="00B364CB" w:rsidRDefault="00785823" w:rsidP="00785823">
      <w:pPr>
        <w:pStyle w:val="MAWP-Bodytext"/>
        <w:rPr>
          <w:color w:val="auto"/>
        </w:rPr>
      </w:pPr>
      <w:r w:rsidRPr="00B364CB">
        <w:rPr>
          <w:color w:val="auto"/>
        </w:rPr>
        <w:t>The ED will also monitor and report regularly to the GB on the level of in-kind contributions to operational activities and the progress in achieving the targets and will propose measures to remedy if necessary</w:t>
      </w:r>
      <w:r w:rsidRPr="00B364CB">
        <w:rPr>
          <w:rStyle w:val="FootnoteReference"/>
          <w:color w:val="auto"/>
        </w:rPr>
        <w:footnoteReference w:id="264"/>
      </w:r>
      <w:r w:rsidRPr="00B364CB">
        <w:rPr>
          <w:color w:val="auto"/>
        </w:rPr>
        <w:t>.</w:t>
      </w:r>
    </w:p>
    <w:p w14:paraId="15C6A500" w14:textId="33E10AA4" w:rsidR="00785823" w:rsidRPr="00637F43" w:rsidRDefault="00785823" w:rsidP="00785823">
      <w:pPr>
        <w:pStyle w:val="MAWP-Bodytext"/>
        <w:rPr>
          <w:color w:val="auto"/>
        </w:rPr>
      </w:pPr>
      <w:r w:rsidRPr="00B364CB">
        <w:rPr>
          <w:color w:val="auto"/>
        </w:rPr>
        <w:t xml:space="preserve">The private Members of </w:t>
      </w:r>
      <w:r w:rsidRPr="00637F43">
        <w:rPr>
          <w:color w:val="auto"/>
        </w:rPr>
        <w:t xml:space="preserve">the </w:t>
      </w:r>
      <w:r w:rsidR="007B70F5">
        <w:t xml:space="preserve">Clean Hydrogen </w:t>
      </w:r>
      <w:r w:rsidRPr="00637F43">
        <w:rPr>
          <w:color w:val="auto"/>
        </w:rPr>
        <w:t>JU shall report each year by 31</w:t>
      </w:r>
      <w:r w:rsidRPr="00637F43">
        <w:rPr>
          <w:color w:val="auto"/>
          <w:vertAlign w:val="superscript"/>
        </w:rPr>
        <w:t>st</w:t>
      </w:r>
      <w:r w:rsidRPr="00637F43">
        <w:rPr>
          <w:color w:val="auto"/>
        </w:rPr>
        <w:t xml:space="preserve"> of </w:t>
      </w:r>
      <w:r w:rsidR="00A37C98">
        <w:rPr>
          <w:color w:val="auto"/>
        </w:rPr>
        <w:t>May</w:t>
      </w:r>
      <w:r w:rsidR="00A37C98" w:rsidRPr="00637F43">
        <w:rPr>
          <w:color w:val="auto"/>
        </w:rPr>
        <w:t xml:space="preserve"> </w:t>
      </w:r>
      <w:r w:rsidRPr="00637F43">
        <w:rPr>
          <w:color w:val="auto"/>
        </w:rPr>
        <w:t xml:space="preserve">to the </w:t>
      </w:r>
      <w:r w:rsidR="00720C21" w:rsidRPr="00637F43">
        <w:rPr>
          <w:color w:val="auto"/>
        </w:rPr>
        <w:t>GB</w:t>
      </w:r>
      <w:r w:rsidRPr="00637F43">
        <w:rPr>
          <w:color w:val="auto"/>
        </w:rPr>
        <w:t xml:space="preserve"> on the estimated value of the in-kind contributions to additional activities incurred during the previous financial year.</w:t>
      </w:r>
      <w:r w:rsidRPr="00637F43">
        <w:rPr>
          <w:rStyle w:val="FootnoteReference"/>
          <w:color w:val="auto"/>
        </w:rPr>
        <w:footnoteReference w:id="265"/>
      </w:r>
    </w:p>
    <w:p w14:paraId="495D31CA" w14:textId="5423482E" w:rsidR="00785823" w:rsidRPr="00B364CB" w:rsidRDefault="00785823" w:rsidP="004D7EFF">
      <w:pPr>
        <w:pStyle w:val="MAWP-Bodytext"/>
        <w:rPr>
          <w:rStyle w:val="MAWPTitle"/>
          <w:b/>
          <w:bCs w:val="0"/>
          <w:lang w:val="en-GB"/>
        </w:rPr>
      </w:pPr>
      <w:r w:rsidRPr="00637F43">
        <w:rPr>
          <w:color w:val="auto"/>
        </w:rPr>
        <w:t xml:space="preserve">In addition, the </w:t>
      </w:r>
      <w:r w:rsidR="007B70F5">
        <w:t xml:space="preserve">Clean Hydrogen </w:t>
      </w:r>
      <w:r w:rsidRPr="00637F43">
        <w:rPr>
          <w:color w:val="auto"/>
        </w:rPr>
        <w:t xml:space="preserve">JU will carry out periodic reviews of its activities in line with </w:t>
      </w:r>
      <w:r w:rsidRPr="00E4788A">
        <w:rPr>
          <w:color w:val="auto"/>
        </w:rPr>
        <w:t>Art.171.7 of the SBA.</w:t>
      </w:r>
      <w:bookmarkStart w:id="265" w:name="_Toc64978370"/>
      <w:bookmarkStart w:id="266" w:name="_Toc66888468"/>
      <w:r w:rsidRPr="00B364CB">
        <w:rPr>
          <w:rStyle w:val="MAWPTitle"/>
          <w:lang w:val="en-GB"/>
        </w:rPr>
        <w:br w:type="page"/>
      </w:r>
    </w:p>
    <w:p w14:paraId="2C3957F4" w14:textId="5DB37A06" w:rsidR="00785823" w:rsidRPr="00B364CB" w:rsidRDefault="00785823" w:rsidP="00785823">
      <w:pPr>
        <w:pStyle w:val="MAWPHeadingStyle1"/>
        <w:rPr>
          <w:rStyle w:val="MAWPTitle"/>
          <w:lang w:val="en-GB"/>
        </w:rPr>
      </w:pPr>
      <w:bookmarkStart w:id="267" w:name="_Toc93907370"/>
      <w:r w:rsidRPr="00B364CB">
        <w:rPr>
          <w:rStyle w:val="MAWPTitle"/>
          <w:lang w:val="en-GB"/>
        </w:rPr>
        <w:lastRenderedPageBreak/>
        <w:t>Modern Administration</w:t>
      </w:r>
      <w:bookmarkStart w:id="268" w:name="_Toc64978371"/>
      <w:bookmarkEnd w:id="265"/>
      <w:bookmarkEnd w:id="266"/>
      <w:bookmarkEnd w:id="267"/>
    </w:p>
    <w:p w14:paraId="2EEFE916" w14:textId="319E2AD4" w:rsidR="00785823" w:rsidRPr="00B364CB" w:rsidRDefault="000466BB" w:rsidP="006802D3">
      <w:pPr>
        <w:pStyle w:val="Subtitle"/>
      </w:pPr>
      <w:bookmarkStart w:id="269" w:name="_Toc66888469"/>
      <w:bookmarkStart w:id="270" w:name="_Toc93907371"/>
      <w:r w:rsidRPr="00B364CB">
        <w:t>Objective of h</w:t>
      </w:r>
      <w:r w:rsidR="00785823" w:rsidRPr="00B364CB">
        <w:t>uman resource management</w:t>
      </w:r>
      <w:bookmarkEnd w:id="268"/>
      <w:bookmarkEnd w:id="269"/>
      <w:bookmarkEnd w:id="270"/>
    </w:p>
    <w:p w14:paraId="44CDADDF" w14:textId="2896FCE0" w:rsidR="00785823" w:rsidRPr="00B364CB" w:rsidRDefault="00785823" w:rsidP="00785823">
      <w:pPr>
        <w:pStyle w:val="MAWP-Bodytext"/>
        <w:rPr>
          <w:color w:val="auto"/>
          <w:lang w:eastAsia="en-US"/>
        </w:rPr>
      </w:pPr>
      <w:bookmarkStart w:id="271" w:name="_Hlk93677793"/>
      <w:r w:rsidRPr="00B364CB">
        <w:rPr>
          <w:color w:val="auto"/>
          <w:lang w:eastAsia="en-US"/>
        </w:rPr>
        <w:t xml:space="preserve">Clean Hydrogen JU ensures an effective management of human resources aiming to optimise the capacity to deliver on the </w:t>
      </w:r>
      <w:r w:rsidR="007B70F5">
        <w:t xml:space="preserve">Clean Hydrogen </w:t>
      </w:r>
      <w:r w:rsidRPr="00B364CB">
        <w:rPr>
          <w:color w:val="auto"/>
          <w:lang w:eastAsia="en-US"/>
        </w:rPr>
        <w:t>JU’s objectives and core business.</w:t>
      </w:r>
    </w:p>
    <w:p w14:paraId="2194210A" w14:textId="1890D560" w:rsidR="00785823" w:rsidRPr="00B364CB" w:rsidRDefault="00785823" w:rsidP="00785823">
      <w:pPr>
        <w:pStyle w:val="MAWP-Bodytext"/>
        <w:rPr>
          <w:color w:val="auto"/>
          <w:lang w:eastAsia="en-US"/>
        </w:rPr>
      </w:pPr>
      <w:r w:rsidRPr="00B364CB">
        <w:rPr>
          <w:color w:val="auto"/>
          <w:lang w:eastAsia="en-US"/>
        </w:rPr>
        <w:t xml:space="preserve">The </w:t>
      </w:r>
      <w:r w:rsidR="007B70F5">
        <w:t xml:space="preserve">Clean Hydrogen </w:t>
      </w:r>
      <w:r w:rsidRPr="00B364CB">
        <w:rPr>
          <w:color w:val="auto"/>
          <w:lang w:eastAsia="en-US"/>
        </w:rPr>
        <w:t>JU relies on a performance culture in which staff is motivated and can deliver work of a consistently high quality, adding value.</w:t>
      </w:r>
    </w:p>
    <w:p w14:paraId="4AC43055" w14:textId="20B64D12" w:rsidR="00785823" w:rsidRPr="00B364CB" w:rsidRDefault="00785823" w:rsidP="006802D3">
      <w:pPr>
        <w:pStyle w:val="Subtitle"/>
      </w:pPr>
      <w:bookmarkStart w:id="272" w:name="_Toc93907372"/>
      <w:bookmarkEnd w:id="271"/>
      <w:r w:rsidRPr="00B364CB">
        <w:t xml:space="preserve">Main principles of the human resources management of the </w:t>
      </w:r>
      <w:r w:rsidR="007B70F5">
        <w:t xml:space="preserve">Clean Hydrogen </w:t>
      </w:r>
      <w:r w:rsidRPr="00B364CB">
        <w:t>JU</w:t>
      </w:r>
      <w:bookmarkEnd w:id="272"/>
      <w:r w:rsidRPr="00B364CB">
        <w:t xml:space="preserve"> </w:t>
      </w:r>
    </w:p>
    <w:p w14:paraId="637F1374" w14:textId="0D9A1A24" w:rsidR="00785823" w:rsidRPr="00B364CB" w:rsidRDefault="00785823" w:rsidP="00785823">
      <w:pPr>
        <w:pStyle w:val="MAWP-Bodytext"/>
        <w:rPr>
          <w:color w:val="auto"/>
          <w:lang w:eastAsia="en-US"/>
        </w:rPr>
      </w:pPr>
      <w:bookmarkStart w:id="273" w:name="_Hlk93677939"/>
      <w:r w:rsidRPr="00B364CB">
        <w:rPr>
          <w:color w:val="auto"/>
          <w:lang w:eastAsia="en-US"/>
        </w:rPr>
        <w:t xml:space="preserve">The </w:t>
      </w:r>
      <w:r w:rsidR="007B70F5">
        <w:t xml:space="preserve">Clean Hydrogen </w:t>
      </w:r>
      <w:r w:rsidRPr="00B364CB">
        <w:rPr>
          <w:color w:val="auto"/>
          <w:lang w:eastAsia="en-US"/>
        </w:rPr>
        <w:t xml:space="preserve">JU will ensure its organisational structure and staff allocation is adapted to its needs and priorities, allocating staff efficiently taking into account the talent and potential of staff and workload issues. </w:t>
      </w:r>
      <w:bookmarkEnd w:id="273"/>
      <w:r w:rsidRPr="00B364CB">
        <w:rPr>
          <w:color w:val="auto"/>
          <w:lang w:eastAsia="en-US"/>
        </w:rPr>
        <w:t>It will pay special attention to staff development and to implementing new effective ways of working.</w:t>
      </w:r>
    </w:p>
    <w:p w14:paraId="1D1A3C88" w14:textId="0713482C" w:rsidR="00785823" w:rsidRPr="00B364CB" w:rsidRDefault="00785823" w:rsidP="00785823">
      <w:pPr>
        <w:pStyle w:val="MAWP-Bodytext"/>
        <w:rPr>
          <w:color w:val="auto"/>
          <w:lang w:eastAsia="en-US"/>
        </w:rPr>
      </w:pPr>
      <w:r w:rsidRPr="00B364CB">
        <w:rPr>
          <w:color w:val="auto"/>
          <w:lang w:eastAsia="en-US"/>
        </w:rPr>
        <w:t xml:space="preserve">The </w:t>
      </w:r>
      <w:r w:rsidR="007B70F5">
        <w:t xml:space="preserve">Clean Hydrogen </w:t>
      </w:r>
      <w:r w:rsidRPr="00B364CB">
        <w:rPr>
          <w:color w:val="auto"/>
          <w:lang w:eastAsia="en-US"/>
        </w:rPr>
        <w:t xml:space="preserve">JU will foster modern working methods. The feeling of belonging to the </w:t>
      </w:r>
      <w:r w:rsidR="007B70F5">
        <w:t xml:space="preserve">Clean Hydrogen </w:t>
      </w:r>
      <w:r w:rsidRPr="00B364CB">
        <w:rPr>
          <w:color w:val="auto"/>
          <w:lang w:eastAsia="en-US"/>
        </w:rPr>
        <w:t>JU and of solidarity among colleagues is also crucial. It will build on the momentum and revive the principles of the FCH culture. It will also prioriti</w:t>
      </w:r>
      <w:r w:rsidR="00B776E1" w:rsidRPr="00B364CB">
        <w:rPr>
          <w:color w:val="auto"/>
          <w:lang w:eastAsia="en-US"/>
        </w:rPr>
        <w:t>s</w:t>
      </w:r>
      <w:r w:rsidRPr="00B364CB">
        <w:rPr>
          <w:color w:val="auto"/>
          <w:lang w:eastAsia="en-US"/>
        </w:rPr>
        <w:t xml:space="preserve">e digitalisation in HR processes through further modules of the EC tool SYSPER when available to the </w:t>
      </w:r>
      <w:r w:rsidR="007B70F5">
        <w:t xml:space="preserve">Clean Hydrogen </w:t>
      </w:r>
      <w:r w:rsidRPr="00B364CB">
        <w:rPr>
          <w:color w:val="auto"/>
          <w:lang w:eastAsia="en-US"/>
        </w:rPr>
        <w:t>JU, adoption of MIPS (EC mission tool), implementation of SYSTAL (recruitment tool contracted and developed jointly with other JUs).</w:t>
      </w:r>
    </w:p>
    <w:p w14:paraId="1290FCC2" w14:textId="77777777" w:rsidR="00785823" w:rsidRPr="00B364CB" w:rsidRDefault="00785823" w:rsidP="00785823">
      <w:pPr>
        <w:pStyle w:val="MAWP-Bodytext"/>
        <w:rPr>
          <w:color w:val="auto"/>
          <w:lang w:eastAsia="en-US"/>
        </w:rPr>
      </w:pPr>
      <w:r w:rsidRPr="00B364CB">
        <w:rPr>
          <w:color w:val="auto"/>
          <w:lang w:eastAsia="en-US"/>
        </w:rPr>
        <w:t>Diversity aiming at ensuring geographical balance where possible and gender balance will be important considerations in selection procedures, without compromising competency-related criteria.</w:t>
      </w:r>
    </w:p>
    <w:p w14:paraId="5F3D5FAA" w14:textId="7690F3E2" w:rsidR="00785823" w:rsidRPr="00B364CB" w:rsidRDefault="00785823" w:rsidP="00785823">
      <w:pPr>
        <w:pStyle w:val="MAWP-Bodytext"/>
        <w:rPr>
          <w:color w:val="auto"/>
          <w:lang w:eastAsia="en-US"/>
        </w:rPr>
      </w:pPr>
      <w:r w:rsidRPr="00B364CB">
        <w:rPr>
          <w:color w:val="auto"/>
          <w:lang w:eastAsia="en-US"/>
        </w:rPr>
        <w:t>Attention will also be paid to leadership development actions aimed at fostering a strong and inspiring management adapted to the new working environment.  Engagement and wellbeing efforts will continue by implementing various actions (workshops, events, coaching</w:t>
      </w:r>
      <w:r w:rsidR="00720C21" w:rsidRPr="00B364CB">
        <w:rPr>
          <w:color w:val="auto"/>
          <w:lang w:eastAsia="en-US"/>
        </w:rPr>
        <w:t xml:space="preserve">, etc) </w:t>
      </w:r>
      <w:r w:rsidRPr="00B364CB">
        <w:rPr>
          <w:color w:val="auto"/>
          <w:lang w:eastAsia="en-US"/>
        </w:rPr>
        <w:t>and will be measured by periodic staff surveys.</w:t>
      </w:r>
    </w:p>
    <w:p w14:paraId="508BD7A5" w14:textId="31E92F45" w:rsidR="00785823" w:rsidRPr="00B364CB" w:rsidRDefault="00785823" w:rsidP="00785823">
      <w:pPr>
        <w:pStyle w:val="MAWP-Bodytext"/>
        <w:rPr>
          <w:color w:val="auto"/>
          <w:lang w:eastAsia="en-US"/>
        </w:rPr>
      </w:pPr>
      <w:r w:rsidRPr="00B364CB">
        <w:rPr>
          <w:color w:val="auto"/>
          <w:lang w:eastAsia="en-US"/>
        </w:rPr>
        <w:t>Internal communication play an important role in staff management and staff engagement. Actions will include modernising and enhancing the intranet and the ways of communicating both through established channels (meetings, information sessions</w:t>
      </w:r>
      <w:r w:rsidR="00720C21" w:rsidRPr="00B364CB">
        <w:rPr>
          <w:color w:val="auto"/>
          <w:lang w:eastAsia="en-US"/>
        </w:rPr>
        <w:t>, etc</w:t>
      </w:r>
      <w:r w:rsidRPr="00B364CB">
        <w:rPr>
          <w:color w:val="auto"/>
          <w:lang w:eastAsia="en-US"/>
        </w:rPr>
        <w:t>) and through new tools (for example O365 package).</w:t>
      </w:r>
    </w:p>
    <w:p w14:paraId="1FDCBB72" w14:textId="3B09966D" w:rsidR="00785823" w:rsidRPr="00B364CB" w:rsidRDefault="00785823" w:rsidP="006802D3">
      <w:pPr>
        <w:pStyle w:val="Subtitle"/>
      </w:pPr>
      <w:bookmarkStart w:id="274" w:name="_Toc93907373"/>
      <w:r w:rsidRPr="00B364CB">
        <w:t xml:space="preserve">Staff establishment plan and human resources policy of the </w:t>
      </w:r>
      <w:r w:rsidR="007B70F5">
        <w:t xml:space="preserve">Clean Hydrogen </w:t>
      </w:r>
      <w:r w:rsidRPr="00B364CB">
        <w:t>JU</w:t>
      </w:r>
      <w:bookmarkEnd w:id="274"/>
    </w:p>
    <w:p w14:paraId="62D7576D" w14:textId="67B445D4" w:rsidR="00785823" w:rsidRPr="00B364CB" w:rsidRDefault="00785823" w:rsidP="00785823">
      <w:pPr>
        <w:pStyle w:val="MAWP-Bodytext"/>
        <w:rPr>
          <w:color w:val="auto"/>
          <w:lang w:eastAsia="en-US"/>
        </w:rPr>
      </w:pPr>
      <w:r w:rsidRPr="00B364CB">
        <w:rPr>
          <w:color w:val="auto"/>
          <w:lang w:eastAsia="en-US"/>
        </w:rPr>
        <w:t xml:space="preserve">The staff establishment plan of the </w:t>
      </w:r>
      <w:r w:rsidR="007B70F5">
        <w:t xml:space="preserve">Clean Hydrogen </w:t>
      </w:r>
      <w:r w:rsidRPr="00B364CB">
        <w:rPr>
          <w:color w:val="auto"/>
          <w:lang w:eastAsia="en-US"/>
        </w:rPr>
        <w:t>JU comprises temporary agents, contract agents and seconded national experts.</w:t>
      </w:r>
      <w:r w:rsidR="00720C21" w:rsidRPr="00B364CB">
        <w:rPr>
          <w:color w:val="auto"/>
          <w:lang w:eastAsia="en-US"/>
        </w:rPr>
        <w:t xml:space="preserve"> </w:t>
      </w:r>
      <w:r w:rsidRPr="00B364CB">
        <w:rPr>
          <w:color w:val="auto"/>
          <w:lang w:eastAsia="en-US"/>
        </w:rPr>
        <w:t>Other staff resources may include interim staff, trainees and structural service providers.</w:t>
      </w:r>
    </w:p>
    <w:p w14:paraId="7A41D7EC" w14:textId="02C328AF" w:rsidR="00785823" w:rsidRDefault="00785823" w:rsidP="00785823">
      <w:pPr>
        <w:pStyle w:val="MAWP-Bodytext"/>
        <w:rPr>
          <w:color w:val="auto"/>
          <w:lang w:eastAsia="en-US"/>
        </w:rPr>
      </w:pPr>
      <w:r w:rsidRPr="00B364CB">
        <w:rPr>
          <w:color w:val="auto"/>
          <w:lang w:eastAsia="en-US"/>
        </w:rPr>
        <w:t>The human resources policy of the</w:t>
      </w:r>
      <w:r w:rsidR="007B70F5" w:rsidRPr="007B70F5">
        <w:t xml:space="preserve"> </w:t>
      </w:r>
      <w:r w:rsidR="007B70F5">
        <w:t>Clean Hydrogen</w:t>
      </w:r>
      <w:r w:rsidRPr="00B364CB">
        <w:rPr>
          <w:color w:val="auto"/>
          <w:lang w:eastAsia="en-US"/>
        </w:rPr>
        <w:t xml:space="preserve"> JU will be implemented in accordance with SBA, the Staff regulations and conditions of employment of other agents of the EU and the related implementing rules adopted by the </w:t>
      </w:r>
      <w:r w:rsidR="00720C21" w:rsidRPr="00B364CB">
        <w:rPr>
          <w:color w:val="auto"/>
          <w:lang w:eastAsia="en-US"/>
        </w:rPr>
        <w:t xml:space="preserve">GB </w:t>
      </w:r>
      <w:r w:rsidRPr="00B364CB">
        <w:rPr>
          <w:color w:val="auto"/>
          <w:lang w:eastAsia="en-US"/>
        </w:rPr>
        <w:t xml:space="preserve">of the </w:t>
      </w:r>
      <w:r w:rsidR="007B70F5">
        <w:t xml:space="preserve">Clean Hydrogen </w:t>
      </w:r>
      <w:r w:rsidRPr="00B364CB">
        <w:rPr>
          <w:color w:val="auto"/>
          <w:lang w:eastAsia="en-US"/>
        </w:rPr>
        <w:t>JU.</w:t>
      </w:r>
    </w:p>
    <w:p w14:paraId="38B08543" w14:textId="77777777" w:rsidR="00E76BB3" w:rsidRPr="003854B2" w:rsidRDefault="00E76BB3" w:rsidP="006802D3">
      <w:pPr>
        <w:pStyle w:val="Subtitle"/>
        <w:rPr>
          <w:lang w:val="en-US"/>
        </w:rPr>
      </w:pPr>
      <w:bookmarkStart w:id="275" w:name="_Toc66888470"/>
      <w:bookmarkStart w:id="276" w:name="_Toc93907374"/>
      <w:r w:rsidRPr="003854B2">
        <w:rPr>
          <w:lang w:val="en-US"/>
        </w:rPr>
        <w:t>Sound financial management</w:t>
      </w:r>
      <w:bookmarkEnd w:id="275"/>
      <w:bookmarkEnd w:id="276"/>
    </w:p>
    <w:p w14:paraId="66F53A59" w14:textId="77777777" w:rsidR="00E76BB3" w:rsidRPr="003854B2" w:rsidRDefault="00E76BB3" w:rsidP="00E76BB3">
      <w:pPr>
        <w:pStyle w:val="MAWP-Bodytext"/>
        <w:rPr>
          <w:i/>
          <w:color w:val="auto"/>
          <w:lang w:eastAsia="en-US"/>
        </w:rPr>
      </w:pPr>
      <w:r w:rsidRPr="003854B2">
        <w:rPr>
          <w:i/>
          <w:color w:val="auto"/>
          <w:u w:val="single"/>
          <w:lang w:eastAsia="en-US"/>
        </w:rPr>
        <w:t>Objective</w:t>
      </w:r>
      <w:r w:rsidRPr="003854B2">
        <w:rPr>
          <w:i/>
          <w:color w:val="auto"/>
          <w:lang w:eastAsia="en-US"/>
        </w:rPr>
        <w:t xml:space="preserve">: </w:t>
      </w:r>
      <w:bookmarkStart w:id="277" w:name="_Hlk93677965"/>
      <w:r w:rsidRPr="003854B2">
        <w:rPr>
          <w:i/>
          <w:color w:val="auto"/>
          <w:lang w:eastAsia="en-US"/>
        </w:rPr>
        <w:t xml:space="preserve">Resources to be used in accordance with the principles of sound financial </w:t>
      </w:r>
      <w:r w:rsidRPr="003854B2">
        <w:rPr>
          <w:i/>
          <w:color w:val="auto"/>
          <w:lang w:eastAsia="en-US"/>
        </w:rPr>
        <w:lastRenderedPageBreak/>
        <w:t>management</w:t>
      </w:r>
      <w:r>
        <w:rPr>
          <w:rStyle w:val="FootnoteReference"/>
          <w:i/>
          <w:color w:val="auto"/>
          <w:lang w:eastAsia="en-US"/>
        </w:rPr>
        <w:footnoteReference w:id="266"/>
      </w:r>
      <w:r w:rsidRPr="003854B2">
        <w:rPr>
          <w:i/>
          <w:color w:val="auto"/>
          <w:lang w:eastAsia="en-US"/>
        </w:rPr>
        <w:t>. Cost-effective controls to be in place, which give the necessary guarantees concerning the legality and regularity of underlying transactions.</w:t>
      </w:r>
      <w:bookmarkEnd w:id="277"/>
    </w:p>
    <w:p w14:paraId="68CC4E75" w14:textId="77777777" w:rsidR="00E76BB3" w:rsidRPr="00025CCE" w:rsidRDefault="00E76BB3" w:rsidP="006802D3">
      <w:pPr>
        <w:pStyle w:val="MAWPsubtitle2"/>
        <w:rPr>
          <w:i/>
          <w:u w:val="single"/>
        </w:rPr>
      </w:pPr>
      <w:bookmarkStart w:id="278" w:name="_Toc66888471"/>
      <w:bookmarkStart w:id="279" w:name="_Toc93907375"/>
      <w:r w:rsidRPr="003951DD">
        <w:t>Assurance and audit</w:t>
      </w:r>
      <w:bookmarkEnd w:id="278"/>
      <w:bookmarkEnd w:id="279"/>
      <w:r w:rsidRPr="003951DD">
        <w:t xml:space="preserve"> </w:t>
      </w:r>
    </w:p>
    <w:p w14:paraId="00EACE73" w14:textId="77777777" w:rsidR="00E76BB3" w:rsidRDefault="00E76BB3" w:rsidP="00E76BB3">
      <w:pPr>
        <w:pStyle w:val="MAWP-Bodytext"/>
        <w:rPr>
          <w:i/>
          <w:color w:val="auto"/>
        </w:rPr>
      </w:pPr>
      <w:r w:rsidRPr="00025CCE">
        <w:rPr>
          <w:i/>
          <w:color w:val="auto"/>
          <w:u w:val="single"/>
        </w:rPr>
        <w:t xml:space="preserve">Objective: </w:t>
      </w:r>
      <w:r w:rsidRPr="00025CCE">
        <w:rPr>
          <w:i/>
          <w:color w:val="auto"/>
        </w:rPr>
        <w:t>Ex-post controls, internal and external audits and reviews will continue to provide the Executive Director and the Governing Board with the elements underpinning the reasonable assurance that the resources assigned to the activities of</w:t>
      </w:r>
      <w:r w:rsidRPr="00E954B5">
        <w:rPr>
          <w:i/>
          <w:color w:val="auto"/>
        </w:rPr>
        <w:t xml:space="preserve"> </w:t>
      </w:r>
      <w:r>
        <w:rPr>
          <w:i/>
          <w:color w:val="auto"/>
        </w:rPr>
        <w:t>t</w:t>
      </w:r>
      <w:r w:rsidRPr="00025CCE">
        <w:rPr>
          <w:i/>
          <w:color w:val="auto"/>
        </w:rPr>
        <w:t>he Clean Hydrogen JU have been used for their intended purpose and in accordance with the principles of sound financial management, and that the control procedures put in place give the necessary guarantees concerning the legality and regularity of the underlying transactions.</w:t>
      </w:r>
    </w:p>
    <w:p w14:paraId="4AFED37D" w14:textId="77777777" w:rsidR="00E76BB3" w:rsidRPr="008D4C69" w:rsidRDefault="00E76BB3" w:rsidP="00E76BB3">
      <w:pPr>
        <w:pStyle w:val="MAWP-Bodytext"/>
        <w:rPr>
          <w:color w:val="auto"/>
        </w:rPr>
      </w:pPr>
      <w:r w:rsidRPr="008D4C69">
        <w:rPr>
          <w:color w:val="auto"/>
        </w:rPr>
        <w:t xml:space="preserve">In this context, </w:t>
      </w:r>
      <w:r>
        <w:rPr>
          <w:color w:val="auto"/>
        </w:rPr>
        <w:t xml:space="preserve">the </w:t>
      </w:r>
      <w:r w:rsidRPr="008D4C69">
        <w:rPr>
          <w:color w:val="auto"/>
        </w:rPr>
        <w:t xml:space="preserve">objective is that </w:t>
      </w:r>
      <w:r>
        <w:rPr>
          <w:color w:val="auto"/>
        </w:rPr>
        <w:t>the Clean Hydrogen JU</w:t>
      </w:r>
      <w:r w:rsidRPr="008D4C69">
        <w:rPr>
          <w:color w:val="auto"/>
        </w:rPr>
        <w:t xml:space="preserve"> </w:t>
      </w:r>
      <w:r>
        <w:rPr>
          <w:color w:val="auto"/>
        </w:rPr>
        <w:t xml:space="preserve">will </w:t>
      </w:r>
      <w:r w:rsidRPr="008D4C69">
        <w:rPr>
          <w:color w:val="auto"/>
        </w:rPr>
        <w:t>apply</w:t>
      </w:r>
      <w:r>
        <w:rPr>
          <w:color w:val="auto"/>
        </w:rPr>
        <w:t xml:space="preserve"> an</w:t>
      </w:r>
      <w:r w:rsidRPr="008D4C69">
        <w:rPr>
          <w:color w:val="auto"/>
        </w:rPr>
        <w:t xml:space="preserve"> agreed-upon control framework, common</w:t>
      </w:r>
      <w:r>
        <w:rPr>
          <w:color w:val="auto"/>
        </w:rPr>
        <w:t xml:space="preserve"> to all Horizon Europe implementing services, </w:t>
      </w:r>
      <w:r w:rsidRPr="008D4C69">
        <w:rPr>
          <w:color w:val="auto"/>
        </w:rPr>
        <w:t>laid down in:</w:t>
      </w:r>
    </w:p>
    <w:p w14:paraId="2D0447B7" w14:textId="77777777" w:rsidR="00E76BB3" w:rsidRPr="008D4C69" w:rsidRDefault="00E76BB3" w:rsidP="002256F6">
      <w:pPr>
        <w:pStyle w:val="MAWP-Bodytext"/>
        <w:numPr>
          <w:ilvl w:val="0"/>
          <w:numId w:val="70"/>
        </w:numPr>
        <w:rPr>
          <w:color w:val="auto"/>
        </w:rPr>
      </w:pPr>
      <w:r w:rsidRPr="008D4C69">
        <w:rPr>
          <w:color w:val="auto"/>
        </w:rPr>
        <w:t>‘Comprehensive contr</w:t>
      </w:r>
      <w:r>
        <w:rPr>
          <w:color w:val="auto"/>
        </w:rPr>
        <w:t>ol strategy for Horizon Europe’;</w:t>
      </w:r>
    </w:p>
    <w:p w14:paraId="18400C9A" w14:textId="77777777" w:rsidR="00E76BB3" w:rsidRPr="008D4C69" w:rsidRDefault="00E76BB3" w:rsidP="002256F6">
      <w:pPr>
        <w:pStyle w:val="MAWP-Bodytext"/>
        <w:numPr>
          <w:ilvl w:val="0"/>
          <w:numId w:val="70"/>
        </w:numPr>
        <w:rPr>
          <w:color w:val="auto"/>
        </w:rPr>
      </w:pPr>
      <w:r w:rsidRPr="008D4C69">
        <w:rPr>
          <w:color w:val="auto"/>
        </w:rPr>
        <w:t>‘Common ex-ante control for Horizon Europe’;</w:t>
      </w:r>
    </w:p>
    <w:p w14:paraId="6C30309B" w14:textId="77777777" w:rsidR="00E76BB3" w:rsidRPr="00025CCE" w:rsidRDefault="00E76BB3" w:rsidP="002256F6">
      <w:pPr>
        <w:pStyle w:val="MAWP-Bodytext"/>
        <w:numPr>
          <w:ilvl w:val="0"/>
          <w:numId w:val="70"/>
        </w:numPr>
        <w:rPr>
          <w:color w:val="auto"/>
          <w:lang w:val="fr-BE"/>
        </w:rPr>
      </w:pPr>
      <w:r w:rsidRPr="00025CCE">
        <w:rPr>
          <w:color w:val="auto"/>
          <w:lang w:val="fr-BE"/>
        </w:rPr>
        <w:t xml:space="preserve">‘Horizon Europe Ex-post audit strategy’; and </w:t>
      </w:r>
    </w:p>
    <w:p w14:paraId="0FC5A126" w14:textId="77777777" w:rsidR="00E76BB3" w:rsidRDefault="00E76BB3" w:rsidP="002256F6">
      <w:pPr>
        <w:pStyle w:val="MAWP-Bodytext"/>
        <w:numPr>
          <w:ilvl w:val="0"/>
          <w:numId w:val="70"/>
        </w:numPr>
        <w:rPr>
          <w:color w:val="auto"/>
        </w:rPr>
      </w:pPr>
      <w:r w:rsidRPr="008D4C69">
        <w:rPr>
          <w:color w:val="auto"/>
        </w:rPr>
        <w:t>‘Horizon Europe Antifraud strategy’</w:t>
      </w:r>
    </w:p>
    <w:p w14:paraId="2BC3E594" w14:textId="77777777" w:rsidR="00E76BB3" w:rsidRDefault="00E76BB3" w:rsidP="00E76BB3">
      <w:pPr>
        <w:pStyle w:val="MAWP-Bodytext"/>
        <w:rPr>
          <w:color w:val="auto"/>
        </w:rPr>
      </w:pPr>
      <w:r>
        <w:rPr>
          <w:color w:val="auto"/>
        </w:rPr>
        <w:t>The Clean Hydrogen JU, in addition to implementation of the common framework, will apply the following strategies in different types of audits:</w:t>
      </w:r>
    </w:p>
    <w:p w14:paraId="154B3024" w14:textId="77777777" w:rsidR="00E76BB3" w:rsidRPr="00025CCE" w:rsidRDefault="00E76BB3" w:rsidP="00E76BB3">
      <w:pPr>
        <w:pStyle w:val="MAWP-Bodytext"/>
        <w:rPr>
          <w:color w:val="auto"/>
        </w:rPr>
      </w:pPr>
      <w:r w:rsidRPr="00025CCE">
        <w:rPr>
          <w:b/>
          <w:color w:val="auto"/>
        </w:rPr>
        <w:t>Ex-post audits</w:t>
      </w:r>
    </w:p>
    <w:p w14:paraId="00829299" w14:textId="77777777" w:rsidR="00E76BB3" w:rsidRPr="00E954B5" w:rsidRDefault="00E76BB3" w:rsidP="00E76BB3">
      <w:pPr>
        <w:pStyle w:val="MAWP-Bodytext"/>
        <w:rPr>
          <w:color w:val="auto"/>
        </w:rPr>
      </w:pPr>
      <w:r w:rsidRPr="00025CCE">
        <w:rPr>
          <w:color w:val="auto"/>
        </w:rPr>
        <w:t>The aim for Horizon E</w:t>
      </w:r>
      <w:r>
        <w:rPr>
          <w:color w:val="auto"/>
        </w:rPr>
        <w:t xml:space="preserve">urope is to exercise the risk-based approach and efficient use of resources in all stages of the Horizon Europe audit campaign. This includes prevention of double-auditing and building on the lessons learnt from the most common mistakes of the H2020 programme. </w:t>
      </w:r>
    </w:p>
    <w:p w14:paraId="2C3EAFEE" w14:textId="77777777" w:rsidR="00E76BB3" w:rsidRDefault="00E76BB3" w:rsidP="00E76BB3">
      <w:pPr>
        <w:pStyle w:val="MAWP-Bodytext"/>
        <w:rPr>
          <w:color w:val="auto"/>
        </w:rPr>
      </w:pPr>
      <w:r w:rsidRPr="00025CCE">
        <w:rPr>
          <w:b/>
          <w:color w:val="auto"/>
        </w:rPr>
        <w:t>Internal Audits</w:t>
      </w:r>
    </w:p>
    <w:p w14:paraId="7BF007B6" w14:textId="77777777" w:rsidR="00E76BB3" w:rsidRDefault="00E76BB3" w:rsidP="00E76BB3">
      <w:pPr>
        <w:pStyle w:val="MAWP-Bodytext"/>
        <w:rPr>
          <w:color w:val="auto"/>
        </w:rPr>
      </w:pPr>
      <w:r>
        <w:rPr>
          <w:color w:val="auto"/>
        </w:rPr>
        <w:t>The Clean Hydrogen JU will continue to support the Internal Audit Service (IAS) in conducting their audit and consulting engagements, with the aim to add value and to improve the effectiveness and efficiency of the internal controls in order to achieve strategic and operational objectives of the Horizon Europe programme.</w:t>
      </w:r>
    </w:p>
    <w:p w14:paraId="4264DD0C" w14:textId="77777777" w:rsidR="00E76BB3" w:rsidRPr="00E954B5" w:rsidRDefault="00E76BB3" w:rsidP="00E76BB3">
      <w:pPr>
        <w:pStyle w:val="MAWP-Bodytext"/>
        <w:rPr>
          <w:color w:val="auto"/>
        </w:rPr>
      </w:pPr>
      <w:r>
        <w:rPr>
          <w:color w:val="auto"/>
        </w:rPr>
        <w:t>Specific aim will be put on addressing the recommendations of the IAS stemming from their reports in a timely manner.</w:t>
      </w:r>
    </w:p>
    <w:p w14:paraId="3280E443" w14:textId="77777777" w:rsidR="00E76BB3" w:rsidRPr="00025CCE" w:rsidRDefault="00E76BB3" w:rsidP="00E76BB3">
      <w:pPr>
        <w:pStyle w:val="MAWP-Bodytext"/>
        <w:rPr>
          <w:color w:val="auto"/>
        </w:rPr>
      </w:pPr>
      <w:r w:rsidRPr="00025CCE">
        <w:rPr>
          <w:b/>
          <w:color w:val="auto"/>
        </w:rPr>
        <w:t>ECA, EPPO, OLAF audits</w:t>
      </w:r>
    </w:p>
    <w:p w14:paraId="15C19C15" w14:textId="77777777" w:rsidR="00E76BB3" w:rsidRPr="00E954B5" w:rsidRDefault="00E76BB3" w:rsidP="00E76BB3">
      <w:pPr>
        <w:pStyle w:val="MAWP-Bodytext"/>
        <w:rPr>
          <w:color w:val="auto"/>
        </w:rPr>
      </w:pPr>
      <w:r w:rsidRPr="00025CCE">
        <w:rPr>
          <w:color w:val="auto"/>
        </w:rPr>
        <w:t xml:space="preserve">The Clean Hydrogen </w:t>
      </w:r>
      <w:r>
        <w:rPr>
          <w:color w:val="auto"/>
        </w:rPr>
        <w:t>JU</w:t>
      </w:r>
      <w:r w:rsidRPr="00025CCE">
        <w:rPr>
          <w:color w:val="auto"/>
        </w:rPr>
        <w:t xml:space="preserve"> will provide support and assistance </w:t>
      </w:r>
      <w:r>
        <w:rPr>
          <w:color w:val="auto"/>
        </w:rPr>
        <w:t xml:space="preserve">to the </w:t>
      </w:r>
      <w:r>
        <w:t xml:space="preserve">Court of Auditors, the European Anti-fraud Office and the European Public Prosecutor’s Office in their on-the-spot checks, desk reviews, audits and investigations and will ensure timely follow up and implementation of the action plans stemming from these engagements. </w:t>
      </w:r>
    </w:p>
    <w:p w14:paraId="371501FE" w14:textId="77777777" w:rsidR="00E76BB3" w:rsidRPr="003854B2" w:rsidRDefault="00E76BB3" w:rsidP="006802D3">
      <w:pPr>
        <w:pStyle w:val="MAWPsubtitle2"/>
      </w:pPr>
      <w:bookmarkStart w:id="280" w:name="_Toc66888472"/>
      <w:bookmarkStart w:id="281" w:name="_Toc93907376"/>
      <w:r w:rsidRPr="003854B2">
        <w:rPr>
          <w:lang w:val="en-US"/>
        </w:rPr>
        <w:t>Financial management</w:t>
      </w:r>
      <w:bookmarkEnd w:id="280"/>
      <w:bookmarkEnd w:id="281"/>
    </w:p>
    <w:p w14:paraId="3BFA4876" w14:textId="3D6D6B0F" w:rsidR="00E76BB3" w:rsidRPr="003854B2" w:rsidRDefault="00E76BB3" w:rsidP="00E76BB3">
      <w:pPr>
        <w:pStyle w:val="MAWP-Bodytext"/>
        <w:rPr>
          <w:color w:val="auto"/>
          <w:lang w:val="en-US" w:eastAsia="en-US"/>
        </w:rPr>
      </w:pPr>
      <w:r>
        <w:rPr>
          <w:color w:val="auto"/>
        </w:rPr>
        <w:t xml:space="preserve">To demonstrate its commitment to the best use of financial resources, the Clean Hydrogen JU will aim for an error rate, </w:t>
      </w:r>
      <w:r w:rsidRPr="00E92E8C">
        <w:rPr>
          <w:color w:val="auto"/>
        </w:rPr>
        <w:t>over the course of the multiannual expenditure period</w:t>
      </w:r>
      <w:r>
        <w:rPr>
          <w:color w:val="auto"/>
        </w:rPr>
        <w:t>,</w:t>
      </w:r>
      <w:r w:rsidRPr="00E92E8C">
        <w:rPr>
          <w:color w:val="auto"/>
        </w:rPr>
        <w:t xml:space="preserve"> within a range </w:t>
      </w:r>
      <w:r w:rsidRPr="00E92E8C">
        <w:rPr>
          <w:color w:val="auto"/>
        </w:rPr>
        <w:lastRenderedPageBreak/>
        <w:t>of 2-5 %</w:t>
      </w:r>
      <w:r>
        <w:rPr>
          <w:color w:val="auto"/>
        </w:rPr>
        <w:t xml:space="preserve"> on an annual basis</w:t>
      </w:r>
      <w:r w:rsidRPr="00E92E8C">
        <w:rPr>
          <w:color w:val="auto"/>
        </w:rPr>
        <w:t>, with the</w:t>
      </w:r>
      <w:r>
        <w:rPr>
          <w:color w:val="auto"/>
        </w:rPr>
        <w:t xml:space="preserve"> </w:t>
      </w:r>
      <w:r w:rsidRPr="00E92E8C">
        <w:rPr>
          <w:color w:val="auto"/>
        </w:rPr>
        <w:t>ultimate aim to achieve a residual error rate as close as possible to 2 % at the closure of the</w:t>
      </w:r>
      <w:r>
        <w:rPr>
          <w:color w:val="auto"/>
        </w:rPr>
        <w:t xml:space="preserve"> </w:t>
      </w:r>
      <w:r w:rsidR="00BB3511">
        <w:rPr>
          <w:color w:val="auto"/>
        </w:rPr>
        <w:t>SRIA</w:t>
      </w:r>
      <w:r>
        <w:rPr>
          <w:rStyle w:val="FootnoteReference"/>
          <w:color w:val="auto"/>
        </w:rPr>
        <w:footnoteReference w:id="267"/>
      </w:r>
      <w:r w:rsidRPr="003854B2">
        <w:rPr>
          <w:color w:val="auto"/>
        </w:rPr>
        <w:t>.</w:t>
      </w:r>
      <w:r>
        <w:rPr>
          <w:color w:val="auto"/>
        </w:rPr>
        <w:t xml:space="preserve"> To meet this target, the JU will ensure sound financial management through the management of transactions. </w:t>
      </w:r>
      <w:r w:rsidRPr="003854B2">
        <w:rPr>
          <w:color w:val="auto"/>
          <w:lang w:val="en-US" w:eastAsia="en-US"/>
        </w:rPr>
        <w:t xml:space="preserve">The JU will </w:t>
      </w:r>
      <w:r>
        <w:rPr>
          <w:color w:val="auto"/>
          <w:lang w:val="en-US" w:eastAsia="en-US"/>
        </w:rPr>
        <w:t xml:space="preserve">strive to attain effectiveness through </w:t>
      </w:r>
      <w:r w:rsidRPr="003854B2">
        <w:rPr>
          <w:color w:val="auto"/>
          <w:lang w:val="en-US" w:eastAsia="en-US"/>
        </w:rPr>
        <w:t>updat</w:t>
      </w:r>
      <w:r>
        <w:rPr>
          <w:color w:val="auto"/>
          <w:lang w:val="en-US" w:eastAsia="en-US"/>
        </w:rPr>
        <w:t>e of its</w:t>
      </w:r>
      <w:r w:rsidRPr="003854B2">
        <w:rPr>
          <w:color w:val="auto"/>
          <w:lang w:val="en-US" w:eastAsia="en-US"/>
        </w:rPr>
        <w:t xml:space="preserve"> monitoring tools, workflows, proce</w:t>
      </w:r>
      <w:r>
        <w:rPr>
          <w:color w:val="auto"/>
          <w:lang w:val="en-US" w:eastAsia="en-US"/>
        </w:rPr>
        <w:t>dures, guidelines, templates,</w:t>
      </w:r>
      <w:r w:rsidRPr="003854B2">
        <w:rPr>
          <w:color w:val="auto"/>
          <w:lang w:val="en-US" w:eastAsia="en-US"/>
        </w:rPr>
        <w:t xml:space="preserve"> check-lists</w:t>
      </w:r>
      <w:r>
        <w:rPr>
          <w:color w:val="auto"/>
          <w:lang w:val="en-US" w:eastAsia="en-US"/>
        </w:rPr>
        <w:t>, training sessions and additional guidance</w:t>
      </w:r>
      <w:r w:rsidRPr="003854B2">
        <w:rPr>
          <w:color w:val="auto"/>
          <w:lang w:val="en-US" w:eastAsia="en-US"/>
        </w:rPr>
        <w:t xml:space="preserve"> </w:t>
      </w:r>
      <w:r>
        <w:rPr>
          <w:color w:val="auto"/>
          <w:lang w:val="en-US" w:eastAsia="en-US"/>
        </w:rPr>
        <w:t>for actors in the financial circuits</w:t>
      </w:r>
      <w:r w:rsidRPr="003854B2">
        <w:rPr>
          <w:color w:val="auto"/>
          <w:lang w:val="en-US" w:eastAsia="en-US"/>
        </w:rPr>
        <w:t>.</w:t>
      </w:r>
    </w:p>
    <w:p w14:paraId="0BBAB2E2" w14:textId="77777777" w:rsidR="00E76BB3" w:rsidRPr="00DF0147" w:rsidRDefault="00E76BB3" w:rsidP="00E76BB3">
      <w:pPr>
        <w:pStyle w:val="MAWP-Bodytext"/>
        <w:rPr>
          <w:color w:val="auto"/>
        </w:rPr>
      </w:pPr>
      <w:r>
        <w:rPr>
          <w:color w:val="auto"/>
        </w:rPr>
        <w:t>Another aspect of sound financial m</w:t>
      </w:r>
      <w:r w:rsidRPr="00DF0147">
        <w:rPr>
          <w:color w:val="auto"/>
        </w:rPr>
        <w:t>anagement is the relationship between the costs of</w:t>
      </w:r>
      <w:r>
        <w:rPr>
          <w:color w:val="auto"/>
        </w:rPr>
        <w:t xml:space="preserve"> </w:t>
      </w:r>
      <w:r w:rsidRPr="00DF0147">
        <w:rPr>
          <w:color w:val="auto"/>
        </w:rPr>
        <w:t>controls and its benefits</w:t>
      </w:r>
      <w:r>
        <w:rPr>
          <w:color w:val="auto"/>
        </w:rPr>
        <w:t>. The JU’s control system will reflect the right balance between attaining an acceptable error rate and the control burden required, to avoid compromising on the attractiveness of the JU programme</w:t>
      </w:r>
      <w:r>
        <w:rPr>
          <w:rStyle w:val="FootnoteReference"/>
          <w:color w:val="auto"/>
        </w:rPr>
        <w:footnoteReference w:id="268"/>
      </w:r>
      <w:r>
        <w:rPr>
          <w:color w:val="auto"/>
        </w:rPr>
        <w:t xml:space="preserve">. </w:t>
      </w:r>
    </w:p>
    <w:p w14:paraId="146D3DAE" w14:textId="77777777" w:rsidR="00E76BB3" w:rsidRDefault="00E76BB3" w:rsidP="00E76BB3">
      <w:pPr>
        <w:pStyle w:val="MAWP-Bodytext"/>
        <w:rPr>
          <w:color w:val="auto"/>
          <w:lang w:val="en-US" w:eastAsia="en-US"/>
        </w:rPr>
      </w:pPr>
      <w:r w:rsidRPr="003854B2">
        <w:rPr>
          <w:color w:val="auto"/>
          <w:lang w:val="en-US" w:eastAsia="en-US"/>
        </w:rPr>
        <w:t xml:space="preserve">Furthermore, </w:t>
      </w:r>
      <w:r>
        <w:rPr>
          <w:color w:val="auto"/>
          <w:lang w:val="en-US" w:eastAsia="en-US"/>
        </w:rPr>
        <w:t xml:space="preserve">efficiency and cost effectiveness of financial activities will further improve thanks to the adoption of </w:t>
      </w:r>
      <w:r w:rsidRPr="003854B2">
        <w:rPr>
          <w:color w:val="auto"/>
          <w:lang w:val="en-US" w:eastAsia="en-US"/>
        </w:rPr>
        <w:t>various corporate tools: eProcurement, SUMMA (accounting system).</w:t>
      </w:r>
    </w:p>
    <w:p w14:paraId="3DE3EAD1" w14:textId="77777777" w:rsidR="00E76BB3" w:rsidRPr="003854B2" w:rsidRDefault="00E76BB3" w:rsidP="00E76BB3">
      <w:pPr>
        <w:pStyle w:val="MAWP-Bodytext"/>
        <w:rPr>
          <w:color w:val="auto"/>
          <w:lang w:val="en-US" w:eastAsia="en-US"/>
        </w:rPr>
      </w:pPr>
      <w:r w:rsidRPr="003854B2">
        <w:rPr>
          <w:color w:val="auto"/>
          <w:lang w:val="en-US" w:eastAsia="en-US"/>
        </w:rPr>
        <w:t>The Clean Hydrogen JU will accurately assess the needs for financing the activities described above by assuring a close follow-up of the execution of budget, correcting the budget with transfers with the aim to reach 100% budget execution and subsequently provides detailed periodic reporting on the budget implementation to the management</w:t>
      </w:r>
      <w:r>
        <w:rPr>
          <w:color w:val="auto"/>
          <w:lang w:val="en-US" w:eastAsia="en-US"/>
        </w:rPr>
        <w:t>.</w:t>
      </w:r>
    </w:p>
    <w:p w14:paraId="7A2FCB2A" w14:textId="77777777" w:rsidR="00E76BB3" w:rsidRPr="003854B2" w:rsidRDefault="00E76BB3" w:rsidP="006802D3">
      <w:pPr>
        <w:pStyle w:val="MAWPsubtitle2"/>
      </w:pPr>
      <w:bookmarkStart w:id="282" w:name="_Toc66888473"/>
      <w:bookmarkStart w:id="283" w:name="_Toc93907377"/>
      <w:r w:rsidRPr="003854B2">
        <w:rPr>
          <w:lang w:val="en-US"/>
        </w:rPr>
        <w:t>Internal control and risk management</w:t>
      </w:r>
      <w:bookmarkEnd w:id="282"/>
      <w:bookmarkEnd w:id="283"/>
    </w:p>
    <w:p w14:paraId="16920CDC" w14:textId="77777777" w:rsidR="00E76BB3" w:rsidRPr="003854B2" w:rsidRDefault="00E76BB3" w:rsidP="00E76BB3">
      <w:pPr>
        <w:pStyle w:val="MAWP-Bodytext"/>
        <w:rPr>
          <w:i/>
          <w:color w:val="auto"/>
        </w:rPr>
      </w:pPr>
      <w:r w:rsidRPr="003854B2">
        <w:rPr>
          <w:i/>
          <w:color w:val="auto"/>
          <w:u w:val="single"/>
        </w:rPr>
        <w:t>Objective</w:t>
      </w:r>
      <w:r w:rsidRPr="003854B2">
        <w:rPr>
          <w:i/>
          <w:color w:val="auto"/>
        </w:rPr>
        <w:t>: The Clean Hydrogen JU will continue to reinforce processes designed to provide reasonable assurance of achieving the following objectives:</w:t>
      </w:r>
    </w:p>
    <w:p w14:paraId="7C041E79" w14:textId="77777777" w:rsidR="00E76BB3" w:rsidRPr="003854B2" w:rsidRDefault="00E76BB3" w:rsidP="00E76BB3">
      <w:pPr>
        <w:pStyle w:val="MAWP-Bodytext"/>
        <w:rPr>
          <w:i/>
          <w:color w:val="auto"/>
        </w:rPr>
      </w:pPr>
      <w:r w:rsidRPr="003854B2">
        <w:rPr>
          <w:i/>
          <w:color w:val="auto"/>
        </w:rPr>
        <w:t>1) Effectiveness and efficiency of operations</w:t>
      </w:r>
    </w:p>
    <w:p w14:paraId="4511FDE5" w14:textId="77777777" w:rsidR="00E76BB3" w:rsidRPr="003854B2" w:rsidRDefault="00E76BB3" w:rsidP="00E76BB3">
      <w:pPr>
        <w:pStyle w:val="MAWP-Bodytext"/>
        <w:rPr>
          <w:i/>
          <w:color w:val="auto"/>
        </w:rPr>
      </w:pPr>
      <w:r w:rsidRPr="003854B2">
        <w:rPr>
          <w:i/>
          <w:color w:val="auto"/>
        </w:rPr>
        <w:t>2) Reliability of reporting</w:t>
      </w:r>
    </w:p>
    <w:p w14:paraId="5E46106F" w14:textId="77777777" w:rsidR="00E76BB3" w:rsidRPr="003854B2" w:rsidRDefault="00E76BB3" w:rsidP="00E76BB3">
      <w:pPr>
        <w:pStyle w:val="MAWP-Bodytext"/>
        <w:rPr>
          <w:i/>
          <w:color w:val="auto"/>
        </w:rPr>
      </w:pPr>
      <w:r w:rsidRPr="003854B2">
        <w:rPr>
          <w:i/>
          <w:color w:val="auto"/>
        </w:rPr>
        <w:t>3) Compliance with applicable laws and regulations.</w:t>
      </w:r>
    </w:p>
    <w:p w14:paraId="40F14EC9" w14:textId="77777777" w:rsidR="00E76BB3" w:rsidRDefault="00E76BB3" w:rsidP="00E76BB3">
      <w:pPr>
        <w:pStyle w:val="MAWP-Bodytext"/>
        <w:rPr>
          <w:color w:val="auto"/>
        </w:rPr>
      </w:pPr>
      <w:r w:rsidRPr="003854B2">
        <w:rPr>
          <w:color w:val="auto"/>
        </w:rPr>
        <w:t>The Clean Hydrogen JU has set up and will further strengthen processes to ensure the adequate management of the risks relating to the legality and regularity of the underlying transactions, taking into account the multian</w:t>
      </w:r>
      <w:r>
        <w:rPr>
          <w:color w:val="auto"/>
        </w:rPr>
        <w:t>nual character of its programme</w:t>
      </w:r>
      <w:r w:rsidRPr="003854B2">
        <w:rPr>
          <w:color w:val="auto"/>
        </w:rPr>
        <w:t xml:space="preserve"> as well as the nature of the payments concerned. </w:t>
      </w:r>
    </w:p>
    <w:p w14:paraId="04685468" w14:textId="77777777" w:rsidR="00E76BB3" w:rsidRDefault="00E76BB3" w:rsidP="00E76BB3">
      <w:pPr>
        <w:pStyle w:val="MAWP-Bodytext"/>
        <w:rPr>
          <w:color w:val="auto"/>
          <w:lang w:val="en-US"/>
        </w:rPr>
      </w:pPr>
      <w:r>
        <w:rPr>
          <w:color w:val="auto"/>
        </w:rPr>
        <w:t>Ethical and organisation values are embedded in the JU’s internal control framework. Control system includes procedures for selecting the best projects through independent evaluation, ensures a robust project and contract management throughout the lifetime of every project</w:t>
      </w:r>
      <w:r>
        <w:rPr>
          <w:color w:val="auto"/>
          <w:lang w:val="en-US"/>
        </w:rPr>
        <w:t>, performs ex-ante checks on 100% of claims and includes ex-post audits on a sample of claims</w:t>
      </w:r>
      <w:r>
        <w:rPr>
          <w:rStyle w:val="FootnoteReference"/>
          <w:color w:val="auto"/>
          <w:lang w:val="en-US"/>
        </w:rPr>
        <w:footnoteReference w:id="269"/>
      </w:r>
      <w:r>
        <w:rPr>
          <w:color w:val="auto"/>
          <w:lang w:val="en-US"/>
        </w:rPr>
        <w:t>. Specific attention will be placed in mitigating the inherent risk of conflict of interest</w:t>
      </w:r>
      <w:r>
        <w:rPr>
          <w:rStyle w:val="FootnoteReference"/>
          <w:color w:val="auto"/>
          <w:lang w:val="en-US"/>
        </w:rPr>
        <w:footnoteReference w:id="270"/>
      </w:r>
      <w:r>
        <w:rPr>
          <w:color w:val="auto"/>
          <w:lang w:val="en-US"/>
        </w:rPr>
        <w:t>.</w:t>
      </w:r>
    </w:p>
    <w:p w14:paraId="317AD606" w14:textId="77777777" w:rsidR="00E76BB3" w:rsidRPr="003854B2" w:rsidRDefault="00E76BB3" w:rsidP="006802D3">
      <w:pPr>
        <w:pStyle w:val="Subtitle"/>
        <w:rPr>
          <w:lang w:val="en-US"/>
        </w:rPr>
      </w:pPr>
      <w:bookmarkStart w:id="284" w:name="_Toc64978373"/>
      <w:bookmarkStart w:id="285" w:name="_Toc66888474"/>
      <w:bookmarkStart w:id="286" w:name="_Toc93907378"/>
      <w:r w:rsidRPr="003854B2">
        <w:rPr>
          <w:lang w:val="en-US"/>
        </w:rPr>
        <w:t>Fraud risk management</w:t>
      </w:r>
      <w:bookmarkEnd w:id="284"/>
      <w:bookmarkEnd w:id="285"/>
      <w:bookmarkEnd w:id="286"/>
    </w:p>
    <w:p w14:paraId="50717F84" w14:textId="77777777" w:rsidR="00E76BB3" w:rsidRPr="003854B2" w:rsidRDefault="00E76BB3" w:rsidP="00E76BB3">
      <w:pPr>
        <w:pStyle w:val="MAWP-Bodytext"/>
        <w:rPr>
          <w:i/>
          <w:color w:val="auto"/>
          <w:lang w:eastAsia="en-US"/>
        </w:rPr>
      </w:pPr>
      <w:r w:rsidRPr="003854B2">
        <w:rPr>
          <w:i/>
          <w:color w:val="auto"/>
          <w:u w:val="single"/>
          <w:lang w:eastAsia="en-US"/>
        </w:rPr>
        <w:t>Objective</w:t>
      </w:r>
      <w:r w:rsidRPr="003854B2">
        <w:rPr>
          <w:i/>
          <w:color w:val="auto"/>
          <w:lang w:eastAsia="en-US"/>
        </w:rPr>
        <w:t>: The Clean Hydrogen JU is committed to the protection of the</w:t>
      </w:r>
      <w:r w:rsidRPr="003854B2">
        <w:rPr>
          <w:color w:val="auto"/>
        </w:rPr>
        <w:t xml:space="preserve"> </w:t>
      </w:r>
      <w:r w:rsidRPr="003854B2">
        <w:rPr>
          <w:i/>
          <w:color w:val="auto"/>
          <w:lang w:eastAsia="en-US"/>
        </w:rPr>
        <w:t>financial interests of the Union and the fight against fraud affecting these interests.</w:t>
      </w:r>
    </w:p>
    <w:p w14:paraId="2D35D4E7" w14:textId="7199B139" w:rsidR="00E76BB3" w:rsidRPr="007D7A34" w:rsidRDefault="00E76BB3" w:rsidP="00E76BB3">
      <w:pPr>
        <w:widowControl/>
        <w:spacing w:after="160" w:line="259" w:lineRule="auto"/>
        <w:jc w:val="both"/>
        <w:rPr>
          <w:color w:val="auto"/>
        </w:rPr>
      </w:pPr>
      <w:bookmarkStart w:id="287" w:name="_Toc64978374"/>
      <w:bookmarkStart w:id="288" w:name="_Toc64978375"/>
      <w:r w:rsidRPr="007D7A34">
        <w:rPr>
          <w:color w:val="auto"/>
        </w:rPr>
        <w:t>The JU applies ‘mutatis mutandis’ the common Research Family Anti-Fraud Strategy (RAFS) and the DG R&amp;I AFS and participates to the Fraud And I</w:t>
      </w:r>
      <w:r>
        <w:rPr>
          <w:color w:val="auto"/>
        </w:rPr>
        <w:t>R</w:t>
      </w:r>
      <w:r w:rsidRPr="007D7A34">
        <w:rPr>
          <w:color w:val="auto"/>
        </w:rPr>
        <w:t xml:space="preserve">regulaties (FAIR) meetings organized by DG R&amp;I. The JU uses the EC IT tools for grant management, financial systems and </w:t>
      </w:r>
      <w:r w:rsidRPr="007D7A34">
        <w:rPr>
          <w:color w:val="auto"/>
        </w:rPr>
        <w:lastRenderedPageBreak/>
        <w:t>procurement activity that encompass tools to prevent or detect fraud (such as for example plagiarism, double funding, undisclosed conflict of interest). It is also vigilant in the management of external service providers and prioritizes resilience against cyber-attacks.</w:t>
      </w:r>
    </w:p>
    <w:p w14:paraId="6EEDDDC0" w14:textId="77777777" w:rsidR="00E76BB3" w:rsidRPr="007D7A34" w:rsidRDefault="00E76BB3" w:rsidP="00E76BB3">
      <w:pPr>
        <w:widowControl/>
        <w:spacing w:after="160" w:line="259" w:lineRule="auto"/>
        <w:jc w:val="both"/>
        <w:rPr>
          <w:color w:val="auto"/>
        </w:rPr>
      </w:pPr>
      <w:r w:rsidRPr="007D7A34">
        <w:rPr>
          <w:color w:val="auto"/>
        </w:rPr>
        <w:t>It will continue to take actions including</w:t>
      </w:r>
    </w:p>
    <w:p w14:paraId="36610729" w14:textId="77777777" w:rsidR="00E76BB3" w:rsidRPr="007D7A34" w:rsidRDefault="00E76BB3" w:rsidP="00E76BB3">
      <w:pPr>
        <w:widowControl/>
        <w:spacing w:after="160" w:line="259" w:lineRule="auto"/>
        <w:jc w:val="both"/>
        <w:rPr>
          <w:color w:val="auto"/>
        </w:rPr>
      </w:pPr>
      <w:r w:rsidRPr="007D7A34">
        <w:rPr>
          <w:color w:val="auto"/>
        </w:rPr>
        <w:t>•</w:t>
      </w:r>
      <w:r w:rsidRPr="007D7A34">
        <w:rPr>
          <w:color w:val="auto"/>
        </w:rPr>
        <w:tab/>
        <w:t xml:space="preserve">Emphasizing the anti-fraud strategy and raising fraud awareness (through anti-fraud training and surveys) </w:t>
      </w:r>
    </w:p>
    <w:p w14:paraId="435C85D6" w14:textId="77777777" w:rsidR="00E76BB3" w:rsidRPr="007D7A34" w:rsidRDefault="00E76BB3" w:rsidP="00E76BB3">
      <w:pPr>
        <w:widowControl/>
        <w:spacing w:after="160" w:line="259" w:lineRule="auto"/>
        <w:jc w:val="both"/>
        <w:rPr>
          <w:color w:val="auto"/>
        </w:rPr>
      </w:pPr>
      <w:r w:rsidRPr="007D7A34">
        <w:rPr>
          <w:color w:val="auto"/>
        </w:rPr>
        <w:t>•</w:t>
      </w:r>
      <w:r w:rsidRPr="007D7A34">
        <w:rPr>
          <w:color w:val="auto"/>
        </w:rPr>
        <w:tab/>
        <w:t>Making proficient use of tools for identifying double funding.</w:t>
      </w:r>
    </w:p>
    <w:p w14:paraId="4F8749B1" w14:textId="77777777" w:rsidR="00E76BB3" w:rsidRPr="007D7A34" w:rsidRDefault="00E76BB3" w:rsidP="00E76BB3">
      <w:pPr>
        <w:widowControl/>
        <w:spacing w:after="160" w:line="259" w:lineRule="auto"/>
        <w:jc w:val="both"/>
        <w:rPr>
          <w:color w:val="auto"/>
        </w:rPr>
      </w:pPr>
      <w:r w:rsidRPr="007D7A34">
        <w:rPr>
          <w:color w:val="auto"/>
        </w:rPr>
        <w:t>•</w:t>
      </w:r>
      <w:r w:rsidRPr="007D7A34">
        <w:rPr>
          <w:color w:val="auto"/>
        </w:rPr>
        <w:tab/>
        <w:t>Applying the preventive measures including the use of IT tools for detecting suspicious circumstances and know-how on how to identify irregularities.</w:t>
      </w:r>
    </w:p>
    <w:p w14:paraId="1422FB2C" w14:textId="77777777" w:rsidR="00E76BB3" w:rsidRPr="007D7A34" w:rsidRDefault="00E76BB3" w:rsidP="00E76BB3">
      <w:pPr>
        <w:widowControl/>
        <w:spacing w:after="160" w:line="259" w:lineRule="auto"/>
        <w:jc w:val="both"/>
        <w:rPr>
          <w:color w:val="auto"/>
        </w:rPr>
      </w:pPr>
      <w:r w:rsidRPr="007D7A34">
        <w:rPr>
          <w:color w:val="auto"/>
        </w:rPr>
        <w:t>•</w:t>
      </w:r>
      <w:r w:rsidRPr="007D7A34">
        <w:rPr>
          <w:color w:val="auto"/>
        </w:rPr>
        <w:tab/>
        <w:t>Including identifying and assessing fraud risk during the risk-assessment exercises</w:t>
      </w:r>
    </w:p>
    <w:p w14:paraId="371FA5FF" w14:textId="77777777" w:rsidR="00E76BB3" w:rsidRPr="003854B2" w:rsidRDefault="00E76BB3" w:rsidP="006802D3">
      <w:pPr>
        <w:pStyle w:val="Subtitle"/>
        <w:rPr>
          <w:lang w:val="fr-BE"/>
        </w:rPr>
      </w:pPr>
      <w:bookmarkStart w:id="289" w:name="_Toc66888475"/>
      <w:bookmarkStart w:id="290" w:name="_Toc93907379"/>
      <w:r w:rsidRPr="003854B2">
        <w:rPr>
          <w:lang w:val="fr-BE"/>
        </w:rPr>
        <w:t xml:space="preserve">Document Management, </w:t>
      </w:r>
      <w:bookmarkStart w:id="291" w:name="_Hlk65574050"/>
      <w:r w:rsidRPr="003854B2">
        <w:rPr>
          <w:lang w:val="fr-BE"/>
        </w:rPr>
        <w:t xml:space="preserve">digital transformation </w:t>
      </w:r>
      <w:bookmarkEnd w:id="291"/>
      <w:r w:rsidRPr="003854B2">
        <w:rPr>
          <w:lang w:val="fr-BE"/>
        </w:rPr>
        <w:t>and information management</w:t>
      </w:r>
      <w:bookmarkEnd w:id="287"/>
      <w:bookmarkEnd w:id="289"/>
      <w:bookmarkEnd w:id="290"/>
    </w:p>
    <w:p w14:paraId="542FF0EA" w14:textId="77777777" w:rsidR="00E76BB3" w:rsidRDefault="00E76BB3" w:rsidP="00E76BB3">
      <w:pPr>
        <w:jc w:val="both"/>
        <w:rPr>
          <w:rFonts w:cs="Arial"/>
          <w:color w:val="auto"/>
          <w:szCs w:val="22"/>
        </w:rPr>
      </w:pPr>
      <w:r w:rsidRPr="003854B2">
        <w:rPr>
          <w:rFonts w:cs="Arial"/>
          <w:color w:val="auto"/>
          <w:szCs w:val="22"/>
        </w:rPr>
        <w:t>The Joint Undertaking is aligned with the vision of President von der Leyen for each EC organization to lead by example in digital transformation. The Commission's Digital Strategy</w:t>
      </w:r>
      <w:r>
        <w:rPr>
          <w:rStyle w:val="FootnoteReference"/>
          <w:rFonts w:eastAsia="Arial"/>
          <w:color w:val="auto"/>
          <w:szCs w:val="22"/>
        </w:rPr>
        <w:footnoteReference w:id="271"/>
      </w:r>
      <w:r w:rsidRPr="003854B2">
        <w:rPr>
          <w:rFonts w:cs="Arial"/>
          <w:color w:val="auto"/>
          <w:szCs w:val="22"/>
        </w:rPr>
        <w:t>, adopted in November 2018 and the implementation Plan, approved by the Information Technology Cybersecurity Board (ITCB) in March 2020, is key to a transition to a new digital era and is clustered on the following pillars:</w:t>
      </w:r>
    </w:p>
    <w:p w14:paraId="4E3A3393" w14:textId="77777777" w:rsidR="00E76BB3" w:rsidRPr="003854B2" w:rsidRDefault="00E76BB3" w:rsidP="00E76BB3">
      <w:pPr>
        <w:jc w:val="both"/>
        <w:rPr>
          <w:rFonts w:cs="Arial"/>
          <w:color w:val="auto"/>
          <w:szCs w:val="22"/>
        </w:rPr>
      </w:pPr>
    </w:p>
    <w:p w14:paraId="29D95DD4" w14:textId="77777777" w:rsidR="00E76BB3" w:rsidRPr="003854B2" w:rsidRDefault="00E76BB3" w:rsidP="002256F6">
      <w:pPr>
        <w:pStyle w:val="ListParagraph"/>
        <w:numPr>
          <w:ilvl w:val="0"/>
          <w:numId w:val="64"/>
        </w:numPr>
        <w:spacing w:after="160" w:line="259" w:lineRule="auto"/>
        <w:contextualSpacing/>
        <w:jc w:val="both"/>
        <w:rPr>
          <w:rFonts w:ascii="Arial" w:hAnsi="Arial" w:cs="Arial"/>
        </w:rPr>
      </w:pPr>
      <w:r w:rsidRPr="003854B2">
        <w:rPr>
          <w:rFonts w:ascii="Arial" w:hAnsi="Arial" w:cs="Arial"/>
        </w:rPr>
        <w:t>paperless, streamlined procedures that use technology to remove mechanical tasks.</w:t>
      </w:r>
    </w:p>
    <w:p w14:paraId="12F1562D" w14:textId="77777777" w:rsidR="00E76BB3" w:rsidRPr="003854B2" w:rsidRDefault="00E76BB3" w:rsidP="002256F6">
      <w:pPr>
        <w:pStyle w:val="ListParagraph"/>
        <w:numPr>
          <w:ilvl w:val="0"/>
          <w:numId w:val="64"/>
        </w:numPr>
        <w:spacing w:after="160" w:line="259" w:lineRule="auto"/>
        <w:contextualSpacing/>
        <w:jc w:val="both"/>
        <w:rPr>
          <w:rFonts w:ascii="Arial" w:hAnsi="Arial" w:cs="Arial"/>
        </w:rPr>
      </w:pPr>
      <w:r w:rsidRPr="003854B2">
        <w:rPr>
          <w:rFonts w:ascii="Arial" w:hAnsi="Arial" w:cs="Arial"/>
        </w:rPr>
        <w:t>improve</w:t>
      </w:r>
      <w:r>
        <w:rPr>
          <w:rFonts w:ascii="Arial" w:hAnsi="Arial" w:cs="Arial"/>
        </w:rPr>
        <w:t>d</w:t>
      </w:r>
      <w:r w:rsidRPr="003854B2">
        <w:rPr>
          <w:rFonts w:ascii="Arial" w:hAnsi="Arial" w:cs="Arial"/>
        </w:rPr>
        <w:t xml:space="preserve"> access to and use of data to work more efficiently and be more transparent.</w:t>
      </w:r>
    </w:p>
    <w:p w14:paraId="4F83ACC0" w14:textId="77777777" w:rsidR="00E76BB3" w:rsidRPr="003854B2" w:rsidRDefault="00E76BB3" w:rsidP="002256F6">
      <w:pPr>
        <w:pStyle w:val="ListParagraph"/>
        <w:numPr>
          <w:ilvl w:val="0"/>
          <w:numId w:val="64"/>
        </w:numPr>
        <w:spacing w:after="160" w:line="259" w:lineRule="auto"/>
        <w:contextualSpacing/>
        <w:jc w:val="both"/>
        <w:rPr>
          <w:rFonts w:ascii="Arial" w:hAnsi="Arial" w:cs="Arial"/>
        </w:rPr>
      </w:pPr>
      <w:r w:rsidRPr="003854B2">
        <w:rPr>
          <w:rFonts w:ascii="Arial" w:hAnsi="Arial" w:cs="Arial"/>
        </w:rPr>
        <w:t>staff collaborat</w:t>
      </w:r>
      <w:r>
        <w:rPr>
          <w:rFonts w:ascii="Arial" w:hAnsi="Arial" w:cs="Arial"/>
        </w:rPr>
        <w:t>ing</w:t>
      </w:r>
      <w:r w:rsidRPr="003854B2">
        <w:rPr>
          <w:rFonts w:ascii="Arial" w:hAnsi="Arial" w:cs="Arial"/>
        </w:rPr>
        <w:t xml:space="preserve"> efficiently and easily anytime, anywhere and with all stakeholders.</w:t>
      </w:r>
    </w:p>
    <w:p w14:paraId="098728A1" w14:textId="77777777" w:rsidR="00E76BB3" w:rsidRDefault="00E76BB3" w:rsidP="00E76BB3">
      <w:pPr>
        <w:jc w:val="both"/>
        <w:rPr>
          <w:rFonts w:cs="Arial"/>
          <w:color w:val="auto"/>
          <w:szCs w:val="22"/>
        </w:rPr>
      </w:pPr>
      <w:r w:rsidRPr="003854B2">
        <w:rPr>
          <w:rFonts w:cs="Arial"/>
          <w:color w:val="auto"/>
          <w:szCs w:val="22"/>
        </w:rPr>
        <w:t xml:space="preserve">The </w:t>
      </w:r>
      <w:r>
        <w:rPr>
          <w:rFonts w:cs="Arial"/>
          <w:color w:val="auto"/>
          <w:szCs w:val="22"/>
        </w:rPr>
        <w:t>Clean Hydrogen</w:t>
      </w:r>
      <w:r w:rsidRPr="003854B2">
        <w:rPr>
          <w:rFonts w:cs="Arial"/>
          <w:color w:val="auto"/>
          <w:szCs w:val="22"/>
        </w:rPr>
        <w:t xml:space="preserve"> </w:t>
      </w:r>
      <w:r>
        <w:rPr>
          <w:rFonts w:cs="Arial"/>
          <w:color w:val="auto"/>
          <w:szCs w:val="22"/>
        </w:rPr>
        <w:t>approach</w:t>
      </w:r>
      <w:r w:rsidRPr="003854B2">
        <w:rPr>
          <w:rFonts w:cs="Arial"/>
          <w:color w:val="auto"/>
          <w:szCs w:val="22"/>
        </w:rPr>
        <w:t xml:space="preserve"> will be fully in line with the </w:t>
      </w:r>
      <w:r>
        <w:rPr>
          <w:rFonts w:cs="Arial"/>
          <w:color w:val="auto"/>
          <w:szCs w:val="22"/>
        </w:rPr>
        <w:t>above</w:t>
      </w:r>
      <w:r w:rsidRPr="003854B2">
        <w:rPr>
          <w:rFonts w:cs="Arial"/>
          <w:color w:val="auto"/>
          <w:szCs w:val="22"/>
        </w:rPr>
        <w:t xml:space="preserve"> pillars and </w:t>
      </w:r>
      <w:r>
        <w:rPr>
          <w:rFonts w:cs="Arial"/>
          <w:color w:val="auto"/>
          <w:szCs w:val="22"/>
        </w:rPr>
        <w:t xml:space="preserve">will </w:t>
      </w:r>
      <w:r w:rsidRPr="003854B2">
        <w:rPr>
          <w:rFonts w:cs="Arial"/>
          <w:color w:val="auto"/>
          <w:szCs w:val="22"/>
        </w:rPr>
        <w:t>support the following objectives:</w:t>
      </w:r>
    </w:p>
    <w:p w14:paraId="212E6B07" w14:textId="77777777" w:rsidR="00E76BB3" w:rsidRPr="00A14138" w:rsidRDefault="00E76BB3" w:rsidP="006802D3">
      <w:pPr>
        <w:pStyle w:val="MAWPsubtitle2"/>
      </w:pPr>
      <w:bookmarkStart w:id="292" w:name="_Toc66888476"/>
      <w:bookmarkStart w:id="293" w:name="_Toc93907380"/>
      <w:r w:rsidRPr="00A14138">
        <w:t>Information Management</w:t>
      </w:r>
      <w:bookmarkEnd w:id="292"/>
      <w:bookmarkEnd w:id="293"/>
    </w:p>
    <w:p w14:paraId="22B240D5" w14:textId="77777777" w:rsidR="00E76BB3" w:rsidRPr="003854B2" w:rsidRDefault="00E76BB3" w:rsidP="00E76BB3">
      <w:pPr>
        <w:pStyle w:val="MAWP-Bodytext"/>
        <w:rPr>
          <w:i/>
          <w:iCs/>
        </w:rPr>
      </w:pPr>
      <w:r w:rsidRPr="003854B2">
        <w:rPr>
          <w:i/>
          <w:iCs/>
          <w:u w:val="single"/>
        </w:rPr>
        <w:t>Objective</w:t>
      </w:r>
      <w:r w:rsidRPr="003854B2">
        <w:rPr>
          <w:i/>
          <w:iCs/>
        </w:rPr>
        <w:t xml:space="preserve">: The Clean Hydrogen JU will </w:t>
      </w:r>
      <w:r>
        <w:rPr>
          <w:i/>
          <w:iCs/>
        </w:rPr>
        <w:t>use a</w:t>
      </w:r>
      <w:r w:rsidRPr="003854B2">
        <w:rPr>
          <w:i/>
          <w:iCs/>
        </w:rPr>
        <w:t xml:space="preserve"> portfolio of secure, state-of-the-art corporate digital solutions</w:t>
      </w:r>
    </w:p>
    <w:p w14:paraId="2B6DF82F" w14:textId="77777777" w:rsidR="00E76BB3" w:rsidRPr="003854B2" w:rsidRDefault="00E76BB3" w:rsidP="00E76BB3">
      <w:pPr>
        <w:jc w:val="both"/>
        <w:rPr>
          <w:rFonts w:cs="Arial"/>
          <w:color w:val="auto"/>
          <w:szCs w:val="22"/>
        </w:rPr>
      </w:pPr>
      <w:r w:rsidRPr="003854B2">
        <w:rPr>
          <w:rFonts w:cs="Arial"/>
          <w:color w:val="auto"/>
          <w:szCs w:val="22"/>
        </w:rPr>
        <w:t xml:space="preserve">This portfolio is composed of many digital systems for administrative supports. The Directorates General own these systems and they are crucial for the efficiency and effectiveness of the JU as it automates its processes. </w:t>
      </w:r>
      <w:r>
        <w:rPr>
          <w:rFonts w:cs="Arial"/>
          <w:color w:val="auto"/>
          <w:szCs w:val="22"/>
        </w:rPr>
        <w:t>I</w:t>
      </w:r>
      <w:r w:rsidRPr="003854B2">
        <w:rPr>
          <w:rFonts w:cs="Arial"/>
          <w:color w:val="auto"/>
          <w:szCs w:val="22"/>
        </w:rPr>
        <w:t>t is essential t</w:t>
      </w:r>
      <w:r>
        <w:rPr>
          <w:rFonts w:cs="Arial"/>
          <w:color w:val="auto"/>
          <w:szCs w:val="22"/>
        </w:rPr>
        <w:t>hat the Clean Hydrogen JU continues to use or adopt</w:t>
      </w:r>
      <w:r w:rsidRPr="003854B2">
        <w:rPr>
          <w:rFonts w:cs="Arial"/>
          <w:color w:val="auto"/>
          <w:szCs w:val="22"/>
        </w:rPr>
        <w:t xml:space="preserve"> </w:t>
      </w:r>
      <w:r w:rsidRPr="003854B2">
        <w:rPr>
          <w:rFonts w:cs="Arial"/>
          <w:b/>
          <w:bCs/>
          <w:color w:val="auto"/>
          <w:szCs w:val="22"/>
        </w:rPr>
        <w:t>flagship digital solutions</w:t>
      </w:r>
      <w:r w:rsidRPr="003854B2">
        <w:rPr>
          <w:rFonts w:cs="Arial"/>
          <w:color w:val="auto"/>
          <w:szCs w:val="22"/>
        </w:rPr>
        <w:t xml:space="preserve"> </w:t>
      </w:r>
      <w:r>
        <w:rPr>
          <w:rFonts w:cs="Arial"/>
          <w:color w:val="auto"/>
          <w:szCs w:val="22"/>
        </w:rPr>
        <w:t xml:space="preserve">developed by DIGIT, such as for example: </w:t>
      </w:r>
      <w:r w:rsidRPr="003854B2">
        <w:rPr>
          <w:rFonts w:cs="Arial"/>
          <w:color w:val="auto"/>
          <w:szCs w:val="22"/>
        </w:rPr>
        <w:t>in the domain of human resources</w:t>
      </w:r>
      <w:r>
        <w:rPr>
          <w:rFonts w:cs="Arial"/>
          <w:color w:val="auto"/>
          <w:szCs w:val="22"/>
        </w:rPr>
        <w:t xml:space="preserve"> (SYSPER)</w:t>
      </w:r>
      <w:r w:rsidRPr="003854B2">
        <w:rPr>
          <w:rFonts w:cs="Arial"/>
          <w:color w:val="auto"/>
          <w:szCs w:val="22"/>
        </w:rPr>
        <w:t>, document management</w:t>
      </w:r>
      <w:r>
        <w:rPr>
          <w:rFonts w:cs="Arial"/>
          <w:color w:val="auto"/>
          <w:szCs w:val="22"/>
        </w:rPr>
        <w:t xml:space="preserve"> (ARES),</w:t>
      </w:r>
      <w:r w:rsidRPr="003854B2">
        <w:rPr>
          <w:rFonts w:cs="Arial"/>
          <w:color w:val="auto"/>
          <w:szCs w:val="22"/>
        </w:rPr>
        <w:t xml:space="preserve"> procurement</w:t>
      </w:r>
      <w:r>
        <w:rPr>
          <w:rFonts w:cs="Arial"/>
          <w:color w:val="auto"/>
          <w:szCs w:val="22"/>
        </w:rPr>
        <w:t xml:space="preserve"> (eProcurement)</w:t>
      </w:r>
      <w:r w:rsidRPr="003854B2">
        <w:rPr>
          <w:rFonts w:cs="Arial"/>
          <w:color w:val="auto"/>
          <w:szCs w:val="22"/>
        </w:rPr>
        <w:t>, grants</w:t>
      </w:r>
      <w:r>
        <w:rPr>
          <w:rFonts w:cs="Arial"/>
          <w:color w:val="auto"/>
          <w:szCs w:val="22"/>
        </w:rPr>
        <w:t xml:space="preserve"> (eGrants)</w:t>
      </w:r>
      <w:r w:rsidRPr="003854B2">
        <w:rPr>
          <w:rFonts w:cs="Arial"/>
          <w:color w:val="auto"/>
          <w:szCs w:val="22"/>
        </w:rPr>
        <w:t>, web presence</w:t>
      </w:r>
      <w:r>
        <w:rPr>
          <w:rFonts w:cs="Arial"/>
          <w:color w:val="auto"/>
          <w:szCs w:val="22"/>
        </w:rPr>
        <w:t xml:space="preserve"> (Next-EUROPA)</w:t>
      </w:r>
      <w:r w:rsidRPr="003854B2">
        <w:rPr>
          <w:rFonts w:cs="Arial"/>
          <w:color w:val="auto"/>
          <w:szCs w:val="22"/>
        </w:rPr>
        <w:t>, citizens’ engagement</w:t>
      </w:r>
      <w:r>
        <w:rPr>
          <w:rFonts w:cs="Arial"/>
          <w:color w:val="auto"/>
          <w:szCs w:val="22"/>
        </w:rPr>
        <w:t xml:space="preserve"> (EUSurvey)</w:t>
      </w:r>
      <w:r w:rsidRPr="003854B2">
        <w:rPr>
          <w:rFonts w:cs="Arial"/>
          <w:color w:val="auto"/>
          <w:szCs w:val="22"/>
        </w:rPr>
        <w:t>, collaboration</w:t>
      </w:r>
      <w:r>
        <w:rPr>
          <w:rFonts w:cs="Arial"/>
          <w:color w:val="auto"/>
          <w:szCs w:val="22"/>
        </w:rPr>
        <w:t xml:space="preserve"> (AresBridge)</w:t>
      </w:r>
      <w:r w:rsidRPr="003854B2">
        <w:rPr>
          <w:rFonts w:cs="Arial"/>
          <w:color w:val="auto"/>
          <w:szCs w:val="22"/>
        </w:rPr>
        <w:t xml:space="preserve"> </w:t>
      </w:r>
      <w:r>
        <w:rPr>
          <w:rFonts w:cs="Arial"/>
          <w:color w:val="auto"/>
          <w:szCs w:val="22"/>
        </w:rPr>
        <w:t>and i</w:t>
      </w:r>
      <w:r w:rsidRPr="003854B2">
        <w:rPr>
          <w:rFonts w:cs="Arial"/>
          <w:color w:val="auto"/>
          <w:szCs w:val="22"/>
        </w:rPr>
        <w:t xml:space="preserve">nformation </w:t>
      </w:r>
      <w:r>
        <w:rPr>
          <w:rFonts w:cs="Arial"/>
          <w:color w:val="auto"/>
          <w:szCs w:val="22"/>
        </w:rPr>
        <w:t>s</w:t>
      </w:r>
      <w:r w:rsidRPr="003854B2">
        <w:rPr>
          <w:rFonts w:cs="Arial"/>
          <w:color w:val="auto"/>
          <w:szCs w:val="22"/>
        </w:rPr>
        <w:t>ystems</w:t>
      </w:r>
      <w:r>
        <w:rPr>
          <w:rFonts w:cs="Arial"/>
          <w:color w:val="auto"/>
          <w:szCs w:val="22"/>
        </w:rPr>
        <w:t xml:space="preserve"> which are:</w:t>
      </w:r>
    </w:p>
    <w:p w14:paraId="34D6DD85" w14:textId="77777777" w:rsidR="00E76BB3" w:rsidRPr="003854B2" w:rsidRDefault="00E76BB3" w:rsidP="002256F6">
      <w:pPr>
        <w:pStyle w:val="ListParagraph"/>
        <w:numPr>
          <w:ilvl w:val="0"/>
          <w:numId w:val="67"/>
        </w:numPr>
        <w:spacing w:after="160" w:line="259" w:lineRule="auto"/>
        <w:contextualSpacing/>
        <w:jc w:val="both"/>
        <w:rPr>
          <w:rFonts w:ascii="Arial" w:hAnsi="Arial" w:cs="Arial"/>
        </w:rPr>
      </w:pPr>
      <w:r>
        <w:rPr>
          <w:rFonts w:ascii="Arial" w:hAnsi="Arial" w:cs="Arial"/>
          <w:lang w:val="en-US"/>
        </w:rPr>
        <w:t>e</w:t>
      </w:r>
      <w:r>
        <w:rPr>
          <w:rFonts w:ascii="Arial" w:hAnsi="Arial" w:cs="Arial"/>
        </w:rPr>
        <w:t xml:space="preserve">ither </w:t>
      </w:r>
      <w:r w:rsidRPr="003854B2">
        <w:rPr>
          <w:rFonts w:ascii="Arial" w:hAnsi="Arial" w:cs="Arial"/>
        </w:rPr>
        <w:t>connected to a managed service such EU LOGIN, EU SIGN, EU SEND or EU ACCESS</w:t>
      </w:r>
      <w:r>
        <w:rPr>
          <w:rFonts w:ascii="Arial" w:hAnsi="Arial" w:cs="Arial"/>
        </w:rPr>
        <w:t xml:space="preserve"> or</w:t>
      </w:r>
    </w:p>
    <w:p w14:paraId="31FD04DE" w14:textId="77777777" w:rsidR="00E76BB3" w:rsidRPr="003854B2" w:rsidRDefault="00E76BB3" w:rsidP="002256F6">
      <w:pPr>
        <w:pStyle w:val="ListParagraph"/>
        <w:numPr>
          <w:ilvl w:val="0"/>
          <w:numId w:val="67"/>
        </w:numPr>
        <w:spacing w:after="160" w:line="259" w:lineRule="auto"/>
        <w:contextualSpacing/>
        <w:jc w:val="both"/>
        <w:rPr>
          <w:rFonts w:ascii="Arial" w:hAnsi="Arial" w:cs="Arial"/>
        </w:rPr>
      </w:pPr>
      <w:r w:rsidRPr="003854B2">
        <w:rPr>
          <w:rFonts w:ascii="Arial" w:hAnsi="Arial" w:cs="Arial"/>
        </w:rPr>
        <w:t>deploying a building block (via an EU Programme) such as eID, eSignature, eDelivery</w:t>
      </w:r>
    </w:p>
    <w:p w14:paraId="52B09269" w14:textId="77777777" w:rsidR="00E76BB3" w:rsidRDefault="00E76BB3" w:rsidP="00E76BB3">
      <w:pPr>
        <w:jc w:val="both"/>
        <w:rPr>
          <w:rFonts w:cs="Arial"/>
          <w:color w:val="auto"/>
          <w:szCs w:val="22"/>
        </w:rPr>
      </w:pPr>
      <w:r w:rsidRPr="003854B2">
        <w:rPr>
          <w:rFonts w:cs="Arial"/>
          <w:color w:val="auto"/>
          <w:szCs w:val="22"/>
        </w:rPr>
        <w:t xml:space="preserve">In that context, the Joint Undertaking will continue to grow on the current IT Landscape, adopting </w:t>
      </w:r>
      <w:r w:rsidRPr="003854B2">
        <w:rPr>
          <w:rFonts w:cs="Arial"/>
          <w:b/>
          <w:color w:val="auto"/>
          <w:szCs w:val="22"/>
        </w:rPr>
        <w:t>the reusable solutions platform (RSP)</w:t>
      </w:r>
      <w:r w:rsidRPr="003854B2">
        <w:rPr>
          <w:rFonts w:cs="Arial"/>
          <w:color w:val="auto"/>
          <w:szCs w:val="22"/>
        </w:rPr>
        <w:t xml:space="preserve"> as much as possible </w:t>
      </w:r>
      <w:r>
        <w:rPr>
          <w:rFonts w:cs="Arial"/>
          <w:color w:val="auto"/>
          <w:szCs w:val="22"/>
        </w:rPr>
        <w:t>offered by</w:t>
      </w:r>
      <w:r w:rsidRPr="003854B2">
        <w:rPr>
          <w:rFonts w:cs="Arial"/>
          <w:color w:val="auto"/>
          <w:szCs w:val="22"/>
        </w:rPr>
        <w:t xml:space="preserve"> the Commission and DIGIT to the Joint Undertakings were the costs efficiency on long term are obvious.</w:t>
      </w:r>
    </w:p>
    <w:p w14:paraId="5AEDB736" w14:textId="77777777" w:rsidR="00E76BB3" w:rsidRPr="003854B2" w:rsidRDefault="00E76BB3" w:rsidP="00E76BB3">
      <w:pPr>
        <w:jc w:val="both"/>
        <w:rPr>
          <w:rFonts w:cs="Arial"/>
          <w:color w:val="auto"/>
          <w:szCs w:val="22"/>
        </w:rPr>
      </w:pPr>
    </w:p>
    <w:p w14:paraId="6C9A7020" w14:textId="77777777" w:rsidR="00E76BB3" w:rsidRPr="003854B2" w:rsidRDefault="00E76BB3" w:rsidP="00E76BB3">
      <w:pPr>
        <w:pStyle w:val="MAWP-Bodytext"/>
        <w:rPr>
          <w:i/>
          <w:iCs/>
        </w:rPr>
      </w:pPr>
      <w:r w:rsidRPr="003854B2">
        <w:rPr>
          <w:i/>
          <w:iCs/>
          <w:u w:val="single"/>
        </w:rPr>
        <w:t>Objective</w:t>
      </w:r>
      <w:r w:rsidRPr="003854B2">
        <w:rPr>
          <w:i/>
          <w:iCs/>
        </w:rPr>
        <w:t xml:space="preserve">: The Clean Hydrogen JU will exploit the potential of data, information, knowledge and </w:t>
      </w:r>
      <w:r w:rsidRPr="003854B2">
        <w:rPr>
          <w:i/>
          <w:iCs/>
        </w:rPr>
        <w:lastRenderedPageBreak/>
        <w:t xml:space="preserve">content management for </w:t>
      </w:r>
      <w:r>
        <w:rPr>
          <w:i/>
          <w:iCs/>
        </w:rPr>
        <w:t>running the program</w:t>
      </w:r>
      <w:r w:rsidRPr="003854B2">
        <w:rPr>
          <w:i/>
          <w:iCs/>
        </w:rPr>
        <w:t>, communication</w:t>
      </w:r>
      <w:r>
        <w:rPr>
          <w:i/>
          <w:iCs/>
        </w:rPr>
        <w:t xml:space="preserve"> to</w:t>
      </w:r>
      <w:r w:rsidRPr="003854B2">
        <w:rPr>
          <w:i/>
          <w:iCs/>
        </w:rPr>
        <w:t xml:space="preserve"> citizens </w:t>
      </w:r>
      <w:r>
        <w:rPr>
          <w:i/>
          <w:iCs/>
        </w:rPr>
        <w:t xml:space="preserve">and stakeholders </w:t>
      </w:r>
      <w:r w:rsidRPr="003854B2">
        <w:rPr>
          <w:i/>
          <w:iCs/>
        </w:rPr>
        <w:t xml:space="preserve">and </w:t>
      </w:r>
      <w:r>
        <w:rPr>
          <w:i/>
          <w:iCs/>
        </w:rPr>
        <w:t xml:space="preserve">best </w:t>
      </w:r>
      <w:r w:rsidRPr="003854B2">
        <w:rPr>
          <w:i/>
          <w:iCs/>
        </w:rPr>
        <w:t>staff engagement</w:t>
      </w:r>
    </w:p>
    <w:p w14:paraId="7BCC6FD6" w14:textId="77777777" w:rsidR="00E76BB3" w:rsidRDefault="00E76BB3" w:rsidP="00E76BB3">
      <w:pPr>
        <w:jc w:val="both"/>
        <w:rPr>
          <w:rFonts w:cs="Arial"/>
          <w:color w:val="auto"/>
          <w:szCs w:val="22"/>
          <w:lang w:val="en"/>
        </w:rPr>
      </w:pPr>
      <w:r w:rsidRPr="003854B2">
        <w:rPr>
          <w:rFonts w:cs="Arial"/>
          <w:color w:val="auto"/>
          <w:szCs w:val="22"/>
          <w:lang w:val="en"/>
        </w:rPr>
        <w:t xml:space="preserve">Digital solutions </w:t>
      </w:r>
      <w:r>
        <w:rPr>
          <w:rFonts w:cs="Arial"/>
          <w:color w:val="auto"/>
          <w:szCs w:val="22"/>
          <w:lang w:val="en"/>
        </w:rPr>
        <w:t xml:space="preserve">already available to </w:t>
      </w:r>
      <w:r w:rsidRPr="003854B2">
        <w:rPr>
          <w:rFonts w:cs="Arial"/>
          <w:color w:val="auto"/>
          <w:szCs w:val="22"/>
          <w:lang w:val="en"/>
        </w:rPr>
        <w:t>the Joint Undertaking facilitate the interaction with internal</w:t>
      </w:r>
      <w:r>
        <w:rPr>
          <w:rFonts w:cs="Arial"/>
          <w:color w:val="auto"/>
          <w:szCs w:val="22"/>
          <w:lang w:val="en"/>
        </w:rPr>
        <w:t xml:space="preserve"> actors</w:t>
      </w:r>
      <w:r w:rsidRPr="003854B2">
        <w:rPr>
          <w:rFonts w:cs="Arial"/>
          <w:color w:val="auto"/>
          <w:szCs w:val="22"/>
          <w:lang w:val="en"/>
        </w:rPr>
        <w:t xml:space="preserve"> (</w:t>
      </w:r>
      <w:r w:rsidRPr="003854B2">
        <w:rPr>
          <w:rFonts w:cs="Arial"/>
          <w:b/>
          <w:bCs/>
          <w:color w:val="auto"/>
          <w:szCs w:val="22"/>
          <w:lang w:val="en"/>
        </w:rPr>
        <w:t>collaboration, intranet, My IntraComm</w:t>
      </w:r>
      <w:r w:rsidRPr="003854B2">
        <w:rPr>
          <w:rFonts w:cs="Arial"/>
          <w:color w:val="auto"/>
          <w:szCs w:val="22"/>
          <w:lang w:val="en"/>
        </w:rPr>
        <w:t>) and external</w:t>
      </w:r>
      <w:r>
        <w:rPr>
          <w:rFonts w:cs="Arial"/>
          <w:color w:val="auto"/>
          <w:szCs w:val="22"/>
          <w:lang w:val="en"/>
        </w:rPr>
        <w:t xml:space="preserve"> </w:t>
      </w:r>
      <w:r w:rsidRPr="003854B2">
        <w:rPr>
          <w:rFonts w:cs="Arial"/>
          <w:color w:val="auto"/>
          <w:szCs w:val="22"/>
          <w:lang w:val="en"/>
        </w:rPr>
        <w:t xml:space="preserve">stakeholders and citizens </w:t>
      </w:r>
      <w:r w:rsidRPr="003854B2">
        <w:rPr>
          <w:rFonts w:cs="Arial"/>
          <w:b/>
          <w:bCs/>
          <w:color w:val="auto"/>
          <w:szCs w:val="22"/>
          <w:lang w:val="en"/>
        </w:rPr>
        <w:t>(web presence platform (Europa), collaboration, engagement</w:t>
      </w:r>
      <w:r w:rsidRPr="003854B2">
        <w:rPr>
          <w:rFonts w:cs="Arial"/>
          <w:color w:val="auto"/>
          <w:szCs w:val="22"/>
        </w:rPr>
        <w:t xml:space="preserve"> </w:t>
      </w:r>
      <w:r w:rsidRPr="003854B2">
        <w:rPr>
          <w:rFonts w:cs="Arial"/>
          <w:b/>
          <w:bCs/>
          <w:color w:val="auto"/>
          <w:szCs w:val="22"/>
          <w:lang w:val="en"/>
        </w:rPr>
        <w:t>(EU Survey), e-learning</w:t>
      </w:r>
      <w:r w:rsidRPr="003854B2">
        <w:rPr>
          <w:rFonts w:cs="Arial"/>
          <w:color w:val="auto"/>
          <w:szCs w:val="22"/>
          <w:lang w:val="en"/>
        </w:rPr>
        <w:t>).</w:t>
      </w:r>
    </w:p>
    <w:p w14:paraId="6CEB5A74" w14:textId="77777777" w:rsidR="00E76BB3" w:rsidRPr="003854B2" w:rsidRDefault="00E76BB3" w:rsidP="00E76BB3">
      <w:pPr>
        <w:jc w:val="both"/>
        <w:rPr>
          <w:rFonts w:cs="Arial"/>
          <w:color w:val="auto"/>
          <w:szCs w:val="22"/>
          <w:lang w:val="en"/>
        </w:rPr>
      </w:pPr>
    </w:p>
    <w:p w14:paraId="1BF9FBC5" w14:textId="77777777" w:rsidR="00E76BB3" w:rsidRDefault="00E76BB3" w:rsidP="00E76BB3">
      <w:pPr>
        <w:jc w:val="both"/>
        <w:rPr>
          <w:rFonts w:cs="Arial"/>
          <w:color w:val="auto"/>
          <w:szCs w:val="22"/>
          <w:lang w:val="en"/>
        </w:rPr>
      </w:pPr>
      <w:r w:rsidRPr="003854B2">
        <w:rPr>
          <w:rFonts w:cs="Arial"/>
          <w:color w:val="auto"/>
          <w:szCs w:val="22"/>
        </w:rPr>
        <w:t xml:space="preserve">But we will keep also our autonomy to </w:t>
      </w:r>
      <w:r w:rsidRPr="003854B2">
        <w:rPr>
          <w:rFonts w:cs="Arial"/>
          <w:color w:val="auto"/>
          <w:szCs w:val="22"/>
          <w:lang w:val="en"/>
        </w:rPr>
        <w:t xml:space="preserve">adopt specific </w:t>
      </w:r>
      <w:r w:rsidRPr="003854B2">
        <w:rPr>
          <w:rFonts w:cs="Arial"/>
          <w:b/>
          <w:color w:val="auto"/>
          <w:szCs w:val="22"/>
          <w:lang w:val="en"/>
        </w:rPr>
        <w:t xml:space="preserve">digital </w:t>
      </w:r>
      <w:r>
        <w:rPr>
          <w:rFonts w:cs="Arial"/>
          <w:b/>
          <w:color w:val="auto"/>
          <w:szCs w:val="22"/>
          <w:lang w:val="en"/>
        </w:rPr>
        <w:t>solutions</w:t>
      </w:r>
      <w:r w:rsidRPr="003854B2">
        <w:rPr>
          <w:rFonts w:cs="Arial"/>
          <w:color w:val="auto"/>
          <w:szCs w:val="22"/>
          <w:lang w:val="en"/>
        </w:rPr>
        <w:t xml:space="preserve"> necessary to perform our tasks related to the administrative implementation of the program</w:t>
      </w:r>
      <w:r w:rsidRPr="003854B2">
        <w:rPr>
          <w:rFonts w:cs="Arial"/>
          <w:color w:val="auto"/>
          <w:szCs w:val="22"/>
        </w:rPr>
        <w:t xml:space="preserve"> helping to the collecting of data’s and reporting on the KPIs, or adopting new platform for sharing and reuse of information’s </w:t>
      </w:r>
      <w:r w:rsidRPr="003854B2">
        <w:rPr>
          <w:rFonts w:cs="Arial"/>
          <w:color w:val="auto"/>
          <w:szCs w:val="22"/>
          <w:lang w:val="en"/>
        </w:rPr>
        <w:t>that are not available directly to the Joint Undertakings from existing catalog of services.</w:t>
      </w:r>
    </w:p>
    <w:p w14:paraId="09A6B1B4" w14:textId="77777777" w:rsidR="00E76BB3" w:rsidRPr="00A14138" w:rsidRDefault="00E76BB3" w:rsidP="006802D3">
      <w:pPr>
        <w:pStyle w:val="MAWPsubtitle2"/>
      </w:pPr>
      <w:bookmarkStart w:id="294" w:name="_Toc66888477"/>
      <w:bookmarkStart w:id="295" w:name="_Toc93907381"/>
      <w:r>
        <w:t>D</w:t>
      </w:r>
      <w:r w:rsidRPr="00A14138">
        <w:t xml:space="preserve">igital </w:t>
      </w:r>
      <w:r>
        <w:t>T</w:t>
      </w:r>
      <w:r w:rsidRPr="00A14138">
        <w:t>ransformation</w:t>
      </w:r>
      <w:bookmarkEnd w:id="294"/>
      <w:bookmarkEnd w:id="295"/>
    </w:p>
    <w:p w14:paraId="5AFC08B3" w14:textId="77777777" w:rsidR="00E76BB3" w:rsidRPr="003854B2" w:rsidRDefault="00E76BB3" w:rsidP="00E76BB3">
      <w:pPr>
        <w:pStyle w:val="MAWP-Bodytext"/>
        <w:rPr>
          <w:i/>
          <w:iCs/>
        </w:rPr>
      </w:pPr>
      <w:r w:rsidRPr="003854B2">
        <w:rPr>
          <w:i/>
          <w:iCs/>
          <w:u w:val="single"/>
        </w:rPr>
        <w:t>Objective</w:t>
      </w:r>
      <w:r w:rsidRPr="003854B2">
        <w:rPr>
          <w:i/>
          <w:iCs/>
        </w:rPr>
        <w:t xml:space="preserve">: The Clean Hydrogen JU will </w:t>
      </w:r>
      <w:r>
        <w:rPr>
          <w:i/>
          <w:iCs/>
        </w:rPr>
        <w:t>build</w:t>
      </w:r>
      <w:r w:rsidRPr="003854B2">
        <w:rPr>
          <w:i/>
          <w:iCs/>
        </w:rPr>
        <w:t xml:space="preserve"> a performing digital infrastructure and a fit-for-purpose Digital Workplace</w:t>
      </w:r>
    </w:p>
    <w:p w14:paraId="11E6B1B8" w14:textId="77777777" w:rsidR="00E76BB3" w:rsidRPr="003854B2" w:rsidRDefault="00E76BB3" w:rsidP="00E76BB3">
      <w:pPr>
        <w:jc w:val="both"/>
        <w:rPr>
          <w:rFonts w:cs="Arial"/>
          <w:color w:val="auto"/>
          <w:szCs w:val="22"/>
          <w:lang w:val="en"/>
        </w:rPr>
      </w:pPr>
      <w:r w:rsidRPr="003854B2">
        <w:rPr>
          <w:rFonts w:cs="Arial"/>
          <w:color w:val="auto"/>
          <w:szCs w:val="22"/>
        </w:rPr>
        <w:t xml:space="preserve">Each staff member will benefit from a modern, individualized </w:t>
      </w:r>
      <w:r w:rsidRPr="00555993">
        <w:rPr>
          <w:rFonts w:cs="Arial"/>
          <w:b/>
          <w:bCs/>
          <w:color w:val="auto"/>
          <w:szCs w:val="22"/>
        </w:rPr>
        <w:t>digital workplace</w:t>
      </w:r>
      <w:r w:rsidRPr="003854B2">
        <w:rPr>
          <w:rFonts w:cs="Arial"/>
          <w:color w:val="auto"/>
          <w:szCs w:val="22"/>
        </w:rPr>
        <w:t xml:space="preserve"> remotely accessible, allowing for more flexibility and work-life balance</w:t>
      </w:r>
      <w:r>
        <w:rPr>
          <w:rFonts w:cs="Arial"/>
          <w:color w:val="auto"/>
          <w:szCs w:val="22"/>
        </w:rPr>
        <w:t>.</w:t>
      </w:r>
      <w:r w:rsidRPr="003854B2">
        <w:rPr>
          <w:rFonts w:cs="Arial"/>
          <w:color w:val="auto"/>
          <w:szCs w:val="22"/>
        </w:rPr>
        <w:t xml:space="preserve"> The digital ecosystem is supported by standardized and centrally managed IT equipment and support services as well as by cloud services. </w:t>
      </w:r>
      <w:r w:rsidRPr="003854B2">
        <w:rPr>
          <w:rFonts w:cs="Arial"/>
          <w:color w:val="auto"/>
          <w:szCs w:val="22"/>
          <w:lang w:val="en"/>
        </w:rPr>
        <w:t xml:space="preserve">The adoption of </w:t>
      </w:r>
      <w:r>
        <w:rPr>
          <w:rFonts w:cs="Arial"/>
          <w:color w:val="auto"/>
          <w:szCs w:val="22"/>
          <w:lang w:val="en"/>
        </w:rPr>
        <w:t>emerging</w:t>
      </w:r>
      <w:r w:rsidRPr="003854B2">
        <w:rPr>
          <w:rFonts w:cs="Arial"/>
          <w:color w:val="auto"/>
          <w:szCs w:val="22"/>
          <w:lang w:val="en"/>
        </w:rPr>
        <w:t xml:space="preserve"> technologies will allow us to easily access</w:t>
      </w:r>
      <w:r>
        <w:rPr>
          <w:rFonts w:cs="Arial"/>
          <w:color w:val="auto"/>
          <w:szCs w:val="22"/>
          <w:lang w:val="en"/>
        </w:rPr>
        <w:t xml:space="preserve"> </w:t>
      </w:r>
      <w:r w:rsidRPr="003854B2">
        <w:rPr>
          <w:rFonts w:cs="Arial"/>
          <w:color w:val="auto"/>
          <w:szCs w:val="22"/>
          <w:lang w:val="en"/>
        </w:rPr>
        <w:t>data repositories in the cloud, mobile device integration, and the ability to participate in calls, videoconferences, and other collaborative workgroup from anywhere at any time.</w:t>
      </w:r>
    </w:p>
    <w:p w14:paraId="5A3C8887" w14:textId="77777777" w:rsidR="00E76BB3" w:rsidRPr="003854B2" w:rsidRDefault="00E76BB3" w:rsidP="00E76BB3">
      <w:pPr>
        <w:jc w:val="both"/>
        <w:rPr>
          <w:rFonts w:cs="Arial"/>
          <w:color w:val="auto"/>
          <w:szCs w:val="22"/>
        </w:rPr>
      </w:pPr>
    </w:p>
    <w:p w14:paraId="5F4E9515" w14:textId="77777777" w:rsidR="00E76BB3" w:rsidRDefault="00E76BB3" w:rsidP="00E76BB3">
      <w:pPr>
        <w:jc w:val="both"/>
        <w:rPr>
          <w:rFonts w:cs="Arial"/>
          <w:color w:val="auto"/>
          <w:szCs w:val="22"/>
          <w:lang w:val="en"/>
        </w:rPr>
      </w:pPr>
      <w:r w:rsidRPr="003854B2">
        <w:rPr>
          <w:rFonts w:cs="Arial"/>
          <w:color w:val="auto"/>
          <w:szCs w:val="22"/>
          <w:lang w:val="en"/>
        </w:rPr>
        <w:t xml:space="preserve">Concerning the </w:t>
      </w:r>
      <w:r w:rsidRPr="003854B2">
        <w:rPr>
          <w:rFonts w:cs="Arial"/>
          <w:b/>
          <w:color w:val="auto"/>
          <w:szCs w:val="22"/>
          <w:lang w:val="en"/>
        </w:rPr>
        <w:t>digital infrastructure</w:t>
      </w:r>
      <w:r w:rsidRPr="003854B2">
        <w:rPr>
          <w:rFonts w:cs="Arial"/>
          <w:color w:val="auto"/>
          <w:szCs w:val="22"/>
          <w:lang w:val="en"/>
        </w:rPr>
        <w:t xml:space="preserve">, we will continue to consolidate the secure, </w:t>
      </w:r>
      <w:r w:rsidRPr="003854B2">
        <w:rPr>
          <w:rFonts w:cs="Arial"/>
          <w:b/>
          <w:bCs/>
          <w:color w:val="auto"/>
          <w:szCs w:val="22"/>
        </w:rPr>
        <w:t>hybrid infrastructure</w:t>
      </w:r>
      <w:r w:rsidRPr="003854B2">
        <w:rPr>
          <w:rFonts w:cs="Arial"/>
          <w:color w:val="auto"/>
          <w:szCs w:val="22"/>
        </w:rPr>
        <w:t xml:space="preserve"> </w:t>
      </w:r>
      <w:r w:rsidRPr="003854B2">
        <w:rPr>
          <w:rFonts w:cs="Arial"/>
          <w:b/>
          <w:bCs/>
          <w:color w:val="auto"/>
          <w:szCs w:val="22"/>
          <w:lang w:val="en"/>
        </w:rPr>
        <w:t>cloud services</w:t>
      </w:r>
      <w:r w:rsidRPr="003854B2">
        <w:rPr>
          <w:rFonts w:cs="Arial"/>
          <w:color w:val="auto"/>
          <w:szCs w:val="22"/>
          <w:lang w:val="en"/>
        </w:rPr>
        <w:t xml:space="preserve"> of the previous Joint Undertakings hosted in the White Atrium, </w:t>
      </w:r>
      <w:r w:rsidRPr="003854B2">
        <w:rPr>
          <w:rFonts w:cs="Arial"/>
          <w:color w:val="auto"/>
          <w:szCs w:val="22"/>
        </w:rPr>
        <w:t xml:space="preserve">which combines services running in the </w:t>
      </w:r>
      <w:r w:rsidRPr="003854B2">
        <w:rPr>
          <w:rFonts w:cs="Arial"/>
          <w:b/>
          <w:bCs/>
          <w:color w:val="auto"/>
          <w:szCs w:val="22"/>
        </w:rPr>
        <w:t xml:space="preserve">community cloud and in the public cloud, </w:t>
      </w:r>
      <w:r w:rsidRPr="003854B2">
        <w:rPr>
          <w:rFonts w:cs="Arial"/>
          <w:color w:val="auto"/>
          <w:szCs w:val="22"/>
          <w:lang w:val="en"/>
        </w:rPr>
        <w:t xml:space="preserve"> and rely on the secure pan-European networks for the Commission, executive agencies and other European institutions. We will further exploit and offer the reusable element to the other Joint Undertakings or interested agencies</w:t>
      </w:r>
    </w:p>
    <w:p w14:paraId="64BA3200" w14:textId="77777777" w:rsidR="00E76BB3" w:rsidRPr="003854B2" w:rsidRDefault="00E76BB3" w:rsidP="00E76BB3">
      <w:pPr>
        <w:jc w:val="both"/>
        <w:rPr>
          <w:rFonts w:cs="Arial"/>
          <w:b/>
          <w:bCs/>
          <w:color w:val="auto"/>
        </w:rPr>
      </w:pPr>
    </w:p>
    <w:p w14:paraId="561D0F01" w14:textId="77777777" w:rsidR="00E76BB3" w:rsidRPr="003854B2" w:rsidRDefault="00E76BB3" w:rsidP="00E76BB3">
      <w:pPr>
        <w:pStyle w:val="MAWP-Bodytext"/>
        <w:rPr>
          <w:i/>
          <w:iCs/>
        </w:rPr>
      </w:pPr>
      <w:r w:rsidRPr="003854B2">
        <w:rPr>
          <w:i/>
          <w:iCs/>
          <w:u w:val="single"/>
        </w:rPr>
        <w:t>Objective</w:t>
      </w:r>
      <w:r>
        <w:rPr>
          <w:i/>
          <w:iCs/>
        </w:rPr>
        <w:t>:</w:t>
      </w:r>
      <w:r w:rsidRPr="003854B2">
        <w:rPr>
          <w:i/>
          <w:iCs/>
        </w:rPr>
        <w:t xml:space="preserve"> The Clean Hydrogen JU will </w:t>
      </w:r>
      <w:r>
        <w:rPr>
          <w:i/>
          <w:iCs/>
        </w:rPr>
        <w:t xml:space="preserve">reinforce its </w:t>
      </w:r>
      <w:r w:rsidRPr="003854B2">
        <w:rPr>
          <w:i/>
          <w:iCs/>
        </w:rPr>
        <w:t>resilien</w:t>
      </w:r>
      <w:r>
        <w:rPr>
          <w:i/>
          <w:iCs/>
        </w:rPr>
        <w:t>ce</w:t>
      </w:r>
      <w:r w:rsidRPr="003854B2">
        <w:rPr>
          <w:i/>
          <w:iCs/>
        </w:rPr>
        <w:t xml:space="preserve"> to ever evolving digital security threats</w:t>
      </w:r>
    </w:p>
    <w:p w14:paraId="33D56D82" w14:textId="77777777" w:rsidR="00E76BB3" w:rsidRPr="003854B2" w:rsidRDefault="00E76BB3" w:rsidP="00E76BB3">
      <w:pPr>
        <w:jc w:val="both"/>
        <w:rPr>
          <w:rFonts w:cs="Arial"/>
          <w:color w:val="auto"/>
          <w:szCs w:val="22"/>
          <w:lang w:val="en"/>
        </w:rPr>
      </w:pPr>
      <w:r w:rsidRPr="003854B2">
        <w:rPr>
          <w:rFonts w:cs="Arial"/>
          <w:b/>
          <w:color w:val="auto"/>
          <w:szCs w:val="22"/>
          <w:lang w:val="en"/>
        </w:rPr>
        <w:t>Cybersecurity</w:t>
      </w:r>
      <w:r w:rsidRPr="003854B2">
        <w:rPr>
          <w:rFonts w:cs="Arial"/>
          <w:color w:val="auto"/>
          <w:szCs w:val="22"/>
          <w:lang w:val="en"/>
        </w:rPr>
        <w:t xml:space="preserve"> is essential for modern, secure, and trustworthy IT both for the Joint Undertaking and in its interaction with outside stakeholders. The strategy sets four long-term objectives:</w:t>
      </w:r>
    </w:p>
    <w:p w14:paraId="1DD6ED65" w14:textId="77777777" w:rsidR="00E76BB3" w:rsidRPr="003854B2" w:rsidRDefault="00E76BB3" w:rsidP="002256F6">
      <w:pPr>
        <w:pStyle w:val="ListParagraph"/>
        <w:numPr>
          <w:ilvl w:val="0"/>
          <w:numId w:val="65"/>
        </w:numPr>
        <w:spacing w:after="160" w:line="259" w:lineRule="auto"/>
        <w:contextualSpacing/>
        <w:jc w:val="both"/>
        <w:rPr>
          <w:rFonts w:ascii="Arial" w:hAnsi="Arial" w:cs="Arial"/>
          <w:lang w:val="en"/>
        </w:rPr>
      </w:pPr>
      <w:r w:rsidRPr="003854B2">
        <w:rPr>
          <w:rFonts w:ascii="Arial" w:hAnsi="Arial" w:cs="Arial"/>
          <w:lang w:val="en"/>
        </w:rPr>
        <w:t xml:space="preserve">IT security processes: To ensure that key IT security processes are in place, in line </w:t>
      </w:r>
      <w:r>
        <w:rPr>
          <w:rFonts w:ascii="Arial" w:hAnsi="Arial" w:cs="Arial"/>
          <w:lang w:val="en"/>
        </w:rPr>
        <w:t xml:space="preserve">following </w:t>
      </w:r>
      <w:r w:rsidRPr="003854B2">
        <w:rPr>
          <w:rFonts w:ascii="Arial" w:hAnsi="Arial" w:cs="Arial"/>
          <w:lang w:val="en"/>
        </w:rPr>
        <w:t>good practices and recommendations.</w:t>
      </w:r>
    </w:p>
    <w:p w14:paraId="595DF503" w14:textId="77777777" w:rsidR="00E76BB3" w:rsidRPr="003854B2" w:rsidRDefault="00E76BB3" w:rsidP="002256F6">
      <w:pPr>
        <w:pStyle w:val="ListParagraph"/>
        <w:numPr>
          <w:ilvl w:val="0"/>
          <w:numId w:val="65"/>
        </w:numPr>
        <w:spacing w:after="160" w:line="259" w:lineRule="auto"/>
        <w:contextualSpacing/>
        <w:jc w:val="both"/>
        <w:rPr>
          <w:rFonts w:ascii="Arial" w:hAnsi="Arial" w:cs="Arial"/>
          <w:lang w:val="en"/>
        </w:rPr>
      </w:pPr>
      <w:r w:rsidRPr="003854B2">
        <w:rPr>
          <w:rFonts w:ascii="Arial" w:hAnsi="Arial" w:cs="Arial"/>
          <w:lang w:val="en"/>
        </w:rPr>
        <w:t>Monitoring and response: To ensure state-of-the-art monitoring and response capabilities, to detect attacks timely and resolve IT security incidents quickly.</w:t>
      </w:r>
    </w:p>
    <w:p w14:paraId="048D4C36" w14:textId="77777777" w:rsidR="00E76BB3" w:rsidRPr="003854B2" w:rsidRDefault="00E76BB3" w:rsidP="002256F6">
      <w:pPr>
        <w:pStyle w:val="ListParagraph"/>
        <w:numPr>
          <w:ilvl w:val="0"/>
          <w:numId w:val="65"/>
        </w:numPr>
        <w:spacing w:after="160" w:line="259" w:lineRule="auto"/>
        <w:contextualSpacing/>
        <w:jc w:val="both"/>
        <w:rPr>
          <w:rFonts w:ascii="Arial" w:hAnsi="Arial" w:cs="Arial"/>
          <w:lang w:val="en"/>
        </w:rPr>
      </w:pPr>
      <w:r w:rsidRPr="003854B2">
        <w:rPr>
          <w:rFonts w:ascii="Arial" w:hAnsi="Arial" w:cs="Arial"/>
          <w:lang w:val="en"/>
        </w:rPr>
        <w:t>Infrastructure security: To provide a secured infrastructure</w:t>
      </w:r>
      <w:r>
        <w:rPr>
          <w:rFonts w:ascii="Arial" w:hAnsi="Arial" w:cs="Arial"/>
          <w:lang w:val="en"/>
        </w:rPr>
        <w:t xml:space="preserve"> by design</w:t>
      </w:r>
      <w:r w:rsidRPr="003854B2">
        <w:rPr>
          <w:rFonts w:ascii="Arial" w:hAnsi="Arial" w:cs="Arial"/>
          <w:lang w:val="en"/>
        </w:rPr>
        <w:t>.</w:t>
      </w:r>
    </w:p>
    <w:p w14:paraId="3BB1581C" w14:textId="77777777" w:rsidR="00E76BB3" w:rsidRPr="003854B2" w:rsidRDefault="00E76BB3" w:rsidP="002256F6">
      <w:pPr>
        <w:pStyle w:val="ListParagraph"/>
        <w:numPr>
          <w:ilvl w:val="0"/>
          <w:numId w:val="65"/>
        </w:numPr>
        <w:spacing w:after="160" w:line="259" w:lineRule="auto"/>
        <w:contextualSpacing/>
        <w:jc w:val="both"/>
        <w:rPr>
          <w:rFonts w:ascii="Arial" w:hAnsi="Arial" w:cs="Arial"/>
          <w:lang w:val="en"/>
        </w:rPr>
      </w:pPr>
      <w:r w:rsidRPr="003854B2">
        <w:rPr>
          <w:rFonts w:ascii="Arial" w:hAnsi="Arial" w:cs="Arial"/>
          <w:lang w:val="en"/>
        </w:rPr>
        <w:t>Governance and awareness: To ensure that senior management, IT experts and normal end-users are well informed about threats and risks.</w:t>
      </w:r>
    </w:p>
    <w:p w14:paraId="1D8DEF42" w14:textId="77777777" w:rsidR="00E76BB3" w:rsidRPr="003854B2" w:rsidRDefault="00E76BB3" w:rsidP="00E76BB3">
      <w:pPr>
        <w:pStyle w:val="MAWP-Bodytext"/>
        <w:rPr>
          <w:i/>
          <w:iCs/>
        </w:rPr>
      </w:pPr>
      <w:r w:rsidRPr="003854B2">
        <w:rPr>
          <w:i/>
          <w:iCs/>
          <w:u w:val="single"/>
        </w:rPr>
        <w:t>Objective</w:t>
      </w:r>
      <w:r>
        <w:rPr>
          <w:i/>
          <w:iCs/>
          <w:u w:val="single"/>
        </w:rPr>
        <w:t>:</w:t>
      </w:r>
      <w:r w:rsidRPr="003854B2">
        <w:rPr>
          <w:i/>
          <w:iCs/>
        </w:rPr>
        <w:t xml:space="preserve"> The Clean Hydrogen JU will </w:t>
      </w:r>
      <w:r>
        <w:rPr>
          <w:i/>
          <w:iCs/>
        </w:rPr>
        <w:t>d</w:t>
      </w:r>
      <w:r w:rsidRPr="003854B2">
        <w:rPr>
          <w:i/>
          <w:iCs/>
        </w:rPr>
        <w:t xml:space="preserve">eliver modern, trustworthy, efficient, and transparent IT Governance </w:t>
      </w:r>
    </w:p>
    <w:p w14:paraId="69207C95" w14:textId="77777777" w:rsidR="00E76BB3" w:rsidRPr="003854B2" w:rsidRDefault="00E76BB3" w:rsidP="00E76BB3">
      <w:pPr>
        <w:autoSpaceDE w:val="0"/>
        <w:autoSpaceDN w:val="0"/>
        <w:adjustRightInd w:val="0"/>
        <w:spacing w:after="200" w:line="276" w:lineRule="auto"/>
        <w:jc w:val="both"/>
        <w:rPr>
          <w:rFonts w:cs="Arial"/>
          <w:color w:val="auto"/>
          <w:szCs w:val="22"/>
          <w:lang w:val="en"/>
        </w:rPr>
      </w:pPr>
      <w:r w:rsidRPr="003854B2">
        <w:rPr>
          <w:rFonts w:cs="Arial"/>
          <w:color w:val="auto"/>
          <w:szCs w:val="22"/>
          <w:lang w:val="en"/>
        </w:rPr>
        <w:t xml:space="preserve">We will continue to invest in agile, transversal, and empowered </w:t>
      </w:r>
      <w:r w:rsidRPr="003854B2">
        <w:rPr>
          <w:rFonts w:cs="Arial"/>
          <w:b/>
          <w:color w:val="auto"/>
          <w:szCs w:val="22"/>
          <w:lang w:val="en"/>
        </w:rPr>
        <w:t>IT Governance</w:t>
      </w:r>
      <w:r w:rsidRPr="003854B2">
        <w:rPr>
          <w:rFonts w:cs="Arial"/>
          <w:color w:val="auto"/>
          <w:szCs w:val="22"/>
          <w:lang w:val="en"/>
        </w:rPr>
        <w:t xml:space="preserve"> collaboration, with a bottom-up review platform for approval and delegate the project implementation to key IT services providers. Service level agreements already in place for the common digital infrastructure will be renewed and possibly extended to improve synergies and efficiencies</w:t>
      </w:r>
      <w:r>
        <w:rPr>
          <w:rFonts w:cs="Arial"/>
          <w:color w:val="auto"/>
          <w:szCs w:val="22"/>
          <w:lang w:val="en"/>
        </w:rPr>
        <w:t xml:space="preserve"> among JUs.</w:t>
      </w:r>
      <w:r w:rsidRPr="003854B2">
        <w:rPr>
          <w:rFonts w:cs="Arial"/>
          <w:color w:val="auto"/>
          <w:szCs w:val="22"/>
          <w:lang w:val="en"/>
        </w:rPr>
        <w:t xml:space="preserve"> The execution of the Governance and the Business Continuity activities will be also supported by studies services such as advice, benchmarking, and high-level consultancy. </w:t>
      </w:r>
      <w:r w:rsidRPr="003854B2">
        <w:rPr>
          <w:rFonts w:cs="Arial"/>
          <w:color w:val="auto"/>
          <w:szCs w:val="22"/>
          <w:lang w:val="en"/>
        </w:rPr>
        <w:lastRenderedPageBreak/>
        <w:t>We will also continue to participate in the representative user groups for corporate solutions, in the network of agencies for ICT Advisory and join any added-value interinstitutional framework contracts or inter-agency joint procurement.</w:t>
      </w:r>
    </w:p>
    <w:p w14:paraId="1E585685" w14:textId="77777777" w:rsidR="00E76BB3" w:rsidRPr="003854B2" w:rsidRDefault="00E76BB3" w:rsidP="00E76BB3">
      <w:pPr>
        <w:autoSpaceDE w:val="0"/>
        <w:autoSpaceDN w:val="0"/>
        <w:adjustRightInd w:val="0"/>
        <w:spacing w:after="200" w:line="276" w:lineRule="auto"/>
        <w:jc w:val="both"/>
        <w:rPr>
          <w:rFonts w:cs="Arial"/>
          <w:color w:val="auto"/>
          <w:szCs w:val="22"/>
          <w:lang w:val="en"/>
        </w:rPr>
      </w:pPr>
      <w:r w:rsidRPr="003854B2">
        <w:rPr>
          <w:rFonts w:cs="Arial"/>
          <w:color w:val="auto"/>
          <w:szCs w:val="22"/>
          <w:lang w:val="en"/>
        </w:rPr>
        <w:t xml:space="preserve">Raising awareness and paying attention to change management related to the </w:t>
      </w:r>
      <w:r w:rsidRPr="003854B2">
        <w:rPr>
          <w:rFonts w:cs="Arial"/>
          <w:b/>
          <w:color w:val="auto"/>
          <w:szCs w:val="22"/>
          <w:lang w:val="en"/>
        </w:rPr>
        <w:t xml:space="preserve">digital skills </w:t>
      </w:r>
      <w:r w:rsidRPr="003854B2">
        <w:rPr>
          <w:rFonts w:cs="Arial"/>
          <w:color w:val="auto"/>
          <w:szCs w:val="22"/>
          <w:lang w:val="en"/>
        </w:rPr>
        <w:t>is essential. Our mind-set will evolve:</w:t>
      </w:r>
    </w:p>
    <w:p w14:paraId="3DFBDF7E" w14:textId="77777777" w:rsidR="00E76BB3" w:rsidRPr="003854B2" w:rsidRDefault="00E76BB3" w:rsidP="002256F6">
      <w:pPr>
        <w:pStyle w:val="ListParagraph"/>
        <w:numPr>
          <w:ilvl w:val="0"/>
          <w:numId w:val="66"/>
        </w:numPr>
        <w:autoSpaceDE w:val="0"/>
        <w:autoSpaceDN w:val="0"/>
        <w:adjustRightInd w:val="0"/>
        <w:spacing w:after="200" w:line="276" w:lineRule="auto"/>
        <w:contextualSpacing/>
        <w:jc w:val="both"/>
        <w:rPr>
          <w:rFonts w:ascii="Arial" w:hAnsi="Arial" w:cs="Arial"/>
          <w:lang w:val="en"/>
        </w:rPr>
      </w:pPr>
      <w:r w:rsidRPr="003854B2">
        <w:rPr>
          <w:rFonts w:ascii="Arial" w:hAnsi="Arial" w:cs="Arial"/>
          <w:lang w:val="en"/>
        </w:rPr>
        <w:t>Digitally skilled managers should lead by example.</w:t>
      </w:r>
    </w:p>
    <w:p w14:paraId="02B9C0F0" w14:textId="77777777" w:rsidR="00E76BB3" w:rsidRPr="003854B2" w:rsidRDefault="00E76BB3" w:rsidP="002256F6">
      <w:pPr>
        <w:pStyle w:val="ListParagraph"/>
        <w:numPr>
          <w:ilvl w:val="0"/>
          <w:numId w:val="66"/>
        </w:numPr>
        <w:autoSpaceDE w:val="0"/>
        <w:autoSpaceDN w:val="0"/>
        <w:adjustRightInd w:val="0"/>
        <w:spacing w:after="200" w:line="276" w:lineRule="auto"/>
        <w:contextualSpacing/>
        <w:jc w:val="both"/>
        <w:rPr>
          <w:rFonts w:ascii="Arial" w:hAnsi="Arial" w:cs="Arial"/>
          <w:lang w:val="en"/>
        </w:rPr>
      </w:pPr>
      <w:r>
        <w:rPr>
          <w:rFonts w:ascii="Arial" w:hAnsi="Arial" w:cs="Arial"/>
          <w:lang w:val="en"/>
        </w:rPr>
        <w:t xml:space="preserve">We will </w:t>
      </w:r>
      <w:r w:rsidRPr="003854B2">
        <w:rPr>
          <w:rFonts w:ascii="Arial" w:hAnsi="Arial" w:cs="Arial"/>
          <w:lang w:val="en"/>
        </w:rPr>
        <w:t>align management and culture with more collaborative, more transparent ways of working.</w:t>
      </w:r>
    </w:p>
    <w:p w14:paraId="2B2B7AB3" w14:textId="77777777" w:rsidR="00E76BB3" w:rsidRPr="003854B2" w:rsidRDefault="00E76BB3" w:rsidP="002256F6">
      <w:pPr>
        <w:pStyle w:val="ListParagraph"/>
        <w:numPr>
          <w:ilvl w:val="0"/>
          <w:numId w:val="66"/>
        </w:numPr>
        <w:autoSpaceDE w:val="0"/>
        <w:autoSpaceDN w:val="0"/>
        <w:adjustRightInd w:val="0"/>
        <w:spacing w:after="200" w:line="276" w:lineRule="auto"/>
        <w:contextualSpacing/>
        <w:jc w:val="both"/>
        <w:rPr>
          <w:rFonts w:ascii="Arial" w:hAnsi="Arial" w:cs="Arial"/>
          <w:lang w:val="en"/>
        </w:rPr>
      </w:pPr>
      <w:r>
        <w:rPr>
          <w:rFonts w:ascii="Arial" w:hAnsi="Arial" w:cs="Arial"/>
          <w:lang w:val="en"/>
        </w:rPr>
        <w:t xml:space="preserve">The Clean Hydrogen JU will </w:t>
      </w:r>
      <w:r w:rsidRPr="003854B2">
        <w:rPr>
          <w:rFonts w:ascii="Arial" w:hAnsi="Arial" w:cs="Arial"/>
          <w:lang w:val="en"/>
        </w:rPr>
        <w:t>count and build upon digital skills of existing or new staff</w:t>
      </w:r>
      <w:r>
        <w:rPr>
          <w:rFonts w:ascii="Arial" w:hAnsi="Arial" w:cs="Arial"/>
          <w:lang w:val="en"/>
        </w:rPr>
        <w:t>.</w:t>
      </w:r>
    </w:p>
    <w:p w14:paraId="3E0EF1C2" w14:textId="77777777" w:rsidR="00E76BB3" w:rsidRPr="00A14138" w:rsidRDefault="00E76BB3" w:rsidP="002256F6">
      <w:pPr>
        <w:pStyle w:val="ListParagraph"/>
        <w:numPr>
          <w:ilvl w:val="0"/>
          <w:numId w:val="66"/>
        </w:numPr>
        <w:autoSpaceDE w:val="0"/>
        <w:autoSpaceDN w:val="0"/>
        <w:adjustRightInd w:val="0"/>
        <w:spacing w:after="160" w:line="259" w:lineRule="auto"/>
        <w:contextualSpacing/>
        <w:jc w:val="both"/>
        <w:rPr>
          <w:rFonts w:eastAsia="Arial" w:cs="Arial"/>
          <w:b/>
          <w:sz w:val="24"/>
        </w:rPr>
      </w:pPr>
      <w:r w:rsidRPr="00A14138">
        <w:rPr>
          <w:rFonts w:ascii="Arial" w:hAnsi="Arial" w:cs="Arial"/>
          <w:lang w:val="en"/>
        </w:rPr>
        <w:t>And establish recommended IT training for all staff, leaving no-one behind</w:t>
      </w:r>
      <w:r>
        <w:rPr>
          <w:rFonts w:ascii="Arial" w:hAnsi="Arial" w:cs="Arial"/>
          <w:lang w:val="en"/>
        </w:rPr>
        <w:t>.</w:t>
      </w:r>
    </w:p>
    <w:p w14:paraId="5E5D69F4" w14:textId="77777777" w:rsidR="00E76BB3" w:rsidRDefault="00E76BB3" w:rsidP="006802D3">
      <w:pPr>
        <w:pStyle w:val="MAWPsubtitle2"/>
      </w:pPr>
      <w:bookmarkStart w:id="296" w:name="_Toc66888478"/>
      <w:bookmarkStart w:id="297" w:name="_Toc93907382"/>
      <w:r w:rsidRPr="00A14138">
        <w:t>Document Management</w:t>
      </w:r>
      <w:bookmarkEnd w:id="296"/>
      <w:bookmarkEnd w:id="297"/>
    </w:p>
    <w:p w14:paraId="40B6A49C" w14:textId="77777777" w:rsidR="00E76BB3" w:rsidRPr="00CC525F" w:rsidRDefault="00E76BB3" w:rsidP="00E76BB3">
      <w:pPr>
        <w:widowControl/>
        <w:jc w:val="both"/>
        <w:rPr>
          <w:rFonts w:eastAsia="Calibri" w:cs="Arial"/>
          <w:color w:val="auto"/>
          <w:szCs w:val="22"/>
          <w:lang w:bidi="ar-SA"/>
        </w:rPr>
      </w:pPr>
      <w:r w:rsidRPr="00CC525F">
        <w:rPr>
          <w:rFonts w:eastAsia="Calibri" w:cs="Arial"/>
          <w:color w:val="auto"/>
          <w:szCs w:val="22"/>
          <w:lang w:bidi="ar-SA"/>
        </w:rPr>
        <w:t>The Clean Hydrogen JU is keeping a close eye on the EC Digital Strategy</w:t>
      </w:r>
      <w:r>
        <w:rPr>
          <w:rStyle w:val="FootnoteReference"/>
          <w:rFonts w:eastAsia="Calibri"/>
          <w:color w:val="auto"/>
          <w:szCs w:val="22"/>
          <w:lang w:bidi="ar-SA"/>
        </w:rPr>
        <w:footnoteReference w:id="272"/>
      </w:r>
      <w:r w:rsidRPr="00CC525F">
        <w:rPr>
          <w:rFonts w:eastAsia="Calibri" w:cs="Arial"/>
          <w:color w:val="auto"/>
          <w:szCs w:val="22"/>
          <w:lang w:bidi="ar-SA"/>
        </w:rPr>
        <w:t xml:space="preserve"> (ECDS) adopted to steer the digital transformation of the Commission. The Clean Hydrogen JU`s document management is a cornerstone and fully aligned with this transition towards a fully digitisation era.</w:t>
      </w:r>
    </w:p>
    <w:p w14:paraId="39D5CEE3" w14:textId="77777777" w:rsidR="00E76BB3" w:rsidRPr="00CC525F" w:rsidRDefault="00E76BB3" w:rsidP="00E76BB3">
      <w:pPr>
        <w:widowControl/>
        <w:jc w:val="both"/>
        <w:rPr>
          <w:rFonts w:eastAsia="Calibri" w:cs="Arial"/>
          <w:color w:val="auto"/>
          <w:szCs w:val="22"/>
          <w:lang w:bidi="ar-SA"/>
        </w:rPr>
      </w:pPr>
    </w:p>
    <w:p w14:paraId="5A6EA89D" w14:textId="77777777" w:rsidR="00E76BB3" w:rsidRPr="00CC525F" w:rsidRDefault="00E76BB3" w:rsidP="00E76BB3">
      <w:pPr>
        <w:widowControl/>
        <w:jc w:val="both"/>
        <w:rPr>
          <w:rFonts w:eastAsia="Calibri" w:cs="Arial"/>
          <w:color w:val="auto"/>
          <w:szCs w:val="22"/>
          <w:lang w:bidi="ar-SA"/>
        </w:rPr>
      </w:pPr>
      <w:r w:rsidRPr="00CC525F">
        <w:rPr>
          <w:rFonts w:eastAsia="Calibri" w:cs="Arial"/>
          <w:color w:val="auto"/>
          <w:szCs w:val="22"/>
          <w:u w:val="single"/>
          <w:lang w:bidi="ar-SA"/>
        </w:rPr>
        <w:t>Objective</w:t>
      </w:r>
      <w:r w:rsidRPr="00CC525F">
        <w:rPr>
          <w:rFonts w:eastAsia="Calibri" w:cs="Arial"/>
          <w:color w:val="auto"/>
          <w:szCs w:val="22"/>
          <w:lang w:bidi="ar-SA"/>
        </w:rPr>
        <w:t xml:space="preserve">: </w:t>
      </w:r>
      <w:r w:rsidRPr="00CC525F">
        <w:rPr>
          <w:rFonts w:eastAsia="Calibri" w:cs="Arial"/>
          <w:i/>
          <w:iCs/>
          <w:color w:val="auto"/>
          <w:szCs w:val="22"/>
          <w:lang w:bidi="ar-SA"/>
        </w:rPr>
        <w:t>The European Commission electronic archiving and document management policy will apply by analogy in the Clean Hydrogen JU for automated registration, filing and preservation of records in a corporate tool</w:t>
      </w:r>
    </w:p>
    <w:p w14:paraId="62477A2E" w14:textId="77777777" w:rsidR="00E76BB3" w:rsidRPr="00CC525F" w:rsidRDefault="00E76BB3" w:rsidP="00E76BB3">
      <w:pPr>
        <w:widowControl/>
        <w:jc w:val="both"/>
        <w:rPr>
          <w:rFonts w:eastAsia="Calibri" w:cs="Arial"/>
          <w:color w:val="auto"/>
          <w:szCs w:val="22"/>
          <w:lang w:bidi="ar-SA"/>
        </w:rPr>
      </w:pPr>
    </w:p>
    <w:p w14:paraId="6B272D2C" w14:textId="77777777" w:rsidR="00E76BB3" w:rsidRPr="00CC525F" w:rsidRDefault="00E76BB3" w:rsidP="00E76BB3">
      <w:pPr>
        <w:widowControl/>
        <w:jc w:val="both"/>
        <w:rPr>
          <w:rFonts w:eastAsia="Calibri" w:cs="Arial"/>
          <w:color w:val="auto"/>
          <w:szCs w:val="22"/>
          <w:lang w:bidi="ar-SA"/>
        </w:rPr>
      </w:pPr>
      <w:r w:rsidRPr="00CC525F">
        <w:rPr>
          <w:rFonts w:eastAsia="Calibri" w:cs="Arial"/>
          <w:color w:val="auto"/>
          <w:szCs w:val="22"/>
          <w:lang w:bidi="ar-SA"/>
        </w:rPr>
        <w:t>The Clean Hydrogen JU applies “mutatis mutandis” the EC`s decision</w:t>
      </w:r>
      <w:r>
        <w:rPr>
          <w:rStyle w:val="FootnoteReference"/>
          <w:rFonts w:eastAsia="Calibri"/>
          <w:color w:val="auto"/>
          <w:szCs w:val="22"/>
          <w:lang w:bidi="ar-SA"/>
        </w:rPr>
        <w:footnoteReference w:id="273"/>
      </w:r>
      <w:r w:rsidRPr="00CC525F">
        <w:rPr>
          <w:rFonts w:eastAsia="Calibri" w:cs="Arial"/>
          <w:color w:val="auto"/>
          <w:szCs w:val="22"/>
          <w:lang w:bidi="ar-SA"/>
        </w:rPr>
        <w:t xml:space="preserve"> and its implementing rules</w:t>
      </w:r>
      <w:r>
        <w:rPr>
          <w:rStyle w:val="FootnoteReference"/>
          <w:rFonts w:eastAsia="Calibri"/>
          <w:color w:val="auto"/>
          <w:szCs w:val="22"/>
          <w:lang w:bidi="ar-SA"/>
        </w:rPr>
        <w:footnoteReference w:id="274"/>
      </w:r>
      <w:r w:rsidRPr="00CC525F">
        <w:rPr>
          <w:rFonts w:eastAsia="Calibri" w:cs="Arial"/>
          <w:color w:val="auto"/>
          <w:szCs w:val="22"/>
          <w:lang w:bidi="ar-SA"/>
        </w:rPr>
        <w:t xml:space="preserve"> on records management and archives (known as </w:t>
      </w:r>
      <w:r w:rsidRPr="00CC525F">
        <w:rPr>
          <w:rFonts w:eastAsia="Calibri" w:cs="Arial"/>
          <w:b/>
          <w:bCs/>
          <w:color w:val="auto"/>
          <w:szCs w:val="22"/>
          <w:lang w:bidi="ar-SA"/>
        </w:rPr>
        <w:t>“e-Domec” policy</w:t>
      </w:r>
      <w:r w:rsidRPr="00CC525F">
        <w:rPr>
          <w:rFonts w:eastAsia="Calibri" w:cs="Arial"/>
          <w:color w:val="auto"/>
          <w:szCs w:val="22"/>
          <w:lang w:bidi="ar-SA"/>
        </w:rPr>
        <w:t xml:space="preserve">). Its main implementation IT tool Hermes-ARES-NomCom will continue </w:t>
      </w:r>
      <w:r>
        <w:rPr>
          <w:rFonts w:eastAsia="Calibri" w:cs="Arial"/>
          <w:color w:val="auto"/>
          <w:szCs w:val="22"/>
          <w:lang w:bidi="ar-SA"/>
        </w:rPr>
        <w:t xml:space="preserve">to </w:t>
      </w:r>
      <w:r w:rsidRPr="00CC525F">
        <w:rPr>
          <w:rFonts w:eastAsia="Calibri" w:cs="Arial"/>
          <w:color w:val="auto"/>
          <w:szCs w:val="22"/>
          <w:lang w:bidi="ar-SA"/>
        </w:rPr>
        <w:t xml:space="preserve">interact with all the main operational and daily administrative activities and processes directly or indirectly via integrations in other IT tools </w:t>
      </w:r>
    </w:p>
    <w:p w14:paraId="58FCD17E" w14:textId="77777777" w:rsidR="00E76BB3" w:rsidRPr="00CC525F" w:rsidRDefault="00E76BB3" w:rsidP="00E76BB3">
      <w:pPr>
        <w:widowControl/>
        <w:jc w:val="both"/>
        <w:rPr>
          <w:rFonts w:eastAsia="Calibri" w:cs="Arial"/>
          <w:color w:val="auto"/>
          <w:szCs w:val="22"/>
          <w:lang w:bidi="ar-SA"/>
        </w:rPr>
      </w:pPr>
    </w:p>
    <w:p w14:paraId="75FDA6D0" w14:textId="77777777" w:rsidR="00E76BB3" w:rsidRPr="00CC525F" w:rsidRDefault="00E76BB3" w:rsidP="00E76BB3">
      <w:pPr>
        <w:widowControl/>
        <w:jc w:val="both"/>
        <w:rPr>
          <w:rFonts w:eastAsia="Calibri" w:cs="Arial"/>
          <w:color w:val="auto"/>
          <w:szCs w:val="22"/>
          <w:lang w:bidi="ar-SA"/>
        </w:rPr>
      </w:pPr>
      <w:r w:rsidRPr="00CC525F">
        <w:rPr>
          <w:rFonts w:eastAsia="Calibri" w:cs="Arial"/>
          <w:color w:val="auto"/>
          <w:szCs w:val="22"/>
          <w:lang w:bidi="ar-SA"/>
        </w:rPr>
        <w:t>To achieve this objective the JU is planning to:</w:t>
      </w:r>
    </w:p>
    <w:p w14:paraId="1EF563D0" w14:textId="77777777" w:rsidR="00E76BB3" w:rsidRPr="00CC525F" w:rsidRDefault="00E76BB3" w:rsidP="002256F6">
      <w:pPr>
        <w:widowControl/>
        <w:numPr>
          <w:ilvl w:val="0"/>
          <w:numId w:val="73"/>
        </w:numPr>
        <w:jc w:val="both"/>
        <w:rPr>
          <w:rFonts w:eastAsia="Calibri" w:cs="Arial"/>
          <w:color w:val="auto"/>
          <w:szCs w:val="22"/>
          <w:lang w:bidi="ar-SA"/>
        </w:rPr>
      </w:pPr>
      <w:r w:rsidRPr="00CC525F">
        <w:rPr>
          <w:rFonts w:eastAsia="Calibri" w:cs="Arial"/>
          <w:color w:val="auto"/>
          <w:szCs w:val="22"/>
          <w:lang w:bidi="ar-SA"/>
        </w:rPr>
        <w:t>embed modern record management in the processes</w:t>
      </w:r>
    </w:p>
    <w:p w14:paraId="4702EBEB" w14:textId="77777777" w:rsidR="00E76BB3" w:rsidRPr="00CC525F" w:rsidRDefault="00E76BB3" w:rsidP="002256F6">
      <w:pPr>
        <w:widowControl/>
        <w:numPr>
          <w:ilvl w:val="0"/>
          <w:numId w:val="73"/>
        </w:numPr>
        <w:jc w:val="both"/>
        <w:rPr>
          <w:rFonts w:eastAsia="Calibri" w:cs="Arial"/>
          <w:color w:val="auto"/>
          <w:szCs w:val="22"/>
          <w:lang w:bidi="ar-SA"/>
        </w:rPr>
      </w:pPr>
      <w:r w:rsidRPr="00CC525F">
        <w:rPr>
          <w:rFonts w:eastAsia="Calibri" w:cs="Arial"/>
          <w:color w:val="auto"/>
          <w:szCs w:val="22"/>
          <w:lang w:bidi="ar-SA"/>
        </w:rPr>
        <w:t>ensure access to information and data by making registered records easily retrievable and as widely available as possible by their secure and systematic filing and preservation in Hermes/Ares/NomCom</w:t>
      </w:r>
    </w:p>
    <w:p w14:paraId="5621698A" w14:textId="77777777" w:rsidR="00E76BB3" w:rsidRPr="00CC525F" w:rsidRDefault="00E76BB3" w:rsidP="002256F6">
      <w:pPr>
        <w:widowControl/>
        <w:numPr>
          <w:ilvl w:val="0"/>
          <w:numId w:val="73"/>
        </w:numPr>
        <w:jc w:val="both"/>
        <w:rPr>
          <w:rFonts w:eastAsia="Calibri" w:cs="Arial"/>
          <w:color w:val="auto"/>
          <w:szCs w:val="22"/>
          <w:lang w:bidi="ar-SA"/>
        </w:rPr>
      </w:pPr>
      <w:r>
        <w:rPr>
          <w:rFonts w:eastAsia="Calibri" w:cs="Arial"/>
          <w:color w:val="auto"/>
          <w:szCs w:val="22"/>
          <w:lang w:bidi="ar-SA"/>
        </w:rPr>
        <w:t>t</w:t>
      </w:r>
      <w:r w:rsidRPr="00CC525F">
        <w:rPr>
          <w:rFonts w:eastAsia="Calibri" w:cs="Arial"/>
          <w:color w:val="auto"/>
          <w:szCs w:val="22"/>
          <w:lang w:bidi="ar-SA"/>
        </w:rPr>
        <w:t>reat the pre-“e-domec” paper archives according to the Common Retention List of files, make inventories and apply actions of digitalisation, elimination or transfer to the Commission Historical Archives</w:t>
      </w:r>
    </w:p>
    <w:p w14:paraId="5ADAC4CC" w14:textId="77777777" w:rsidR="00E76BB3" w:rsidRDefault="00E76BB3" w:rsidP="002256F6">
      <w:pPr>
        <w:widowControl/>
        <w:numPr>
          <w:ilvl w:val="0"/>
          <w:numId w:val="73"/>
        </w:numPr>
        <w:jc w:val="both"/>
        <w:rPr>
          <w:rFonts w:eastAsia="Calibri" w:cs="Arial"/>
          <w:color w:val="auto"/>
          <w:szCs w:val="22"/>
          <w:lang w:bidi="ar-SA"/>
        </w:rPr>
      </w:pPr>
      <w:r>
        <w:rPr>
          <w:rFonts w:eastAsia="Calibri" w:cs="Arial"/>
          <w:color w:val="auto"/>
          <w:szCs w:val="22"/>
          <w:lang w:bidi="ar-SA"/>
        </w:rPr>
        <w:t xml:space="preserve">include staff </w:t>
      </w:r>
      <w:r w:rsidRPr="00CC525F">
        <w:rPr>
          <w:rFonts w:eastAsia="Calibri" w:cs="Arial"/>
          <w:color w:val="auto"/>
          <w:szCs w:val="22"/>
          <w:lang w:bidi="ar-SA"/>
        </w:rPr>
        <w:t xml:space="preserve">upskilling and reskilling </w:t>
      </w:r>
      <w:r>
        <w:rPr>
          <w:rFonts w:eastAsia="Calibri" w:cs="Arial"/>
          <w:color w:val="auto"/>
          <w:szCs w:val="22"/>
          <w:lang w:bidi="ar-SA"/>
        </w:rPr>
        <w:t>as</w:t>
      </w:r>
      <w:r w:rsidRPr="00CC525F">
        <w:rPr>
          <w:rFonts w:eastAsia="Calibri" w:cs="Arial"/>
          <w:color w:val="auto"/>
          <w:szCs w:val="22"/>
          <w:lang w:bidi="ar-SA"/>
        </w:rPr>
        <w:t xml:space="preserve"> part of the strategy to increase progressively the collective behavioural and culture change</w:t>
      </w:r>
      <w:r>
        <w:rPr>
          <w:rFonts w:eastAsia="Calibri" w:cs="Arial"/>
          <w:color w:val="auto"/>
          <w:szCs w:val="22"/>
          <w:lang w:bidi="ar-SA"/>
        </w:rPr>
        <w:t xml:space="preserve"> on document management</w:t>
      </w:r>
    </w:p>
    <w:p w14:paraId="15BCB502" w14:textId="77777777" w:rsidR="00E76BB3" w:rsidRPr="00CC525F" w:rsidRDefault="00E76BB3" w:rsidP="002256F6">
      <w:pPr>
        <w:widowControl/>
        <w:numPr>
          <w:ilvl w:val="0"/>
          <w:numId w:val="73"/>
        </w:numPr>
        <w:jc w:val="both"/>
        <w:rPr>
          <w:rFonts w:eastAsia="Calibri" w:cs="Arial"/>
          <w:color w:val="auto"/>
          <w:szCs w:val="22"/>
          <w:lang w:bidi="ar-SA"/>
        </w:rPr>
      </w:pPr>
      <w:r>
        <w:rPr>
          <w:rFonts w:eastAsia="Calibri" w:cs="Arial"/>
          <w:color w:val="auto"/>
          <w:szCs w:val="22"/>
          <w:lang w:bidi="ar-SA"/>
        </w:rPr>
        <w:t>raise</w:t>
      </w:r>
      <w:r w:rsidRPr="00CC525F">
        <w:rPr>
          <w:rFonts w:eastAsia="Calibri" w:cs="Arial"/>
          <w:color w:val="auto"/>
          <w:szCs w:val="22"/>
          <w:lang w:bidi="ar-SA"/>
        </w:rPr>
        <w:t xml:space="preserve"> </w:t>
      </w:r>
      <w:r>
        <w:rPr>
          <w:rFonts w:eastAsia="Calibri" w:cs="Arial"/>
          <w:color w:val="auto"/>
          <w:szCs w:val="22"/>
          <w:lang w:bidi="ar-SA"/>
        </w:rPr>
        <w:t xml:space="preserve">staff </w:t>
      </w:r>
      <w:r w:rsidRPr="00CC525F">
        <w:rPr>
          <w:rFonts w:eastAsia="Calibri" w:cs="Arial"/>
          <w:color w:val="auto"/>
          <w:szCs w:val="22"/>
          <w:lang w:bidi="ar-SA"/>
        </w:rPr>
        <w:t>awareness</w:t>
      </w:r>
      <w:r>
        <w:rPr>
          <w:rFonts w:eastAsia="Calibri" w:cs="Arial"/>
          <w:color w:val="auto"/>
          <w:szCs w:val="22"/>
          <w:lang w:bidi="ar-SA"/>
        </w:rPr>
        <w:t xml:space="preserve"> on efficiency gains such as that </w:t>
      </w:r>
      <w:r w:rsidRPr="00CC525F">
        <w:rPr>
          <w:rFonts w:eastAsia="Calibri" w:cs="Arial"/>
          <w:color w:val="auto"/>
          <w:szCs w:val="22"/>
          <w:lang w:bidi="ar-SA"/>
        </w:rPr>
        <w:t>record management can create synergies</w:t>
      </w:r>
    </w:p>
    <w:p w14:paraId="0378BA9D" w14:textId="77777777" w:rsidR="00E76BB3" w:rsidRPr="00CC525F" w:rsidRDefault="00E76BB3" w:rsidP="00E76BB3">
      <w:pPr>
        <w:widowControl/>
        <w:jc w:val="both"/>
        <w:rPr>
          <w:rFonts w:eastAsia="Calibri" w:cs="Arial"/>
          <w:color w:val="auto"/>
          <w:szCs w:val="22"/>
          <w:lang w:bidi="ar-SA"/>
        </w:rPr>
      </w:pPr>
    </w:p>
    <w:p w14:paraId="499BC4F1" w14:textId="77777777" w:rsidR="00E76BB3" w:rsidRPr="00CC525F" w:rsidRDefault="00E76BB3" w:rsidP="00E76BB3">
      <w:pPr>
        <w:widowControl/>
        <w:jc w:val="both"/>
        <w:rPr>
          <w:rFonts w:eastAsia="Calibri" w:cs="Arial"/>
          <w:color w:val="auto"/>
          <w:szCs w:val="22"/>
          <w:lang w:bidi="ar-SA"/>
        </w:rPr>
      </w:pPr>
      <w:r w:rsidRPr="00CC525F">
        <w:rPr>
          <w:rFonts w:eastAsia="Calibri" w:cs="Arial"/>
          <w:color w:val="auto"/>
          <w:szCs w:val="22"/>
          <w:lang w:bidi="ar-SA"/>
        </w:rPr>
        <w:t xml:space="preserve">The Clean Hydrogen JU has already a significant digital solutions portfolio, which enables fast, effective and transparent policy implementation and monitoring of its activities within a modern paperless administration and “e-only” document and approval process environment, thanks to the </w:t>
      </w:r>
      <w:r w:rsidRPr="00CC525F">
        <w:rPr>
          <w:rFonts w:eastAsia="Calibri" w:cs="Arial"/>
          <w:b/>
          <w:bCs/>
          <w:color w:val="auto"/>
          <w:szCs w:val="22"/>
          <w:lang w:bidi="ar-SA"/>
        </w:rPr>
        <w:t>“eSignature”</w:t>
      </w:r>
      <w:r w:rsidRPr="00CC525F">
        <w:rPr>
          <w:rFonts w:eastAsia="Calibri" w:cs="Arial"/>
          <w:color w:val="auto"/>
          <w:szCs w:val="22"/>
          <w:lang w:bidi="ar-SA"/>
        </w:rPr>
        <w:t xml:space="preserve"> CEF module already used.</w:t>
      </w:r>
    </w:p>
    <w:p w14:paraId="77DF3C52" w14:textId="77777777" w:rsidR="00E76BB3" w:rsidRPr="00CC525F" w:rsidRDefault="00E76BB3" w:rsidP="00E76BB3">
      <w:pPr>
        <w:widowControl/>
        <w:jc w:val="both"/>
        <w:rPr>
          <w:rFonts w:eastAsia="Calibri" w:cs="Arial"/>
          <w:color w:val="auto"/>
          <w:szCs w:val="22"/>
          <w:lang w:bidi="ar-SA"/>
        </w:rPr>
      </w:pPr>
    </w:p>
    <w:p w14:paraId="4A1A0FC6" w14:textId="77777777" w:rsidR="00E76BB3" w:rsidRPr="00CC525F" w:rsidRDefault="00E76BB3" w:rsidP="00E76BB3">
      <w:pPr>
        <w:widowControl/>
        <w:jc w:val="both"/>
        <w:rPr>
          <w:rFonts w:eastAsia="Calibri" w:cs="Arial"/>
          <w:i/>
          <w:iCs/>
          <w:color w:val="auto"/>
          <w:szCs w:val="22"/>
          <w:lang w:bidi="ar-SA"/>
        </w:rPr>
      </w:pPr>
      <w:r w:rsidRPr="00CC525F">
        <w:rPr>
          <w:rFonts w:eastAsia="Calibri" w:cs="Arial"/>
          <w:color w:val="auto"/>
          <w:szCs w:val="22"/>
          <w:u w:val="single"/>
          <w:lang w:bidi="ar-SA"/>
        </w:rPr>
        <w:lastRenderedPageBreak/>
        <w:t>Objective</w:t>
      </w:r>
      <w:r w:rsidRPr="00CC525F">
        <w:rPr>
          <w:rFonts w:eastAsia="Calibri" w:cs="Arial"/>
          <w:color w:val="auto"/>
          <w:szCs w:val="22"/>
          <w:lang w:bidi="ar-SA"/>
        </w:rPr>
        <w:t xml:space="preserve">: </w:t>
      </w:r>
      <w:r w:rsidRPr="00CC525F">
        <w:rPr>
          <w:rFonts w:eastAsia="Calibri" w:cs="Arial"/>
          <w:i/>
          <w:iCs/>
          <w:color w:val="auto"/>
          <w:szCs w:val="22"/>
          <w:lang w:bidi="ar-SA"/>
        </w:rPr>
        <w:t>The Clean Hydrogen JU</w:t>
      </w:r>
      <w:r w:rsidRPr="00CC525F">
        <w:rPr>
          <w:rFonts w:eastAsia="Calibri" w:cs="Arial"/>
          <w:color w:val="auto"/>
          <w:szCs w:val="22"/>
          <w:lang w:bidi="ar-SA"/>
        </w:rPr>
        <w:t xml:space="preserve"> </w:t>
      </w:r>
      <w:r w:rsidRPr="00CC525F">
        <w:rPr>
          <w:rFonts w:eastAsia="Calibri" w:cs="Arial"/>
          <w:i/>
          <w:iCs/>
          <w:color w:val="auto"/>
          <w:szCs w:val="22"/>
          <w:lang w:bidi="ar-SA"/>
        </w:rPr>
        <w:t>aim to take further advantages of any secure, interoperable digital solutions</w:t>
      </w:r>
    </w:p>
    <w:p w14:paraId="64DBEDAD" w14:textId="77777777" w:rsidR="00E76BB3" w:rsidRPr="00CC525F" w:rsidRDefault="00E76BB3" w:rsidP="00E76BB3">
      <w:pPr>
        <w:widowControl/>
        <w:jc w:val="both"/>
        <w:rPr>
          <w:rFonts w:eastAsia="Calibri" w:cs="Arial"/>
          <w:color w:val="auto"/>
          <w:szCs w:val="22"/>
          <w:lang w:bidi="ar-SA"/>
        </w:rPr>
      </w:pPr>
    </w:p>
    <w:p w14:paraId="643A0260" w14:textId="77777777" w:rsidR="00E76BB3" w:rsidRPr="00CC525F" w:rsidRDefault="00E76BB3" w:rsidP="00E76BB3">
      <w:pPr>
        <w:widowControl/>
        <w:jc w:val="both"/>
        <w:rPr>
          <w:rFonts w:eastAsia="Calibri" w:cs="Arial"/>
          <w:color w:val="auto"/>
          <w:szCs w:val="22"/>
          <w:lang w:bidi="ar-SA"/>
        </w:rPr>
      </w:pPr>
      <w:r w:rsidRPr="00CC525F">
        <w:rPr>
          <w:rFonts w:eastAsia="Calibri" w:cs="Arial"/>
          <w:color w:val="auto"/>
          <w:szCs w:val="22"/>
          <w:lang w:bidi="ar-SA"/>
        </w:rPr>
        <w:t>To achieve this objective:</w:t>
      </w:r>
    </w:p>
    <w:p w14:paraId="207A18BC" w14:textId="77777777" w:rsidR="00E76BB3" w:rsidRPr="00CC525F" w:rsidRDefault="00E76BB3" w:rsidP="002256F6">
      <w:pPr>
        <w:widowControl/>
        <w:numPr>
          <w:ilvl w:val="0"/>
          <w:numId w:val="72"/>
        </w:numPr>
        <w:jc w:val="both"/>
        <w:rPr>
          <w:rFonts w:eastAsia="Calibri" w:cs="Arial"/>
          <w:color w:val="auto"/>
          <w:szCs w:val="22"/>
          <w:lang w:bidi="ar-SA"/>
        </w:rPr>
      </w:pPr>
      <w:r w:rsidRPr="00CC525F">
        <w:rPr>
          <w:rFonts w:eastAsia="Calibri" w:cs="Arial"/>
          <w:color w:val="auto"/>
          <w:szCs w:val="22"/>
          <w:lang w:bidi="ar-SA"/>
        </w:rPr>
        <w:t xml:space="preserve">The document management and archiving policy of the Clean Hydrogen JU will then use </w:t>
      </w:r>
      <w:r w:rsidRPr="00CC525F">
        <w:rPr>
          <w:rFonts w:eastAsia="Calibri" w:cs="Arial"/>
          <w:b/>
          <w:bCs/>
          <w:color w:val="auto"/>
          <w:szCs w:val="22"/>
          <w:lang w:bidi="ar-SA"/>
        </w:rPr>
        <w:t>more reusable corporate CEF building blocks and services</w:t>
      </w:r>
      <w:r w:rsidRPr="00CC525F">
        <w:rPr>
          <w:rFonts w:eastAsia="Calibri" w:cs="Arial"/>
          <w:color w:val="auto"/>
          <w:szCs w:val="22"/>
          <w:lang w:bidi="ar-SA"/>
        </w:rPr>
        <w:t xml:space="preserve"> (eArchiving, eDelivery, eTranslation, eInvoicing) or full electronic case handling (eGrants, eSubmissions, eSignatures and electronic certificates)</w:t>
      </w:r>
    </w:p>
    <w:p w14:paraId="0713A171" w14:textId="77777777" w:rsidR="00E76BB3" w:rsidRPr="00CC525F" w:rsidRDefault="00E76BB3" w:rsidP="002256F6">
      <w:pPr>
        <w:widowControl/>
        <w:numPr>
          <w:ilvl w:val="0"/>
          <w:numId w:val="72"/>
        </w:numPr>
        <w:jc w:val="both"/>
        <w:rPr>
          <w:rFonts w:eastAsia="Calibri" w:cs="Arial"/>
          <w:color w:val="auto"/>
          <w:szCs w:val="22"/>
          <w:lang w:bidi="ar-SA"/>
        </w:rPr>
      </w:pPr>
      <w:r w:rsidRPr="00CC525F">
        <w:rPr>
          <w:rFonts w:eastAsia="Calibri" w:cs="Arial"/>
          <w:color w:val="auto"/>
          <w:szCs w:val="22"/>
          <w:lang w:bidi="ar-SA"/>
        </w:rPr>
        <w:t xml:space="preserve">The Clean Hydrogen JU will foster a culture of correct processing of shared information </w:t>
      </w:r>
    </w:p>
    <w:p w14:paraId="172527EC" w14:textId="77777777" w:rsidR="00E76BB3" w:rsidRPr="00CC525F" w:rsidRDefault="00E76BB3" w:rsidP="002256F6">
      <w:pPr>
        <w:widowControl/>
        <w:numPr>
          <w:ilvl w:val="0"/>
          <w:numId w:val="71"/>
        </w:numPr>
        <w:ind w:left="709"/>
        <w:jc w:val="both"/>
        <w:rPr>
          <w:rFonts w:eastAsia="Calibri" w:cs="Arial"/>
          <w:color w:val="auto"/>
          <w:szCs w:val="22"/>
          <w:lang w:bidi="ar-SA"/>
        </w:rPr>
      </w:pPr>
      <w:r w:rsidRPr="00CC525F">
        <w:rPr>
          <w:rFonts w:eastAsia="Calibri" w:cs="Arial"/>
          <w:color w:val="auto"/>
          <w:szCs w:val="22"/>
          <w:lang w:bidi="ar-SA"/>
        </w:rPr>
        <w:t>The JU will encourage the use of collaborative electronic tools with a more 'open, inclusive, cooperative, co-create, co-innovative and co-deliver way of working'</w:t>
      </w:r>
    </w:p>
    <w:p w14:paraId="0779413C" w14:textId="77777777" w:rsidR="00E76BB3" w:rsidRPr="00CC525F" w:rsidRDefault="00E76BB3" w:rsidP="002256F6">
      <w:pPr>
        <w:widowControl/>
        <w:numPr>
          <w:ilvl w:val="0"/>
          <w:numId w:val="71"/>
        </w:numPr>
        <w:ind w:left="709"/>
        <w:jc w:val="both"/>
        <w:rPr>
          <w:rFonts w:eastAsia="Calibri" w:cs="Arial"/>
          <w:color w:val="auto"/>
          <w:szCs w:val="22"/>
          <w:lang w:bidi="ar-SA"/>
        </w:rPr>
      </w:pPr>
      <w:r w:rsidRPr="00CC525F">
        <w:rPr>
          <w:rFonts w:eastAsia="Calibri" w:cs="Arial"/>
          <w:color w:val="auto"/>
          <w:szCs w:val="22"/>
          <w:lang w:bidi="ar-SA"/>
        </w:rPr>
        <w:t xml:space="preserve">The tools adopted will consider the right of access to documents, data protection, sharing information, data management and knowledge management aspects with a view to creating opportunities for efficiency gains, modernisation and improvements </w:t>
      </w:r>
    </w:p>
    <w:p w14:paraId="6647DDBA" w14:textId="77777777" w:rsidR="00E76BB3" w:rsidRPr="003854B2" w:rsidRDefault="00E76BB3" w:rsidP="006802D3">
      <w:pPr>
        <w:pStyle w:val="Subtitle"/>
        <w:rPr>
          <w:lang w:val="en-US"/>
        </w:rPr>
      </w:pPr>
      <w:bookmarkStart w:id="298" w:name="_Toc66888479"/>
      <w:bookmarkStart w:id="299" w:name="_Toc93907383"/>
      <w:r w:rsidRPr="003854B2">
        <w:rPr>
          <w:lang w:val="en-US"/>
        </w:rPr>
        <w:t>Sound environmental management</w:t>
      </w:r>
      <w:bookmarkEnd w:id="298"/>
      <w:bookmarkEnd w:id="299"/>
    </w:p>
    <w:p w14:paraId="6E1213F1" w14:textId="77777777" w:rsidR="00E76BB3" w:rsidRPr="003854B2" w:rsidRDefault="00E76BB3" w:rsidP="00E76BB3">
      <w:pPr>
        <w:pStyle w:val="MAWP-Bodytext"/>
        <w:rPr>
          <w:i/>
          <w:iCs/>
        </w:rPr>
      </w:pPr>
      <w:r w:rsidRPr="003854B2">
        <w:rPr>
          <w:i/>
          <w:iCs/>
          <w:u w:val="single"/>
        </w:rPr>
        <w:t>Objective</w:t>
      </w:r>
      <w:r w:rsidRPr="003854B2">
        <w:rPr>
          <w:i/>
          <w:iCs/>
        </w:rPr>
        <w:t xml:space="preserve">: </w:t>
      </w:r>
      <w:bookmarkStart w:id="300" w:name="_Hlk65570945"/>
      <w:bookmarkStart w:id="301" w:name="_Hlk93678051"/>
      <w:r w:rsidRPr="003854B2">
        <w:rPr>
          <w:i/>
          <w:iCs/>
        </w:rPr>
        <w:t xml:space="preserve">The Clean Hydrogen JU will </w:t>
      </w:r>
      <w:bookmarkEnd w:id="300"/>
      <w:r w:rsidRPr="003854B2">
        <w:rPr>
          <w:i/>
          <w:iCs/>
        </w:rPr>
        <w:t xml:space="preserve">strive to improve its environmental impact in all its actions and will actively promote measures to reduce the related day-to-day impact of the administration and its work. </w:t>
      </w:r>
      <w:bookmarkEnd w:id="301"/>
    </w:p>
    <w:p w14:paraId="4693E98E" w14:textId="77777777" w:rsidR="00E76BB3" w:rsidRPr="003854B2" w:rsidRDefault="00E76BB3" w:rsidP="00E76BB3">
      <w:pPr>
        <w:autoSpaceDE w:val="0"/>
        <w:autoSpaceDN w:val="0"/>
        <w:adjustRightInd w:val="0"/>
        <w:spacing w:after="200" w:line="276" w:lineRule="auto"/>
        <w:jc w:val="both"/>
        <w:rPr>
          <w:rFonts w:cs="Arial"/>
          <w:color w:val="auto"/>
          <w:szCs w:val="22"/>
          <w:lang w:val="en"/>
        </w:rPr>
      </w:pPr>
      <w:r w:rsidRPr="003854B2">
        <w:rPr>
          <w:rFonts w:cs="Arial"/>
          <w:color w:val="auto"/>
          <w:szCs w:val="22"/>
          <w:lang w:val="en"/>
        </w:rPr>
        <w:t xml:space="preserve">The Covid-19 crisis triggered the need to explore alternative working solutions, as the concept of a ‘new normal’ working landscape emerged. </w:t>
      </w:r>
      <w:r>
        <w:rPr>
          <w:rFonts w:cs="Arial"/>
          <w:color w:val="auto"/>
          <w:szCs w:val="22"/>
          <w:lang w:val="en"/>
        </w:rPr>
        <w:t>The Clean Hydrogen JU will</w:t>
      </w:r>
      <w:r w:rsidRPr="003854B2">
        <w:rPr>
          <w:rFonts w:cs="Arial"/>
          <w:color w:val="auto"/>
          <w:szCs w:val="22"/>
          <w:lang w:val="en"/>
        </w:rPr>
        <w:t xml:space="preserve"> redesign certain working, business, and organizational processes</w:t>
      </w:r>
      <w:r>
        <w:rPr>
          <w:rFonts w:cs="Arial"/>
          <w:color w:val="auto"/>
          <w:szCs w:val="22"/>
          <w:lang w:val="en"/>
        </w:rPr>
        <w:t>. W</w:t>
      </w:r>
      <w:r w:rsidRPr="003854B2">
        <w:rPr>
          <w:rFonts w:cs="Arial"/>
          <w:color w:val="auto"/>
          <w:szCs w:val="22"/>
          <w:lang w:val="en"/>
        </w:rPr>
        <w:t xml:space="preserve">e plan to transform the program office into a safe, modern and welcoming place to work, with good quality, sustainable and green solutions. Among others, </w:t>
      </w:r>
      <w:r>
        <w:rPr>
          <w:rFonts w:cs="Arial"/>
          <w:color w:val="auto"/>
          <w:szCs w:val="22"/>
          <w:lang w:val="en"/>
        </w:rPr>
        <w:t>we</w:t>
      </w:r>
      <w:r w:rsidRPr="003854B2">
        <w:rPr>
          <w:rFonts w:cs="Arial"/>
          <w:color w:val="auto"/>
          <w:szCs w:val="22"/>
          <w:lang w:val="en"/>
        </w:rPr>
        <w:t xml:space="preserve"> will contribute to the delivery and implementation of:</w:t>
      </w:r>
    </w:p>
    <w:p w14:paraId="3373C0BB" w14:textId="77777777" w:rsidR="00E76BB3" w:rsidRPr="003854B2" w:rsidRDefault="00E76BB3" w:rsidP="002256F6">
      <w:pPr>
        <w:pStyle w:val="ListParagraph"/>
        <w:numPr>
          <w:ilvl w:val="0"/>
          <w:numId w:val="69"/>
        </w:numPr>
        <w:autoSpaceDE w:val="0"/>
        <w:autoSpaceDN w:val="0"/>
        <w:adjustRightInd w:val="0"/>
        <w:spacing w:after="200" w:line="276" w:lineRule="auto"/>
        <w:contextualSpacing/>
        <w:jc w:val="both"/>
        <w:rPr>
          <w:rFonts w:ascii="Arial" w:hAnsi="Arial" w:cs="Arial"/>
          <w:lang w:val="en"/>
        </w:rPr>
      </w:pPr>
      <w:r w:rsidRPr="003854B2">
        <w:rPr>
          <w:rFonts w:ascii="Arial" w:hAnsi="Arial" w:cs="Arial"/>
          <w:lang w:val="en"/>
        </w:rPr>
        <w:t>paperless procedures and enablers (such as electronic signatures or eProcurement, supported by mobile apps enabling staff to work in a smarter, seamless way) that will be further improved and integrated at corporate level.</w:t>
      </w:r>
    </w:p>
    <w:p w14:paraId="7AB59F18" w14:textId="77777777" w:rsidR="00E76BB3" w:rsidRPr="003854B2" w:rsidRDefault="00E76BB3" w:rsidP="002256F6">
      <w:pPr>
        <w:pStyle w:val="ListParagraph"/>
        <w:numPr>
          <w:ilvl w:val="0"/>
          <w:numId w:val="69"/>
        </w:numPr>
        <w:autoSpaceDE w:val="0"/>
        <w:autoSpaceDN w:val="0"/>
        <w:adjustRightInd w:val="0"/>
        <w:spacing w:after="200" w:line="276" w:lineRule="auto"/>
        <w:contextualSpacing/>
        <w:jc w:val="both"/>
        <w:rPr>
          <w:rFonts w:ascii="Arial" w:hAnsi="Arial" w:cs="Arial"/>
          <w:lang w:val="en"/>
        </w:rPr>
      </w:pPr>
      <w:r w:rsidRPr="003854B2">
        <w:rPr>
          <w:rFonts w:ascii="Arial" w:hAnsi="Arial" w:cs="Arial"/>
          <w:lang w:val="en"/>
        </w:rPr>
        <w:t xml:space="preserve">remote work as </w:t>
      </w:r>
      <w:r>
        <w:rPr>
          <w:rFonts w:ascii="Arial" w:hAnsi="Arial" w:cs="Arial"/>
          <w:lang w:val="en"/>
        </w:rPr>
        <w:t>integrated way of working</w:t>
      </w:r>
      <w:r w:rsidRPr="003854B2">
        <w:rPr>
          <w:rFonts w:ascii="Arial" w:hAnsi="Arial" w:cs="Arial"/>
          <w:lang w:val="en"/>
        </w:rPr>
        <w:t>.</w:t>
      </w:r>
    </w:p>
    <w:p w14:paraId="24A561C4" w14:textId="77777777" w:rsidR="00E76BB3" w:rsidRPr="003854B2" w:rsidRDefault="00E76BB3" w:rsidP="002256F6">
      <w:pPr>
        <w:pStyle w:val="ListParagraph"/>
        <w:numPr>
          <w:ilvl w:val="0"/>
          <w:numId w:val="68"/>
        </w:numPr>
        <w:autoSpaceDE w:val="0"/>
        <w:autoSpaceDN w:val="0"/>
        <w:adjustRightInd w:val="0"/>
        <w:spacing w:after="200" w:line="276" w:lineRule="auto"/>
        <w:contextualSpacing/>
        <w:jc w:val="both"/>
        <w:rPr>
          <w:rFonts w:ascii="Arial" w:hAnsi="Arial" w:cs="Arial"/>
          <w:lang w:val="en"/>
        </w:rPr>
      </w:pPr>
      <w:r>
        <w:rPr>
          <w:rFonts w:ascii="Arial" w:hAnsi="Arial" w:cs="Arial"/>
          <w:lang w:val="en"/>
        </w:rPr>
        <w:t>t</w:t>
      </w:r>
      <w:r w:rsidRPr="003854B2">
        <w:rPr>
          <w:rFonts w:ascii="Arial" w:hAnsi="Arial" w:cs="Arial"/>
          <w:lang w:val="en"/>
        </w:rPr>
        <w:t>he use of modern technologies (such as “more wireless, less cables”, Wi-Fi everywhere, connected meeting rooms) can mak</w:t>
      </w:r>
      <w:r>
        <w:rPr>
          <w:rFonts w:ascii="Arial" w:hAnsi="Arial" w:cs="Arial"/>
          <w:lang w:val="en"/>
        </w:rPr>
        <w:t>e</w:t>
      </w:r>
      <w:r w:rsidRPr="003854B2">
        <w:rPr>
          <w:rFonts w:ascii="Arial" w:hAnsi="Arial" w:cs="Arial"/>
          <w:lang w:val="en"/>
        </w:rPr>
        <w:t xml:space="preserve"> the working place safer and easier. </w:t>
      </w:r>
    </w:p>
    <w:p w14:paraId="77A47464" w14:textId="77777777" w:rsidR="00E76BB3" w:rsidRPr="003854B2" w:rsidRDefault="00E76BB3" w:rsidP="002256F6">
      <w:pPr>
        <w:pStyle w:val="ListParagraph"/>
        <w:numPr>
          <w:ilvl w:val="0"/>
          <w:numId w:val="68"/>
        </w:numPr>
        <w:autoSpaceDE w:val="0"/>
        <w:autoSpaceDN w:val="0"/>
        <w:adjustRightInd w:val="0"/>
        <w:spacing w:after="200" w:line="276" w:lineRule="auto"/>
        <w:contextualSpacing/>
        <w:jc w:val="both"/>
        <w:rPr>
          <w:rFonts w:ascii="Arial" w:hAnsi="Arial" w:cs="Arial"/>
          <w:lang w:val="en"/>
        </w:rPr>
      </w:pPr>
      <w:r w:rsidRPr="003854B2">
        <w:rPr>
          <w:rFonts w:ascii="Arial" w:hAnsi="Arial" w:cs="Arial"/>
          <w:lang w:val="en"/>
        </w:rPr>
        <w:t>improving the ways to identify yourself with a single sign on (EU Login) enhance the security but also facilitate the access to any information.</w:t>
      </w:r>
    </w:p>
    <w:p w14:paraId="7B121883" w14:textId="77777777" w:rsidR="00E76BB3" w:rsidRPr="003854B2" w:rsidRDefault="00E76BB3" w:rsidP="002256F6">
      <w:pPr>
        <w:pStyle w:val="ListParagraph"/>
        <w:numPr>
          <w:ilvl w:val="0"/>
          <w:numId w:val="68"/>
        </w:numPr>
        <w:autoSpaceDE w:val="0"/>
        <w:autoSpaceDN w:val="0"/>
        <w:adjustRightInd w:val="0"/>
        <w:spacing w:after="200" w:line="276" w:lineRule="auto"/>
        <w:contextualSpacing/>
        <w:jc w:val="both"/>
        <w:rPr>
          <w:rFonts w:ascii="Arial" w:hAnsi="Arial" w:cs="Arial"/>
          <w:lang w:val="en"/>
        </w:rPr>
      </w:pPr>
      <w:r w:rsidRPr="003854B2">
        <w:rPr>
          <w:rFonts w:ascii="Arial" w:hAnsi="Arial" w:cs="Arial"/>
          <w:lang w:val="en"/>
        </w:rPr>
        <w:t>the use of web/videoconferencing-based meetings as valid sustainable alternative to staff missions and physical meetings, which represents a significant benefit in terms of environmental footprint, efficiency, and work-life balance.</w:t>
      </w:r>
    </w:p>
    <w:p w14:paraId="004340EC" w14:textId="77777777" w:rsidR="00E76BB3" w:rsidRPr="003854B2" w:rsidRDefault="00E76BB3" w:rsidP="002256F6">
      <w:pPr>
        <w:pStyle w:val="ListParagraph"/>
        <w:numPr>
          <w:ilvl w:val="0"/>
          <w:numId w:val="68"/>
        </w:numPr>
        <w:autoSpaceDE w:val="0"/>
        <w:autoSpaceDN w:val="0"/>
        <w:adjustRightInd w:val="0"/>
        <w:spacing w:after="200" w:line="276" w:lineRule="auto"/>
        <w:contextualSpacing/>
        <w:jc w:val="both"/>
        <w:rPr>
          <w:rFonts w:ascii="Arial" w:hAnsi="Arial" w:cs="Arial"/>
          <w:lang w:val="en"/>
        </w:rPr>
      </w:pPr>
      <w:r w:rsidRPr="003854B2">
        <w:rPr>
          <w:rFonts w:ascii="Arial" w:hAnsi="Arial" w:cs="Arial"/>
          <w:lang w:val="en"/>
        </w:rPr>
        <w:t xml:space="preserve">more dynamic approaches to the use of office space; </w:t>
      </w:r>
    </w:p>
    <w:p w14:paraId="2F1E3D6E" w14:textId="77777777" w:rsidR="00E76BB3" w:rsidRPr="003854B2" w:rsidRDefault="00E76BB3" w:rsidP="002256F6">
      <w:pPr>
        <w:pStyle w:val="ListParagraph"/>
        <w:numPr>
          <w:ilvl w:val="0"/>
          <w:numId w:val="68"/>
        </w:numPr>
        <w:autoSpaceDE w:val="0"/>
        <w:autoSpaceDN w:val="0"/>
        <w:adjustRightInd w:val="0"/>
        <w:spacing w:after="200" w:line="276" w:lineRule="auto"/>
        <w:contextualSpacing/>
        <w:jc w:val="both"/>
        <w:rPr>
          <w:rFonts w:ascii="Arial" w:hAnsi="Arial" w:cs="Arial"/>
          <w:lang w:val="en"/>
        </w:rPr>
      </w:pPr>
      <w:r w:rsidRPr="003854B2">
        <w:rPr>
          <w:rFonts w:ascii="Arial" w:hAnsi="Arial" w:cs="Arial"/>
          <w:lang w:val="en"/>
        </w:rPr>
        <w:t xml:space="preserve">investigate with the building owner the </w:t>
      </w:r>
      <w:r>
        <w:rPr>
          <w:rFonts w:ascii="Arial" w:hAnsi="Arial" w:cs="Arial"/>
          <w:lang w:val="en"/>
        </w:rPr>
        <w:t xml:space="preserve">integration of </w:t>
      </w:r>
      <w:r w:rsidRPr="003854B2">
        <w:rPr>
          <w:rFonts w:ascii="Arial" w:hAnsi="Arial" w:cs="Arial"/>
          <w:lang w:val="en"/>
        </w:rPr>
        <w:t>new technology to make our actual building smart and eco-friendly.</w:t>
      </w:r>
    </w:p>
    <w:p w14:paraId="3627786F" w14:textId="77777777" w:rsidR="00E76BB3" w:rsidRPr="003854B2" w:rsidRDefault="00E76BB3" w:rsidP="002256F6">
      <w:pPr>
        <w:pStyle w:val="ListParagraph"/>
        <w:numPr>
          <w:ilvl w:val="0"/>
          <w:numId w:val="68"/>
        </w:numPr>
        <w:spacing w:after="160" w:line="259" w:lineRule="auto"/>
        <w:contextualSpacing/>
        <w:jc w:val="both"/>
        <w:rPr>
          <w:rFonts w:ascii="Arial" w:hAnsi="Arial" w:cs="Arial"/>
        </w:rPr>
      </w:pPr>
      <w:r>
        <w:rPr>
          <w:rFonts w:ascii="Arial" w:hAnsi="Arial" w:cs="Arial"/>
        </w:rPr>
        <w:t>r</w:t>
      </w:r>
      <w:r w:rsidRPr="003854B2">
        <w:rPr>
          <w:rFonts w:ascii="Arial" w:hAnsi="Arial" w:cs="Arial"/>
        </w:rPr>
        <w:t>educing and managing waste (sorting stations, glass containers, awareness raising campaigns)</w:t>
      </w:r>
      <w:r>
        <w:rPr>
          <w:rFonts w:ascii="Arial" w:hAnsi="Arial" w:cs="Arial"/>
        </w:rPr>
        <w:t>.</w:t>
      </w:r>
    </w:p>
    <w:p w14:paraId="23440987" w14:textId="77777777" w:rsidR="00E76BB3" w:rsidRPr="003854B2" w:rsidRDefault="00E76BB3" w:rsidP="002256F6">
      <w:pPr>
        <w:pStyle w:val="ListParagraph"/>
        <w:numPr>
          <w:ilvl w:val="0"/>
          <w:numId w:val="68"/>
        </w:numPr>
        <w:spacing w:after="160" w:line="259" w:lineRule="auto"/>
        <w:contextualSpacing/>
        <w:jc w:val="both"/>
        <w:rPr>
          <w:rFonts w:ascii="Arial" w:hAnsi="Arial" w:cs="Arial"/>
        </w:rPr>
      </w:pPr>
      <w:r>
        <w:rPr>
          <w:rFonts w:ascii="Arial" w:hAnsi="Arial" w:cs="Arial"/>
        </w:rPr>
        <w:t>p</w:t>
      </w:r>
      <w:r w:rsidRPr="003854B2">
        <w:rPr>
          <w:rFonts w:ascii="Arial" w:hAnsi="Arial" w:cs="Arial"/>
        </w:rPr>
        <w:t>romoting green public procurement by introducing specific office supplies’ catalogues, including only 100% green items</w:t>
      </w:r>
      <w:r>
        <w:rPr>
          <w:rFonts w:ascii="Arial" w:hAnsi="Arial" w:cs="Arial"/>
        </w:rPr>
        <w:t>.</w:t>
      </w:r>
      <w:bookmarkEnd w:id="288"/>
    </w:p>
    <w:p w14:paraId="13FC7BB9" w14:textId="77777777" w:rsidR="00E76BB3" w:rsidRPr="00B364CB" w:rsidRDefault="00E76BB3" w:rsidP="00785823">
      <w:pPr>
        <w:pStyle w:val="MAWP-Bodytext"/>
        <w:rPr>
          <w:color w:val="auto"/>
          <w:lang w:eastAsia="en-US"/>
        </w:rPr>
      </w:pPr>
    </w:p>
    <w:p w14:paraId="0DD470A9" w14:textId="77777777" w:rsidR="000525AF" w:rsidRPr="00B364CB" w:rsidRDefault="000525AF" w:rsidP="000525AF">
      <w:r w:rsidRPr="00B364CB">
        <w:br w:type="page"/>
      </w:r>
    </w:p>
    <w:p w14:paraId="29F2C7A8" w14:textId="77777777" w:rsidR="000525AF" w:rsidRPr="00B364CB" w:rsidRDefault="000525AF" w:rsidP="000525AF">
      <w:pPr>
        <w:rPr>
          <w:rFonts w:eastAsia="Arial" w:cs="Arial"/>
          <w:szCs w:val="32"/>
        </w:rPr>
        <w:sectPr w:rsidR="000525AF" w:rsidRPr="00B364CB" w:rsidSect="00E9707C">
          <w:headerReference w:type="even" r:id="rId26"/>
          <w:headerReference w:type="default" r:id="rId27"/>
          <w:footerReference w:type="even" r:id="rId28"/>
          <w:footerReference w:type="default" r:id="rId29"/>
          <w:headerReference w:type="first" r:id="rId30"/>
          <w:footerReference w:type="first" r:id="rId31"/>
          <w:pgSz w:w="11900" w:h="16840"/>
          <w:pgMar w:top="1347" w:right="1379" w:bottom="1425" w:left="1391" w:header="0" w:footer="3" w:gutter="0"/>
          <w:cols w:space="720"/>
          <w:noEndnote/>
          <w:docGrid w:linePitch="360"/>
        </w:sectPr>
      </w:pPr>
    </w:p>
    <w:p w14:paraId="61E23DB6" w14:textId="7534E167" w:rsidR="000525AF" w:rsidRPr="00B364CB" w:rsidRDefault="000525AF" w:rsidP="000525AF">
      <w:pPr>
        <w:pStyle w:val="Heading11"/>
        <w:keepNext/>
        <w:keepLines/>
        <w:shd w:val="clear" w:color="auto" w:fill="auto"/>
        <w:spacing w:line="276" w:lineRule="auto"/>
        <w:jc w:val="left"/>
        <w:rPr>
          <w:rStyle w:val="MAWPTitle"/>
          <w:lang w:val="en-GB"/>
        </w:rPr>
      </w:pPr>
      <w:bookmarkStart w:id="302" w:name="_Toc70088062"/>
      <w:bookmarkStart w:id="303" w:name="_Toc93907384"/>
      <w:r w:rsidRPr="00B364CB">
        <w:rPr>
          <w:lang w:eastAsia="sv-SE" w:bidi="sv-SE"/>
        </w:rPr>
        <w:lastRenderedPageBreak/>
        <w:t xml:space="preserve">Annex 1 – </w:t>
      </w:r>
      <w:r w:rsidRPr="00B364CB">
        <w:rPr>
          <w:rStyle w:val="MAWPTitle"/>
          <w:lang w:val="en-GB"/>
        </w:rPr>
        <w:t>Programme</w:t>
      </w:r>
      <w:r w:rsidRPr="00B364CB">
        <w:rPr>
          <w:lang w:eastAsia="sv-SE" w:bidi="sv-SE"/>
        </w:rPr>
        <w:t xml:space="preserve"> Level Key Performance Indicators for the </w:t>
      </w:r>
      <w:r w:rsidRPr="00B364CB">
        <w:rPr>
          <w:rStyle w:val="MAWPTitle"/>
          <w:lang w:val="en-GB"/>
        </w:rPr>
        <w:t>Clean Hydrogen for Europe Joint Undertaking</w:t>
      </w:r>
      <w:bookmarkEnd w:id="302"/>
      <w:bookmarkEnd w:id="303"/>
    </w:p>
    <w:p w14:paraId="17FE11DA" w14:textId="77777777" w:rsidR="00061852" w:rsidRDefault="00061852" w:rsidP="000525AF">
      <w:pPr>
        <w:rPr>
          <w:lang w:eastAsia="sv-SE" w:bidi="sv-SE"/>
        </w:rPr>
      </w:pPr>
    </w:p>
    <w:tbl>
      <w:tblPr>
        <w:tblStyle w:val="TableGrid"/>
        <w:tblW w:w="0" w:type="auto"/>
        <w:tblInd w:w="-459" w:type="dxa"/>
        <w:tblLook w:val="04A0" w:firstRow="1" w:lastRow="0" w:firstColumn="1" w:lastColumn="0" w:noHBand="0" w:noVBand="1"/>
      </w:tblPr>
      <w:tblGrid>
        <w:gridCol w:w="1987"/>
        <w:gridCol w:w="2822"/>
        <w:gridCol w:w="2525"/>
        <w:gridCol w:w="3458"/>
        <w:gridCol w:w="1212"/>
        <w:gridCol w:w="826"/>
        <w:gridCol w:w="847"/>
        <w:gridCol w:w="840"/>
      </w:tblGrid>
      <w:tr w:rsidR="00061852" w:rsidRPr="00061268" w14:paraId="20EE06FA" w14:textId="77777777" w:rsidTr="00F83C12">
        <w:trPr>
          <w:trHeight w:val="699"/>
        </w:trPr>
        <w:tc>
          <w:tcPr>
            <w:tcW w:w="0" w:type="auto"/>
            <w:gridSpan w:val="3"/>
            <w:tcBorders>
              <w:bottom w:val="single" w:sz="4" w:space="0" w:color="auto"/>
            </w:tcBorders>
            <w:shd w:val="clear" w:color="auto" w:fill="00B050"/>
            <w:vAlign w:val="center"/>
          </w:tcPr>
          <w:p w14:paraId="493063E9" w14:textId="77777777" w:rsidR="00061852" w:rsidRPr="003415F0" w:rsidRDefault="00061852" w:rsidP="00B7362E">
            <w:pPr>
              <w:spacing w:after="60"/>
              <w:jc w:val="center"/>
              <w:rPr>
                <w:rFonts w:ascii="Times New Roman" w:hAnsi="Times New Roman"/>
                <w:b/>
                <w:color w:val="auto"/>
                <w:sz w:val="32"/>
                <w:szCs w:val="32"/>
              </w:rPr>
            </w:pPr>
            <w:r w:rsidRPr="003415F0">
              <w:rPr>
                <w:rFonts w:ascii="Times New Roman" w:hAnsi="Times New Roman"/>
                <w:b/>
                <w:color w:val="auto"/>
                <w:sz w:val="32"/>
                <w:szCs w:val="32"/>
              </w:rPr>
              <w:t>CLEAN HYDROGEN JOINT UNDERTAKING</w:t>
            </w:r>
          </w:p>
        </w:tc>
        <w:tc>
          <w:tcPr>
            <w:tcW w:w="0" w:type="auto"/>
            <w:gridSpan w:val="5"/>
            <w:tcBorders>
              <w:bottom w:val="single" w:sz="4" w:space="0" w:color="auto"/>
            </w:tcBorders>
            <w:shd w:val="clear" w:color="auto" w:fill="00B050"/>
            <w:vAlign w:val="center"/>
          </w:tcPr>
          <w:p w14:paraId="6075C406" w14:textId="77777777" w:rsidR="00061852" w:rsidRPr="003415F0" w:rsidRDefault="00061852" w:rsidP="00B7362E">
            <w:pPr>
              <w:spacing w:after="60"/>
              <w:jc w:val="center"/>
              <w:rPr>
                <w:rFonts w:ascii="Times New Roman" w:hAnsi="Times New Roman"/>
                <w:b/>
                <w:color w:val="auto"/>
                <w:sz w:val="32"/>
                <w:szCs w:val="32"/>
              </w:rPr>
            </w:pPr>
            <w:r w:rsidRPr="003415F0">
              <w:rPr>
                <w:rFonts w:ascii="Times New Roman" w:hAnsi="Times New Roman"/>
                <w:b/>
                <w:color w:val="auto"/>
                <w:sz w:val="32"/>
                <w:szCs w:val="32"/>
              </w:rPr>
              <w:t>Monitoring and evaluation framework</w:t>
            </w:r>
          </w:p>
        </w:tc>
      </w:tr>
      <w:tr w:rsidR="00061852" w:rsidRPr="00061268" w14:paraId="4650BFF6" w14:textId="77777777" w:rsidTr="00F83C12">
        <w:trPr>
          <w:trHeight w:val="455"/>
        </w:trPr>
        <w:tc>
          <w:tcPr>
            <w:tcW w:w="0" w:type="auto"/>
            <w:gridSpan w:val="2"/>
            <w:vMerge w:val="restart"/>
            <w:shd w:val="clear" w:color="auto" w:fill="92D050"/>
            <w:vAlign w:val="center"/>
          </w:tcPr>
          <w:p w14:paraId="668E74C4" w14:textId="77777777" w:rsidR="00061852" w:rsidRPr="00061268" w:rsidRDefault="00061852" w:rsidP="00B7362E">
            <w:pPr>
              <w:spacing w:after="60"/>
              <w:jc w:val="center"/>
              <w:rPr>
                <w:rFonts w:ascii="Times New Roman" w:hAnsi="Times New Roman"/>
                <w:b/>
                <w:sz w:val="28"/>
                <w:szCs w:val="28"/>
              </w:rPr>
            </w:pPr>
            <w:r w:rsidRPr="00061268">
              <w:rPr>
                <w:rFonts w:ascii="Times New Roman" w:hAnsi="Times New Roman"/>
                <w:b/>
                <w:sz w:val="28"/>
                <w:szCs w:val="28"/>
              </w:rPr>
              <w:t>Objectives</w:t>
            </w:r>
          </w:p>
        </w:tc>
        <w:tc>
          <w:tcPr>
            <w:tcW w:w="0" w:type="auto"/>
            <w:vMerge w:val="restart"/>
            <w:shd w:val="clear" w:color="auto" w:fill="92D050"/>
            <w:vAlign w:val="center"/>
          </w:tcPr>
          <w:p w14:paraId="02227C24" w14:textId="77777777" w:rsidR="00061852" w:rsidRPr="00061268" w:rsidRDefault="00061852" w:rsidP="00B7362E">
            <w:pPr>
              <w:spacing w:after="60"/>
              <w:jc w:val="center"/>
              <w:rPr>
                <w:rFonts w:ascii="Times New Roman" w:hAnsi="Times New Roman"/>
                <w:b/>
                <w:bCs/>
                <w:sz w:val="28"/>
                <w:szCs w:val="28"/>
              </w:rPr>
            </w:pPr>
            <w:r w:rsidRPr="00061268">
              <w:rPr>
                <w:rFonts w:ascii="Times New Roman" w:hAnsi="Times New Roman"/>
                <w:b/>
                <w:bCs/>
                <w:sz w:val="28"/>
                <w:szCs w:val="28"/>
              </w:rPr>
              <w:t>Key Performance Indicators</w:t>
            </w:r>
          </w:p>
        </w:tc>
        <w:tc>
          <w:tcPr>
            <w:tcW w:w="0" w:type="auto"/>
            <w:vMerge w:val="restart"/>
            <w:shd w:val="clear" w:color="auto" w:fill="92D050"/>
            <w:vAlign w:val="center"/>
          </w:tcPr>
          <w:p w14:paraId="00012B00" w14:textId="77777777" w:rsidR="00061852" w:rsidRPr="00061268" w:rsidRDefault="00061852" w:rsidP="00B7362E">
            <w:pPr>
              <w:spacing w:after="60"/>
              <w:jc w:val="center"/>
              <w:rPr>
                <w:rFonts w:ascii="Times New Roman" w:hAnsi="Times New Roman"/>
                <w:sz w:val="28"/>
                <w:szCs w:val="28"/>
              </w:rPr>
            </w:pPr>
            <w:r w:rsidRPr="00061268">
              <w:rPr>
                <w:rFonts w:ascii="Times New Roman" w:hAnsi="Times New Roman"/>
                <w:b/>
                <w:sz w:val="28"/>
                <w:szCs w:val="28"/>
              </w:rPr>
              <w:t>Data sources and methodology used</w:t>
            </w:r>
          </w:p>
        </w:tc>
        <w:tc>
          <w:tcPr>
            <w:tcW w:w="0" w:type="auto"/>
            <w:gridSpan w:val="4"/>
            <w:shd w:val="clear" w:color="auto" w:fill="92D050"/>
            <w:vAlign w:val="center"/>
          </w:tcPr>
          <w:p w14:paraId="47DB6223" w14:textId="77777777" w:rsidR="00061852" w:rsidRPr="00061268" w:rsidRDefault="00061852" w:rsidP="00B7362E">
            <w:pPr>
              <w:spacing w:after="60"/>
              <w:jc w:val="center"/>
              <w:rPr>
                <w:rFonts w:ascii="Times New Roman" w:hAnsi="Times New Roman"/>
                <w:b/>
                <w:sz w:val="28"/>
                <w:szCs w:val="28"/>
              </w:rPr>
            </w:pPr>
            <w:r w:rsidRPr="00061268">
              <w:rPr>
                <w:rFonts w:ascii="Times New Roman" w:hAnsi="Times New Roman"/>
                <w:b/>
                <w:sz w:val="28"/>
                <w:szCs w:val="28"/>
              </w:rPr>
              <w:t>Baseline and targets</w:t>
            </w:r>
            <w:r w:rsidRPr="00061268">
              <w:rPr>
                <w:rStyle w:val="FootnoteReference"/>
                <w:rFonts w:ascii="Times New Roman" w:eastAsia="Arial" w:hAnsi="Times New Roman"/>
                <w:sz w:val="28"/>
                <w:szCs w:val="28"/>
              </w:rPr>
              <w:footnoteReference w:id="275"/>
            </w:r>
            <w:r w:rsidRPr="00061268">
              <w:rPr>
                <w:rFonts w:ascii="Times New Roman" w:hAnsi="Times New Roman"/>
                <w:b/>
                <w:sz w:val="28"/>
                <w:szCs w:val="28"/>
                <w:vertAlign w:val="superscript"/>
              </w:rPr>
              <w:t>,</w:t>
            </w:r>
            <w:r w:rsidRPr="00061268">
              <w:rPr>
                <w:rStyle w:val="FootnoteReference"/>
                <w:rFonts w:ascii="Times New Roman" w:eastAsia="Arial" w:hAnsi="Times New Roman"/>
                <w:sz w:val="28"/>
                <w:szCs w:val="28"/>
              </w:rPr>
              <w:footnoteReference w:id="276"/>
            </w:r>
          </w:p>
        </w:tc>
      </w:tr>
      <w:tr w:rsidR="00061852" w:rsidRPr="00061268" w14:paraId="3EB46636" w14:textId="77777777" w:rsidTr="00F83C12">
        <w:trPr>
          <w:trHeight w:val="547"/>
        </w:trPr>
        <w:tc>
          <w:tcPr>
            <w:tcW w:w="0" w:type="auto"/>
            <w:gridSpan w:val="2"/>
            <w:vMerge/>
            <w:shd w:val="clear" w:color="auto" w:fill="92D050"/>
          </w:tcPr>
          <w:p w14:paraId="22E114F7" w14:textId="77777777" w:rsidR="00061852" w:rsidRPr="00061268" w:rsidRDefault="00061852" w:rsidP="00B7362E">
            <w:pPr>
              <w:spacing w:after="60"/>
              <w:rPr>
                <w:rFonts w:ascii="Times New Roman" w:hAnsi="Times New Roman"/>
                <w:highlight w:val="yellow"/>
              </w:rPr>
            </w:pPr>
          </w:p>
        </w:tc>
        <w:tc>
          <w:tcPr>
            <w:tcW w:w="0" w:type="auto"/>
            <w:vMerge/>
            <w:shd w:val="clear" w:color="auto" w:fill="92D050"/>
          </w:tcPr>
          <w:p w14:paraId="2FEDFDFB" w14:textId="77777777" w:rsidR="00061852" w:rsidRPr="00061268" w:rsidRDefault="00061852" w:rsidP="00B7362E">
            <w:pPr>
              <w:spacing w:after="60"/>
              <w:rPr>
                <w:rFonts w:ascii="Times New Roman" w:hAnsi="Times New Roman"/>
              </w:rPr>
            </w:pPr>
          </w:p>
        </w:tc>
        <w:tc>
          <w:tcPr>
            <w:tcW w:w="0" w:type="auto"/>
            <w:vMerge/>
            <w:shd w:val="clear" w:color="auto" w:fill="92D050"/>
          </w:tcPr>
          <w:p w14:paraId="58354D24" w14:textId="77777777" w:rsidR="00061852" w:rsidRPr="00061268" w:rsidRDefault="00061852" w:rsidP="00B7362E">
            <w:pPr>
              <w:spacing w:after="60"/>
              <w:rPr>
                <w:rFonts w:ascii="Times New Roman" w:hAnsi="Times New Roman"/>
              </w:rPr>
            </w:pPr>
          </w:p>
        </w:tc>
        <w:tc>
          <w:tcPr>
            <w:tcW w:w="0" w:type="auto"/>
            <w:shd w:val="clear" w:color="auto" w:fill="92D050"/>
            <w:vAlign w:val="center"/>
          </w:tcPr>
          <w:p w14:paraId="0FDD3872" w14:textId="77777777" w:rsidR="00061852" w:rsidRPr="00061268" w:rsidRDefault="00061852" w:rsidP="00B7362E">
            <w:pPr>
              <w:spacing w:after="60"/>
              <w:jc w:val="center"/>
              <w:rPr>
                <w:rFonts w:ascii="Times New Roman" w:hAnsi="Times New Roman"/>
                <w:b/>
                <w:bCs/>
                <w:sz w:val="28"/>
                <w:szCs w:val="28"/>
              </w:rPr>
            </w:pPr>
            <w:r w:rsidRPr="00061268">
              <w:rPr>
                <w:rFonts w:ascii="Times New Roman" w:hAnsi="Times New Roman"/>
                <w:b/>
                <w:bCs/>
                <w:sz w:val="28"/>
                <w:szCs w:val="28"/>
              </w:rPr>
              <w:t>Baseline</w:t>
            </w:r>
          </w:p>
        </w:tc>
        <w:tc>
          <w:tcPr>
            <w:tcW w:w="0" w:type="auto"/>
            <w:shd w:val="clear" w:color="auto" w:fill="92D050"/>
            <w:vAlign w:val="center"/>
          </w:tcPr>
          <w:p w14:paraId="34CB2323" w14:textId="77777777" w:rsidR="00061852" w:rsidRPr="00061268" w:rsidRDefault="00061852" w:rsidP="00B7362E">
            <w:pPr>
              <w:spacing w:after="60"/>
              <w:jc w:val="center"/>
              <w:rPr>
                <w:rFonts w:ascii="Times New Roman" w:hAnsi="Times New Roman"/>
                <w:b/>
                <w:bCs/>
                <w:sz w:val="28"/>
                <w:szCs w:val="28"/>
              </w:rPr>
            </w:pPr>
            <w:r w:rsidRPr="00061268">
              <w:rPr>
                <w:rFonts w:ascii="Times New Roman" w:hAnsi="Times New Roman"/>
                <w:b/>
                <w:bCs/>
                <w:sz w:val="28"/>
                <w:szCs w:val="28"/>
              </w:rPr>
              <w:t>2023</w:t>
            </w:r>
          </w:p>
        </w:tc>
        <w:tc>
          <w:tcPr>
            <w:tcW w:w="0" w:type="auto"/>
            <w:shd w:val="clear" w:color="auto" w:fill="92D050"/>
            <w:vAlign w:val="center"/>
          </w:tcPr>
          <w:p w14:paraId="700FD89E" w14:textId="77777777" w:rsidR="00061852" w:rsidRPr="00061268" w:rsidRDefault="00061852" w:rsidP="00B7362E">
            <w:pPr>
              <w:spacing w:after="60"/>
              <w:jc w:val="center"/>
              <w:rPr>
                <w:rFonts w:ascii="Times New Roman" w:hAnsi="Times New Roman"/>
                <w:b/>
                <w:bCs/>
                <w:sz w:val="28"/>
                <w:szCs w:val="28"/>
              </w:rPr>
            </w:pPr>
            <w:r w:rsidRPr="00061268">
              <w:rPr>
                <w:rFonts w:ascii="Times New Roman" w:hAnsi="Times New Roman"/>
                <w:b/>
                <w:bCs/>
                <w:sz w:val="28"/>
                <w:szCs w:val="28"/>
              </w:rPr>
              <w:t>2025</w:t>
            </w:r>
          </w:p>
        </w:tc>
        <w:tc>
          <w:tcPr>
            <w:tcW w:w="0" w:type="auto"/>
            <w:shd w:val="clear" w:color="auto" w:fill="92D050"/>
            <w:vAlign w:val="center"/>
          </w:tcPr>
          <w:p w14:paraId="2AF61C9C" w14:textId="77777777" w:rsidR="00061852" w:rsidRPr="00061268" w:rsidRDefault="00061852" w:rsidP="00B7362E">
            <w:pPr>
              <w:spacing w:after="60"/>
              <w:jc w:val="center"/>
              <w:rPr>
                <w:rFonts w:ascii="Times New Roman" w:hAnsi="Times New Roman"/>
                <w:b/>
                <w:bCs/>
                <w:sz w:val="28"/>
                <w:szCs w:val="28"/>
              </w:rPr>
            </w:pPr>
            <w:r w:rsidRPr="00061268">
              <w:rPr>
                <w:rFonts w:ascii="Times New Roman" w:hAnsi="Times New Roman"/>
                <w:b/>
                <w:bCs/>
                <w:sz w:val="28"/>
                <w:szCs w:val="28"/>
              </w:rPr>
              <w:t>2027</w:t>
            </w:r>
          </w:p>
        </w:tc>
      </w:tr>
      <w:tr w:rsidR="00061852" w:rsidRPr="006A013F" w14:paraId="729DD540" w14:textId="77777777" w:rsidTr="00B7362E">
        <w:tc>
          <w:tcPr>
            <w:tcW w:w="0" w:type="auto"/>
            <w:vMerge w:val="restart"/>
          </w:tcPr>
          <w:p w14:paraId="29C201C8" w14:textId="77777777" w:rsidR="00061852" w:rsidRPr="00061268" w:rsidRDefault="00061852" w:rsidP="00B7362E">
            <w:pPr>
              <w:spacing w:after="60"/>
              <w:rPr>
                <w:rFonts w:ascii="Times New Roman" w:hAnsi="Times New Roman"/>
                <w:b/>
              </w:rPr>
            </w:pPr>
            <w:r w:rsidRPr="00061268">
              <w:rPr>
                <w:rFonts w:ascii="Times New Roman" w:hAnsi="Times New Roman"/>
                <w:b/>
              </w:rPr>
              <w:t xml:space="preserve">Operational level resources and actions </w:t>
            </w:r>
          </w:p>
          <w:p w14:paraId="12CB192B" w14:textId="77777777" w:rsidR="00061852" w:rsidRPr="00061268" w:rsidRDefault="00061852" w:rsidP="00B7362E">
            <w:pPr>
              <w:spacing w:after="60"/>
              <w:rPr>
                <w:rFonts w:ascii="Times New Roman" w:hAnsi="Times New Roman"/>
                <w:b/>
              </w:rPr>
            </w:pPr>
            <w:r w:rsidRPr="00061268">
              <w:rPr>
                <w:rFonts w:ascii="Times New Roman" w:hAnsi="Times New Roman"/>
              </w:rPr>
              <w:t>(Linked to the JU’s objectives and additional tasks in the SBA and the strategy map)</w:t>
            </w:r>
          </w:p>
        </w:tc>
        <w:tc>
          <w:tcPr>
            <w:tcW w:w="0" w:type="auto"/>
            <w:vMerge w:val="restart"/>
            <w:shd w:val="clear" w:color="auto" w:fill="auto"/>
          </w:tcPr>
          <w:p w14:paraId="1491535A" w14:textId="77777777" w:rsidR="00061852" w:rsidRPr="00061268" w:rsidRDefault="00061852" w:rsidP="00B7362E">
            <w:pPr>
              <w:spacing w:after="60"/>
              <w:rPr>
                <w:rFonts w:ascii="Times New Roman" w:hAnsi="Times New Roman"/>
              </w:rPr>
            </w:pPr>
            <w:r w:rsidRPr="00061268">
              <w:rPr>
                <w:rFonts w:ascii="Times New Roman" w:hAnsi="Times New Roman"/>
              </w:rPr>
              <w:t>Action-1 Supporting climate neutral and sustainable solutions</w:t>
            </w:r>
          </w:p>
          <w:p w14:paraId="2637572C" w14:textId="77777777" w:rsidR="00061852" w:rsidRPr="00061268" w:rsidRDefault="00061852" w:rsidP="00B7362E">
            <w:pPr>
              <w:spacing w:after="60"/>
              <w:rPr>
                <w:rFonts w:ascii="Times New Roman" w:hAnsi="Times New Roman"/>
                <w:i/>
              </w:rPr>
            </w:pPr>
          </w:p>
          <w:p w14:paraId="341804A8" w14:textId="77777777" w:rsidR="00061852" w:rsidRPr="00061268" w:rsidRDefault="00061852" w:rsidP="00B7362E">
            <w:pPr>
              <w:spacing w:after="60"/>
              <w:rPr>
                <w:rFonts w:ascii="Times New Roman" w:hAnsi="Times New Roman"/>
                <w:i/>
              </w:rPr>
            </w:pPr>
            <w:r w:rsidRPr="00061268">
              <w:rPr>
                <w:rFonts w:ascii="Times New Roman" w:hAnsi="Times New Roman"/>
                <w:i/>
              </w:rPr>
              <w:t>Link with SBA</w:t>
            </w:r>
            <w:r w:rsidRPr="00061268">
              <w:rPr>
                <w:rStyle w:val="FootnoteReference"/>
                <w:rFonts w:ascii="Times New Roman" w:eastAsia="Arial" w:hAnsi="Times New Roman"/>
                <w:i/>
              </w:rPr>
              <w:footnoteReference w:id="277"/>
            </w:r>
            <w:r w:rsidRPr="00061268">
              <w:rPr>
                <w:rFonts w:ascii="Times New Roman" w:hAnsi="Times New Roman"/>
                <w:i/>
              </w:rPr>
              <w:t>:</w:t>
            </w:r>
          </w:p>
          <w:p w14:paraId="18777A6C" w14:textId="77777777" w:rsidR="00061852" w:rsidRPr="00061268" w:rsidRDefault="00061852" w:rsidP="00B7362E">
            <w:pPr>
              <w:spacing w:after="60"/>
              <w:rPr>
                <w:rFonts w:ascii="Times New Roman" w:hAnsi="Times New Roman"/>
                <w:i/>
              </w:rPr>
            </w:pPr>
            <w:r w:rsidRPr="00061268">
              <w:rPr>
                <w:rFonts w:ascii="Times New Roman" w:hAnsi="Times New Roman"/>
                <w:i/>
              </w:rPr>
              <w:t xml:space="preserve">GO (a)/(b), SO (d) </w:t>
            </w:r>
          </w:p>
          <w:p w14:paraId="3AA04F76" w14:textId="77777777" w:rsidR="00061852" w:rsidRPr="00061268" w:rsidRDefault="00061852" w:rsidP="00B7362E">
            <w:pPr>
              <w:spacing w:after="60"/>
              <w:rPr>
                <w:rFonts w:ascii="Times New Roman" w:hAnsi="Times New Roman"/>
                <w:i/>
              </w:rPr>
            </w:pPr>
          </w:p>
          <w:p w14:paraId="33152D9F" w14:textId="77777777" w:rsidR="00061852" w:rsidRPr="00061268" w:rsidRDefault="00061852" w:rsidP="00B7362E">
            <w:pPr>
              <w:spacing w:after="60"/>
              <w:rPr>
                <w:rFonts w:ascii="Times New Roman" w:hAnsi="Times New Roman"/>
                <w:i/>
              </w:rPr>
            </w:pPr>
            <w:r w:rsidRPr="00061268">
              <w:rPr>
                <w:rFonts w:ascii="Times New Roman" w:hAnsi="Times New Roman"/>
                <w:i/>
              </w:rPr>
              <w:t>Link with Strategy Map:</w:t>
            </w:r>
          </w:p>
          <w:p w14:paraId="4E83F8BD" w14:textId="77777777" w:rsidR="00061852" w:rsidRPr="00061268" w:rsidRDefault="00061852" w:rsidP="00B7362E">
            <w:pPr>
              <w:spacing w:after="60"/>
              <w:rPr>
                <w:rFonts w:ascii="Times New Roman" w:hAnsi="Times New Roman"/>
                <w:i/>
              </w:rPr>
            </w:pPr>
            <w:r w:rsidRPr="00061268">
              <w:rPr>
                <w:rFonts w:ascii="Times New Roman" w:hAnsi="Times New Roman"/>
                <w:i/>
              </w:rPr>
              <w:t>Outcome-1, Impact-1</w:t>
            </w:r>
          </w:p>
          <w:p w14:paraId="37EA4B8B" w14:textId="77777777" w:rsidR="00061852" w:rsidRPr="00061268" w:rsidRDefault="00061852" w:rsidP="00B7362E">
            <w:pPr>
              <w:spacing w:after="60"/>
              <w:rPr>
                <w:rFonts w:ascii="Times New Roman" w:hAnsi="Times New Roman"/>
              </w:rPr>
            </w:pPr>
          </w:p>
        </w:tc>
        <w:tc>
          <w:tcPr>
            <w:tcW w:w="0" w:type="auto"/>
            <w:shd w:val="clear" w:color="auto" w:fill="auto"/>
          </w:tcPr>
          <w:p w14:paraId="3260E804" w14:textId="77777777" w:rsidR="00061852" w:rsidRPr="00061268" w:rsidRDefault="00061852" w:rsidP="00B7362E">
            <w:pPr>
              <w:spacing w:after="60"/>
              <w:rPr>
                <w:rFonts w:ascii="Times New Roman" w:hAnsi="Times New Roman"/>
              </w:rPr>
            </w:pPr>
            <w:r w:rsidRPr="00061268">
              <w:rPr>
                <w:rFonts w:ascii="Times New Roman" w:hAnsi="Times New Roman"/>
              </w:rPr>
              <w:lastRenderedPageBreak/>
              <w:t>KPI-1a Share of JU budget supporting hydrogen end-use solutions in hard to abate sectors</w:t>
            </w:r>
          </w:p>
          <w:p w14:paraId="4AB1B719" w14:textId="77777777" w:rsidR="00061852" w:rsidRPr="00061268" w:rsidRDefault="00061852" w:rsidP="00B7362E">
            <w:pPr>
              <w:spacing w:after="60"/>
              <w:rPr>
                <w:rFonts w:ascii="Times New Roman" w:hAnsi="Times New Roman"/>
              </w:rPr>
            </w:pPr>
          </w:p>
          <w:p w14:paraId="1ECA052A" w14:textId="77777777" w:rsidR="00061852" w:rsidRPr="00061268" w:rsidRDefault="00061852" w:rsidP="00B7362E">
            <w:pPr>
              <w:spacing w:after="60"/>
              <w:rPr>
                <w:rFonts w:ascii="Times New Roman" w:hAnsi="Times New Roman"/>
                <w:i/>
                <w:iCs/>
              </w:rPr>
            </w:pPr>
            <w:r w:rsidRPr="00061268">
              <w:rPr>
                <w:rFonts w:ascii="Times New Roman" w:hAnsi="Times New Roman"/>
                <w:i/>
                <w:iCs/>
              </w:rPr>
              <w:t>Concerns projects with direct application in the industrial and heavy duty transport sectors.</w:t>
            </w:r>
            <w:r w:rsidRPr="00061268">
              <w:rPr>
                <w:rStyle w:val="FootnoteReference"/>
                <w:rFonts w:ascii="Times New Roman" w:eastAsia="Arial" w:hAnsi="Times New Roman"/>
                <w:i/>
                <w:iCs/>
              </w:rPr>
              <w:footnoteReference w:id="278"/>
            </w:r>
          </w:p>
        </w:tc>
        <w:tc>
          <w:tcPr>
            <w:tcW w:w="0" w:type="auto"/>
            <w:shd w:val="clear" w:color="auto" w:fill="auto"/>
          </w:tcPr>
          <w:p w14:paraId="4734CFE2" w14:textId="77777777" w:rsidR="00061852" w:rsidRPr="00061268" w:rsidRDefault="00061852" w:rsidP="00B7362E">
            <w:pPr>
              <w:spacing w:after="60"/>
              <w:rPr>
                <w:rFonts w:ascii="Times New Roman" w:hAnsi="Times New Roman"/>
              </w:rPr>
            </w:pPr>
            <w:r w:rsidRPr="00061268">
              <w:rPr>
                <w:rFonts w:ascii="Times New Roman" w:hAnsi="Times New Roman"/>
              </w:rPr>
              <w:t>Data Source: Project data</w:t>
            </w:r>
          </w:p>
          <w:p w14:paraId="5017F0B6" w14:textId="77777777" w:rsidR="00061852" w:rsidRPr="00061268" w:rsidRDefault="00061852" w:rsidP="00B7362E">
            <w:pPr>
              <w:spacing w:after="60"/>
              <w:rPr>
                <w:rFonts w:ascii="Times New Roman" w:hAnsi="Times New Roman"/>
              </w:rPr>
            </w:pPr>
            <w:r w:rsidRPr="00061268">
              <w:rPr>
                <w:rFonts w:ascii="Times New Roman" w:hAnsi="Times New Roman"/>
              </w:rPr>
              <w:t>Methodology: Cumulative JU funding for relevant projects over total JU funding up to the reference year</w:t>
            </w:r>
            <w:r>
              <w:rPr>
                <w:rFonts w:ascii="Times New Roman" w:hAnsi="Times New Roman"/>
              </w:rPr>
              <w:t>.</w:t>
            </w:r>
          </w:p>
          <w:p w14:paraId="417A4744" w14:textId="77777777" w:rsidR="00061852" w:rsidRPr="00061268" w:rsidRDefault="00061852" w:rsidP="00B7362E">
            <w:pPr>
              <w:spacing w:after="60"/>
              <w:rPr>
                <w:rFonts w:ascii="Times New Roman" w:hAnsi="Times New Roman"/>
              </w:rPr>
            </w:pPr>
            <w:r w:rsidRPr="00061268">
              <w:rPr>
                <w:rFonts w:ascii="Times New Roman" w:hAnsi="Times New Roman"/>
              </w:rPr>
              <w:t>Measurement Unit: % of JU budget</w:t>
            </w:r>
          </w:p>
          <w:p w14:paraId="0B0CCAAE" w14:textId="77777777" w:rsidR="00061852" w:rsidRPr="00061268" w:rsidRDefault="00061852" w:rsidP="00B7362E">
            <w:pPr>
              <w:spacing w:after="60"/>
              <w:rPr>
                <w:rFonts w:ascii="Times New Roman" w:hAnsi="Times New Roman"/>
              </w:rPr>
            </w:pPr>
          </w:p>
        </w:tc>
        <w:tc>
          <w:tcPr>
            <w:tcW w:w="0" w:type="auto"/>
            <w:shd w:val="clear" w:color="auto" w:fill="auto"/>
          </w:tcPr>
          <w:p w14:paraId="04C839ED" w14:textId="77777777" w:rsidR="00061852" w:rsidRPr="006A013F" w:rsidRDefault="00061852" w:rsidP="00B7362E">
            <w:pPr>
              <w:spacing w:after="60"/>
              <w:jc w:val="center"/>
              <w:rPr>
                <w:rFonts w:ascii="Times New Roman" w:hAnsi="Times New Roman"/>
              </w:rPr>
            </w:pPr>
            <w:r w:rsidRPr="006A013F">
              <w:rPr>
                <w:rFonts w:ascii="Times New Roman" w:hAnsi="Times New Roman"/>
              </w:rPr>
              <w:t>2.5</w:t>
            </w:r>
          </w:p>
        </w:tc>
        <w:tc>
          <w:tcPr>
            <w:tcW w:w="0" w:type="auto"/>
            <w:shd w:val="clear" w:color="auto" w:fill="auto"/>
          </w:tcPr>
          <w:p w14:paraId="1062DBDE" w14:textId="77777777" w:rsidR="00061852" w:rsidRPr="006A013F" w:rsidRDefault="00061852" w:rsidP="00B7362E">
            <w:pPr>
              <w:spacing w:after="60"/>
              <w:jc w:val="center"/>
              <w:rPr>
                <w:rFonts w:ascii="Times New Roman" w:hAnsi="Times New Roman"/>
              </w:rPr>
            </w:pPr>
            <w:r w:rsidRPr="006A013F">
              <w:rPr>
                <w:rFonts w:ascii="Times New Roman" w:hAnsi="Times New Roman"/>
              </w:rPr>
              <w:t>15</w:t>
            </w:r>
          </w:p>
        </w:tc>
        <w:tc>
          <w:tcPr>
            <w:tcW w:w="0" w:type="auto"/>
            <w:shd w:val="clear" w:color="auto" w:fill="auto"/>
          </w:tcPr>
          <w:p w14:paraId="3B9991EA" w14:textId="77777777" w:rsidR="00061852" w:rsidRPr="006A013F" w:rsidRDefault="00061852" w:rsidP="00B7362E">
            <w:pPr>
              <w:spacing w:after="60"/>
              <w:jc w:val="center"/>
              <w:rPr>
                <w:rFonts w:ascii="Times New Roman" w:hAnsi="Times New Roman"/>
              </w:rPr>
            </w:pPr>
            <w:r w:rsidRPr="006A013F">
              <w:rPr>
                <w:rFonts w:ascii="Times New Roman" w:hAnsi="Times New Roman"/>
              </w:rPr>
              <w:t>30</w:t>
            </w:r>
          </w:p>
        </w:tc>
        <w:tc>
          <w:tcPr>
            <w:tcW w:w="0" w:type="auto"/>
            <w:shd w:val="clear" w:color="auto" w:fill="auto"/>
          </w:tcPr>
          <w:p w14:paraId="0D7F95AD" w14:textId="77777777" w:rsidR="00061852" w:rsidRPr="006A013F" w:rsidRDefault="00061852" w:rsidP="00B7362E">
            <w:pPr>
              <w:spacing w:after="60"/>
              <w:jc w:val="center"/>
              <w:rPr>
                <w:rFonts w:ascii="Times New Roman" w:hAnsi="Times New Roman"/>
              </w:rPr>
            </w:pPr>
            <w:r w:rsidRPr="006A013F">
              <w:rPr>
                <w:rFonts w:ascii="Times New Roman" w:hAnsi="Times New Roman"/>
              </w:rPr>
              <w:t>40</w:t>
            </w:r>
          </w:p>
        </w:tc>
      </w:tr>
      <w:tr w:rsidR="00061852" w:rsidRPr="006A013F" w14:paraId="1B08078E" w14:textId="77777777" w:rsidTr="00B7362E">
        <w:trPr>
          <w:trHeight w:val="2780"/>
        </w:trPr>
        <w:tc>
          <w:tcPr>
            <w:tcW w:w="0" w:type="auto"/>
            <w:vMerge/>
          </w:tcPr>
          <w:p w14:paraId="2C0AFC6D" w14:textId="77777777" w:rsidR="00061852" w:rsidRPr="00061268" w:rsidRDefault="00061852" w:rsidP="00B7362E">
            <w:pPr>
              <w:spacing w:after="60"/>
              <w:rPr>
                <w:rFonts w:ascii="Times New Roman" w:hAnsi="Times New Roman"/>
              </w:rPr>
            </w:pPr>
          </w:p>
        </w:tc>
        <w:tc>
          <w:tcPr>
            <w:tcW w:w="0" w:type="auto"/>
            <w:vMerge/>
          </w:tcPr>
          <w:p w14:paraId="3C82A4F5" w14:textId="77777777" w:rsidR="00061852" w:rsidRPr="00061268" w:rsidRDefault="00061852" w:rsidP="00B7362E">
            <w:pPr>
              <w:spacing w:after="60"/>
              <w:rPr>
                <w:rFonts w:ascii="Times New Roman" w:hAnsi="Times New Roman"/>
                <w:highlight w:val="yellow"/>
              </w:rPr>
            </w:pPr>
          </w:p>
        </w:tc>
        <w:tc>
          <w:tcPr>
            <w:tcW w:w="0" w:type="auto"/>
            <w:shd w:val="clear" w:color="auto" w:fill="auto"/>
          </w:tcPr>
          <w:p w14:paraId="7AFF3027" w14:textId="77777777" w:rsidR="00061852" w:rsidRPr="00061268" w:rsidRDefault="00061852" w:rsidP="00B7362E">
            <w:pPr>
              <w:spacing w:after="60"/>
              <w:rPr>
                <w:rFonts w:ascii="Times New Roman" w:hAnsi="Times New Roman"/>
              </w:rPr>
            </w:pPr>
            <w:r w:rsidRPr="00061268">
              <w:rPr>
                <w:rFonts w:ascii="Times New Roman" w:hAnsi="Times New Roman"/>
              </w:rPr>
              <w:t>KPI-1b Share of JU budget supporting circular and sustainable solutions</w:t>
            </w:r>
          </w:p>
          <w:p w14:paraId="2AE7509D" w14:textId="77777777" w:rsidR="00061852" w:rsidRPr="00061268" w:rsidRDefault="00061852" w:rsidP="00B7362E">
            <w:pPr>
              <w:spacing w:after="60"/>
              <w:rPr>
                <w:rFonts w:ascii="Times New Roman" w:hAnsi="Times New Roman"/>
              </w:rPr>
            </w:pPr>
          </w:p>
          <w:p w14:paraId="070C6809" w14:textId="77777777" w:rsidR="00061852" w:rsidRPr="00061268" w:rsidRDefault="00061852" w:rsidP="00B7362E">
            <w:pPr>
              <w:spacing w:after="60"/>
              <w:rPr>
                <w:rFonts w:ascii="Times New Roman" w:hAnsi="Times New Roman"/>
              </w:rPr>
            </w:pPr>
            <w:r w:rsidRPr="00061268">
              <w:rPr>
                <w:rFonts w:ascii="Times New Roman" w:hAnsi="Times New Roman"/>
                <w:i/>
                <w:iCs/>
              </w:rPr>
              <w:t>Concerns projects which include KPIs or objectives related to sustainability, recycling, circularity.</w:t>
            </w:r>
          </w:p>
        </w:tc>
        <w:tc>
          <w:tcPr>
            <w:tcW w:w="0" w:type="auto"/>
            <w:shd w:val="clear" w:color="auto" w:fill="auto"/>
          </w:tcPr>
          <w:p w14:paraId="01FFE250" w14:textId="77777777" w:rsidR="00061852" w:rsidRPr="00061268" w:rsidRDefault="00061852" w:rsidP="00B7362E">
            <w:pPr>
              <w:spacing w:after="60"/>
              <w:rPr>
                <w:rFonts w:ascii="Times New Roman" w:hAnsi="Times New Roman"/>
              </w:rPr>
            </w:pPr>
            <w:r w:rsidRPr="00061268">
              <w:rPr>
                <w:rFonts w:ascii="Times New Roman" w:hAnsi="Times New Roman"/>
              </w:rPr>
              <w:t>Data Source: Project data</w:t>
            </w:r>
          </w:p>
          <w:p w14:paraId="5099BDA6" w14:textId="77777777" w:rsidR="00061852" w:rsidRPr="00061268" w:rsidRDefault="00061852" w:rsidP="00B7362E">
            <w:pPr>
              <w:spacing w:after="60"/>
              <w:rPr>
                <w:rFonts w:ascii="Times New Roman" w:hAnsi="Times New Roman"/>
              </w:rPr>
            </w:pPr>
            <w:r w:rsidRPr="00061268">
              <w:rPr>
                <w:rFonts w:ascii="Times New Roman" w:hAnsi="Times New Roman"/>
              </w:rPr>
              <w:t>Methodology: Cumulative JU funding for relevant projects over total JU funding up to the reference year</w:t>
            </w:r>
            <w:r>
              <w:rPr>
                <w:rFonts w:ascii="Times New Roman" w:hAnsi="Times New Roman"/>
              </w:rPr>
              <w:t>.</w:t>
            </w:r>
          </w:p>
          <w:p w14:paraId="350D780D" w14:textId="77777777" w:rsidR="00061852" w:rsidRPr="00061268" w:rsidRDefault="00061852" w:rsidP="00B7362E">
            <w:pPr>
              <w:spacing w:after="60"/>
              <w:rPr>
                <w:rFonts w:ascii="Times New Roman" w:hAnsi="Times New Roman"/>
              </w:rPr>
            </w:pPr>
            <w:r w:rsidRPr="00061268">
              <w:rPr>
                <w:rFonts w:ascii="Times New Roman" w:hAnsi="Times New Roman"/>
              </w:rPr>
              <w:t>Measurement Unit: % of JU budget</w:t>
            </w:r>
          </w:p>
          <w:p w14:paraId="60C36708" w14:textId="77777777" w:rsidR="00061852" w:rsidRPr="00061268" w:rsidRDefault="00061852" w:rsidP="00B7362E">
            <w:pPr>
              <w:spacing w:after="60"/>
              <w:rPr>
                <w:rFonts w:ascii="Times New Roman" w:hAnsi="Times New Roman"/>
              </w:rPr>
            </w:pPr>
          </w:p>
          <w:p w14:paraId="435495B7" w14:textId="77777777" w:rsidR="00061852" w:rsidRPr="00061268" w:rsidRDefault="00061852" w:rsidP="00B7362E">
            <w:pPr>
              <w:spacing w:after="60"/>
              <w:rPr>
                <w:rFonts w:ascii="Times New Roman" w:hAnsi="Times New Roman"/>
              </w:rPr>
            </w:pPr>
          </w:p>
          <w:p w14:paraId="1F007855" w14:textId="77777777" w:rsidR="00061852" w:rsidRPr="00061268" w:rsidRDefault="00061852" w:rsidP="00B7362E">
            <w:pPr>
              <w:spacing w:after="60"/>
              <w:rPr>
                <w:rFonts w:ascii="Times New Roman" w:hAnsi="Times New Roman"/>
              </w:rPr>
            </w:pPr>
          </w:p>
        </w:tc>
        <w:tc>
          <w:tcPr>
            <w:tcW w:w="0" w:type="auto"/>
            <w:shd w:val="clear" w:color="auto" w:fill="auto"/>
          </w:tcPr>
          <w:p w14:paraId="7015091A" w14:textId="77777777" w:rsidR="00061852" w:rsidRPr="006A013F" w:rsidRDefault="00061852" w:rsidP="00B7362E">
            <w:pPr>
              <w:spacing w:after="60"/>
              <w:jc w:val="center"/>
              <w:rPr>
                <w:rFonts w:ascii="Times New Roman" w:hAnsi="Times New Roman"/>
              </w:rPr>
            </w:pPr>
            <w:r w:rsidRPr="006A013F">
              <w:rPr>
                <w:rFonts w:ascii="Times New Roman" w:hAnsi="Times New Roman"/>
              </w:rPr>
              <w:t>&lt;1</w:t>
            </w:r>
          </w:p>
        </w:tc>
        <w:tc>
          <w:tcPr>
            <w:tcW w:w="0" w:type="auto"/>
            <w:shd w:val="clear" w:color="auto" w:fill="auto"/>
          </w:tcPr>
          <w:p w14:paraId="720B1B6F" w14:textId="77777777" w:rsidR="00061852" w:rsidRPr="006A013F" w:rsidRDefault="00061852" w:rsidP="00B7362E">
            <w:pPr>
              <w:spacing w:after="60"/>
              <w:jc w:val="center"/>
              <w:rPr>
                <w:rFonts w:ascii="Times New Roman" w:hAnsi="Times New Roman"/>
              </w:rPr>
            </w:pPr>
            <w:r w:rsidRPr="006A013F">
              <w:rPr>
                <w:rFonts w:ascii="Times New Roman" w:hAnsi="Times New Roman"/>
              </w:rPr>
              <w:t>5</w:t>
            </w:r>
          </w:p>
        </w:tc>
        <w:tc>
          <w:tcPr>
            <w:tcW w:w="0" w:type="auto"/>
            <w:shd w:val="clear" w:color="auto" w:fill="auto"/>
          </w:tcPr>
          <w:p w14:paraId="2F286E3B" w14:textId="77777777" w:rsidR="00061852" w:rsidRPr="006A013F" w:rsidRDefault="00061852" w:rsidP="00B7362E">
            <w:pPr>
              <w:spacing w:after="60"/>
              <w:jc w:val="center"/>
              <w:rPr>
                <w:rFonts w:ascii="Times New Roman" w:hAnsi="Times New Roman"/>
              </w:rPr>
            </w:pPr>
            <w:r w:rsidRPr="006A013F">
              <w:rPr>
                <w:rFonts w:ascii="Times New Roman" w:hAnsi="Times New Roman"/>
              </w:rPr>
              <w:t>10</w:t>
            </w:r>
          </w:p>
        </w:tc>
        <w:tc>
          <w:tcPr>
            <w:tcW w:w="0" w:type="auto"/>
            <w:shd w:val="clear" w:color="auto" w:fill="auto"/>
          </w:tcPr>
          <w:p w14:paraId="3D199F7B" w14:textId="77777777" w:rsidR="00061852" w:rsidRPr="006A013F" w:rsidRDefault="00061852" w:rsidP="00B7362E">
            <w:pPr>
              <w:spacing w:after="60"/>
              <w:jc w:val="center"/>
              <w:rPr>
                <w:rFonts w:ascii="Times New Roman" w:hAnsi="Times New Roman"/>
              </w:rPr>
            </w:pPr>
            <w:r w:rsidRPr="006A013F">
              <w:rPr>
                <w:rFonts w:ascii="Times New Roman" w:hAnsi="Times New Roman"/>
              </w:rPr>
              <w:t>15</w:t>
            </w:r>
          </w:p>
        </w:tc>
      </w:tr>
      <w:tr w:rsidR="00061852" w:rsidRPr="006A013F" w14:paraId="1905AE72" w14:textId="77777777" w:rsidTr="00B7362E">
        <w:trPr>
          <w:trHeight w:val="2780"/>
        </w:trPr>
        <w:tc>
          <w:tcPr>
            <w:tcW w:w="0" w:type="auto"/>
            <w:vMerge/>
          </w:tcPr>
          <w:p w14:paraId="1E168C35" w14:textId="77777777" w:rsidR="00061852" w:rsidRPr="00061268" w:rsidRDefault="00061852" w:rsidP="00B7362E">
            <w:pPr>
              <w:spacing w:after="60"/>
              <w:rPr>
                <w:rFonts w:ascii="Times New Roman" w:hAnsi="Times New Roman"/>
              </w:rPr>
            </w:pPr>
          </w:p>
        </w:tc>
        <w:tc>
          <w:tcPr>
            <w:tcW w:w="0" w:type="auto"/>
            <w:vMerge w:val="restart"/>
          </w:tcPr>
          <w:p w14:paraId="620D9AE1" w14:textId="77777777" w:rsidR="00061852" w:rsidRPr="00061268" w:rsidRDefault="00061852" w:rsidP="00B7362E">
            <w:pPr>
              <w:spacing w:after="60"/>
              <w:rPr>
                <w:rFonts w:ascii="Times New Roman" w:hAnsi="Times New Roman"/>
              </w:rPr>
            </w:pPr>
            <w:r w:rsidRPr="00061268">
              <w:rPr>
                <w:rFonts w:ascii="Times New Roman" w:hAnsi="Times New Roman"/>
              </w:rPr>
              <w:t>Action-2 Research and Innovation for hydrogen technologies</w:t>
            </w:r>
          </w:p>
          <w:p w14:paraId="3EFB8A79" w14:textId="77777777" w:rsidR="00061852" w:rsidRPr="00061268" w:rsidRDefault="00061852" w:rsidP="00B7362E">
            <w:pPr>
              <w:spacing w:after="60"/>
              <w:rPr>
                <w:rFonts w:ascii="Times New Roman" w:hAnsi="Times New Roman"/>
                <w:highlight w:val="yellow"/>
              </w:rPr>
            </w:pPr>
          </w:p>
          <w:p w14:paraId="52FC0A8A" w14:textId="77777777" w:rsidR="00061852" w:rsidRPr="00061268" w:rsidRDefault="00061852" w:rsidP="00B7362E">
            <w:pPr>
              <w:spacing w:after="60"/>
              <w:rPr>
                <w:rFonts w:ascii="Times New Roman" w:hAnsi="Times New Roman"/>
                <w:i/>
              </w:rPr>
            </w:pPr>
            <w:r w:rsidRPr="00061268">
              <w:rPr>
                <w:rFonts w:ascii="Times New Roman" w:hAnsi="Times New Roman"/>
                <w:i/>
              </w:rPr>
              <w:t>Link with SBA:</w:t>
            </w:r>
          </w:p>
          <w:p w14:paraId="2A2D2E05" w14:textId="77777777" w:rsidR="00061852" w:rsidRPr="00061268" w:rsidRDefault="00061852" w:rsidP="00B7362E">
            <w:pPr>
              <w:spacing w:after="60"/>
              <w:rPr>
                <w:rFonts w:ascii="Times New Roman" w:hAnsi="Times New Roman"/>
                <w:i/>
              </w:rPr>
            </w:pPr>
            <w:r w:rsidRPr="00061268">
              <w:rPr>
                <w:rFonts w:ascii="Times New Roman" w:hAnsi="Times New Roman"/>
                <w:i/>
              </w:rPr>
              <w:t xml:space="preserve">GO (a)/(b)/(d), SO (a)/(b)/(c) </w:t>
            </w:r>
          </w:p>
          <w:p w14:paraId="224B4026" w14:textId="77777777" w:rsidR="00061852" w:rsidRPr="00061268" w:rsidRDefault="00061852" w:rsidP="00B7362E">
            <w:pPr>
              <w:spacing w:after="60"/>
              <w:rPr>
                <w:rFonts w:ascii="Times New Roman" w:hAnsi="Times New Roman"/>
                <w:i/>
              </w:rPr>
            </w:pPr>
          </w:p>
          <w:p w14:paraId="3BE8AC79" w14:textId="77777777" w:rsidR="00061852" w:rsidRPr="00061268" w:rsidRDefault="00061852" w:rsidP="00B7362E">
            <w:pPr>
              <w:spacing w:after="60"/>
              <w:rPr>
                <w:rFonts w:ascii="Times New Roman" w:hAnsi="Times New Roman"/>
                <w:i/>
              </w:rPr>
            </w:pPr>
            <w:r w:rsidRPr="00061268">
              <w:rPr>
                <w:rFonts w:ascii="Times New Roman" w:hAnsi="Times New Roman"/>
                <w:i/>
              </w:rPr>
              <w:t>Link with Strategy Map:</w:t>
            </w:r>
          </w:p>
          <w:p w14:paraId="682D8069" w14:textId="77777777" w:rsidR="00061852" w:rsidRPr="00061268" w:rsidRDefault="00061852" w:rsidP="00B7362E">
            <w:pPr>
              <w:spacing w:after="60"/>
              <w:rPr>
                <w:rFonts w:ascii="Times New Roman" w:hAnsi="Times New Roman"/>
                <w:i/>
              </w:rPr>
            </w:pPr>
            <w:r w:rsidRPr="00061268">
              <w:rPr>
                <w:rFonts w:ascii="Times New Roman" w:hAnsi="Times New Roman"/>
                <w:i/>
              </w:rPr>
              <w:t>Outcome-2/3/5, Impact-2/3</w:t>
            </w:r>
          </w:p>
          <w:p w14:paraId="34A42FE9" w14:textId="77777777" w:rsidR="00061852" w:rsidRPr="00061268" w:rsidRDefault="00061852" w:rsidP="00B7362E">
            <w:pPr>
              <w:spacing w:after="60"/>
              <w:rPr>
                <w:rFonts w:ascii="Times New Roman" w:hAnsi="Times New Roman"/>
                <w:highlight w:val="yellow"/>
              </w:rPr>
            </w:pPr>
          </w:p>
        </w:tc>
        <w:tc>
          <w:tcPr>
            <w:tcW w:w="0" w:type="auto"/>
            <w:shd w:val="clear" w:color="auto" w:fill="auto"/>
          </w:tcPr>
          <w:p w14:paraId="19CEC97A" w14:textId="77777777" w:rsidR="00061852" w:rsidRPr="00061268" w:rsidRDefault="00061852" w:rsidP="00B7362E">
            <w:pPr>
              <w:spacing w:after="60"/>
              <w:rPr>
                <w:rFonts w:ascii="Times New Roman" w:hAnsi="Times New Roman"/>
              </w:rPr>
            </w:pPr>
            <w:r w:rsidRPr="00061268">
              <w:rPr>
                <w:rFonts w:ascii="Times New Roman" w:hAnsi="Times New Roman"/>
              </w:rPr>
              <w:t xml:space="preserve">KPI-2 Early research projects </w:t>
            </w:r>
          </w:p>
          <w:p w14:paraId="2D13F9E7" w14:textId="77777777" w:rsidR="00061852" w:rsidRPr="00061268" w:rsidRDefault="00061852" w:rsidP="00B7362E">
            <w:pPr>
              <w:spacing w:after="60"/>
              <w:rPr>
                <w:rFonts w:ascii="Times New Roman" w:hAnsi="Times New Roman"/>
              </w:rPr>
            </w:pPr>
          </w:p>
          <w:p w14:paraId="7266EFAD" w14:textId="77777777" w:rsidR="00061852" w:rsidRPr="00061268" w:rsidRDefault="00061852" w:rsidP="00B7362E">
            <w:pPr>
              <w:spacing w:after="60"/>
              <w:rPr>
                <w:rFonts w:ascii="Times New Roman" w:hAnsi="Times New Roman"/>
                <w:i/>
                <w:iCs/>
              </w:rPr>
            </w:pPr>
            <w:r w:rsidRPr="00061268">
              <w:rPr>
                <w:rFonts w:ascii="Times New Roman" w:hAnsi="Times New Roman"/>
                <w:i/>
                <w:iCs/>
              </w:rPr>
              <w:t xml:space="preserve">Share of JU budget supporting projects starting at TRL up to level 3. </w:t>
            </w:r>
          </w:p>
          <w:p w14:paraId="7205BB1A" w14:textId="77777777" w:rsidR="00061852" w:rsidRPr="00061268" w:rsidRDefault="00061852" w:rsidP="00B7362E">
            <w:pPr>
              <w:spacing w:after="60"/>
              <w:rPr>
                <w:rFonts w:ascii="Times New Roman" w:hAnsi="Times New Roman"/>
                <w:i/>
                <w:iCs/>
              </w:rPr>
            </w:pPr>
          </w:p>
        </w:tc>
        <w:tc>
          <w:tcPr>
            <w:tcW w:w="0" w:type="auto"/>
            <w:shd w:val="clear" w:color="auto" w:fill="auto"/>
          </w:tcPr>
          <w:p w14:paraId="60E7CD01" w14:textId="77777777" w:rsidR="00061852" w:rsidRPr="00061268" w:rsidRDefault="00061852" w:rsidP="00B7362E">
            <w:pPr>
              <w:spacing w:after="60"/>
              <w:rPr>
                <w:rFonts w:ascii="Times New Roman" w:hAnsi="Times New Roman"/>
              </w:rPr>
            </w:pPr>
            <w:r w:rsidRPr="00061268">
              <w:rPr>
                <w:rFonts w:ascii="Times New Roman" w:hAnsi="Times New Roman"/>
              </w:rPr>
              <w:t>Data Source: Project data</w:t>
            </w:r>
          </w:p>
          <w:p w14:paraId="37B0833E" w14:textId="77777777" w:rsidR="00061852" w:rsidRPr="00061268" w:rsidRDefault="00061852" w:rsidP="00B7362E">
            <w:pPr>
              <w:spacing w:after="60"/>
              <w:rPr>
                <w:rFonts w:ascii="Times New Roman" w:hAnsi="Times New Roman"/>
              </w:rPr>
            </w:pPr>
            <w:r w:rsidRPr="00061268">
              <w:rPr>
                <w:rFonts w:ascii="Times New Roman" w:hAnsi="Times New Roman"/>
              </w:rPr>
              <w:t>Methodology: Cumulative JU funding for relevant projects over total JU funding up to the reference year</w:t>
            </w:r>
            <w:r>
              <w:rPr>
                <w:rFonts w:ascii="Times New Roman" w:hAnsi="Times New Roman"/>
              </w:rPr>
              <w:t>.</w:t>
            </w:r>
          </w:p>
          <w:p w14:paraId="09A7C03D" w14:textId="77777777" w:rsidR="00061852" w:rsidRPr="00061268" w:rsidRDefault="00061852" w:rsidP="00B7362E">
            <w:pPr>
              <w:spacing w:after="60"/>
              <w:rPr>
                <w:rFonts w:ascii="Times New Roman" w:hAnsi="Times New Roman"/>
              </w:rPr>
            </w:pPr>
            <w:r w:rsidRPr="00061268">
              <w:rPr>
                <w:rFonts w:ascii="Times New Roman" w:hAnsi="Times New Roman"/>
              </w:rPr>
              <w:t>Measurement Unit: % of JU budget</w:t>
            </w:r>
          </w:p>
          <w:p w14:paraId="0386880E" w14:textId="77777777" w:rsidR="00061852" w:rsidRPr="00061268" w:rsidRDefault="00061852" w:rsidP="00B7362E">
            <w:pPr>
              <w:spacing w:after="60"/>
              <w:rPr>
                <w:rFonts w:ascii="Times New Roman" w:hAnsi="Times New Roman"/>
              </w:rPr>
            </w:pPr>
          </w:p>
        </w:tc>
        <w:tc>
          <w:tcPr>
            <w:tcW w:w="0" w:type="auto"/>
            <w:shd w:val="clear" w:color="auto" w:fill="auto"/>
          </w:tcPr>
          <w:p w14:paraId="5B1E34C9" w14:textId="77777777" w:rsidR="00061852" w:rsidRPr="006A013F" w:rsidRDefault="00061852" w:rsidP="00B7362E">
            <w:pPr>
              <w:spacing w:after="60"/>
              <w:jc w:val="center"/>
              <w:rPr>
                <w:rFonts w:ascii="Times New Roman" w:hAnsi="Times New Roman"/>
              </w:rPr>
            </w:pPr>
            <w:r w:rsidRPr="006A013F">
              <w:rPr>
                <w:rFonts w:ascii="Times New Roman" w:hAnsi="Times New Roman"/>
              </w:rPr>
              <w:t>10</w:t>
            </w:r>
          </w:p>
        </w:tc>
        <w:tc>
          <w:tcPr>
            <w:tcW w:w="0" w:type="auto"/>
            <w:shd w:val="clear" w:color="auto" w:fill="auto"/>
          </w:tcPr>
          <w:p w14:paraId="30DBE999" w14:textId="77777777" w:rsidR="00061852" w:rsidRPr="006A013F" w:rsidRDefault="00061852" w:rsidP="00B7362E">
            <w:pPr>
              <w:spacing w:after="60"/>
              <w:jc w:val="center"/>
              <w:rPr>
                <w:rFonts w:ascii="Times New Roman" w:hAnsi="Times New Roman"/>
              </w:rPr>
            </w:pPr>
            <w:r w:rsidRPr="006A013F">
              <w:rPr>
                <w:rFonts w:ascii="Times New Roman" w:hAnsi="Times New Roman"/>
              </w:rPr>
              <w:t>10</w:t>
            </w:r>
          </w:p>
        </w:tc>
        <w:tc>
          <w:tcPr>
            <w:tcW w:w="0" w:type="auto"/>
            <w:shd w:val="clear" w:color="auto" w:fill="auto"/>
          </w:tcPr>
          <w:p w14:paraId="7F9D5F9B" w14:textId="77777777" w:rsidR="00061852" w:rsidRPr="006A013F" w:rsidRDefault="00061852" w:rsidP="00B7362E">
            <w:pPr>
              <w:spacing w:after="60"/>
              <w:jc w:val="center"/>
              <w:rPr>
                <w:rFonts w:ascii="Times New Roman" w:hAnsi="Times New Roman"/>
              </w:rPr>
            </w:pPr>
            <w:r w:rsidRPr="006A013F">
              <w:rPr>
                <w:rFonts w:ascii="Times New Roman" w:hAnsi="Times New Roman"/>
              </w:rPr>
              <w:t>10</w:t>
            </w:r>
          </w:p>
        </w:tc>
        <w:tc>
          <w:tcPr>
            <w:tcW w:w="0" w:type="auto"/>
            <w:shd w:val="clear" w:color="auto" w:fill="auto"/>
          </w:tcPr>
          <w:p w14:paraId="5369B305" w14:textId="77777777" w:rsidR="00061852" w:rsidRPr="006A013F" w:rsidRDefault="00061852" w:rsidP="00B7362E">
            <w:pPr>
              <w:spacing w:after="60"/>
              <w:jc w:val="center"/>
              <w:rPr>
                <w:rFonts w:ascii="Times New Roman" w:hAnsi="Times New Roman"/>
              </w:rPr>
            </w:pPr>
            <w:r w:rsidRPr="006A013F">
              <w:rPr>
                <w:rFonts w:ascii="Times New Roman" w:hAnsi="Times New Roman"/>
              </w:rPr>
              <w:t>10</w:t>
            </w:r>
          </w:p>
        </w:tc>
      </w:tr>
      <w:tr w:rsidR="00061852" w:rsidRPr="006A013F" w14:paraId="731C424A" w14:textId="77777777" w:rsidTr="00B7362E">
        <w:trPr>
          <w:trHeight w:val="2780"/>
        </w:trPr>
        <w:tc>
          <w:tcPr>
            <w:tcW w:w="0" w:type="auto"/>
            <w:vMerge/>
          </w:tcPr>
          <w:p w14:paraId="0A0206E9" w14:textId="77777777" w:rsidR="00061852" w:rsidRPr="00061268" w:rsidRDefault="00061852" w:rsidP="00B7362E">
            <w:pPr>
              <w:spacing w:after="60"/>
              <w:rPr>
                <w:rFonts w:ascii="Times New Roman" w:hAnsi="Times New Roman"/>
              </w:rPr>
            </w:pPr>
          </w:p>
        </w:tc>
        <w:tc>
          <w:tcPr>
            <w:tcW w:w="0" w:type="auto"/>
            <w:vMerge/>
          </w:tcPr>
          <w:p w14:paraId="0ACFD4AA" w14:textId="77777777" w:rsidR="00061852" w:rsidRPr="00061268" w:rsidRDefault="00061852" w:rsidP="00B7362E">
            <w:pPr>
              <w:spacing w:after="60"/>
              <w:rPr>
                <w:rFonts w:ascii="Times New Roman" w:hAnsi="Times New Roman"/>
                <w:highlight w:val="yellow"/>
              </w:rPr>
            </w:pPr>
          </w:p>
        </w:tc>
        <w:tc>
          <w:tcPr>
            <w:tcW w:w="0" w:type="auto"/>
            <w:shd w:val="clear" w:color="auto" w:fill="auto"/>
          </w:tcPr>
          <w:p w14:paraId="621E4430" w14:textId="77777777" w:rsidR="00061852" w:rsidRPr="00061268" w:rsidRDefault="00061852" w:rsidP="00B7362E">
            <w:pPr>
              <w:spacing w:after="60"/>
              <w:rPr>
                <w:rFonts w:ascii="Times New Roman" w:hAnsi="Times New Roman"/>
              </w:rPr>
            </w:pPr>
            <w:r w:rsidRPr="00061268">
              <w:rPr>
                <w:rFonts w:ascii="Times New Roman" w:hAnsi="Times New Roman"/>
              </w:rPr>
              <w:t xml:space="preserve">KPI-3 Demonstration projects </w:t>
            </w:r>
          </w:p>
          <w:p w14:paraId="3E2ADBC0" w14:textId="77777777" w:rsidR="00061852" w:rsidRPr="00061268" w:rsidRDefault="00061852" w:rsidP="00B7362E">
            <w:pPr>
              <w:spacing w:after="60"/>
              <w:rPr>
                <w:rFonts w:ascii="Times New Roman" w:hAnsi="Times New Roman"/>
              </w:rPr>
            </w:pPr>
          </w:p>
          <w:p w14:paraId="0D3D2753" w14:textId="77777777" w:rsidR="00061852" w:rsidRPr="00061268" w:rsidRDefault="00061852" w:rsidP="00B7362E">
            <w:pPr>
              <w:spacing w:after="60"/>
              <w:rPr>
                <w:rFonts w:ascii="Times New Roman" w:hAnsi="Times New Roman"/>
                <w:i/>
                <w:iCs/>
              </w:rPr>
            </w:pPr>
            <w:r w:rsidRPr="00061268">
              <w:rPr>
                <w:rFonts w:ascii="Times New Roman" w:hAnsi="Times New Roman"/>
                <w:i/>
                <w:iCs/>
              </w:rPr>
              <w:t>Number of JU projects with a goal to end at least at TRL 7</w:t>
            </w:r>
          </w:p>
        </w:tc>
        <w:tc>
          <w:tcPr>
            <w:tcW w:w="0" w:type="auto"/>
            <w:shd w:val="clear" w:color="auto" w:fill="auto"/>
          </w:tcPr>
          <w:p w14:paraId="7E1A5512" w14:textId="77777777" w:rsidR="00061852" w:rsidRPr="00061268" w:rsidRDefault="00061852" w:rsidP="00B7362E">
            <w:pPr>
              <w:spacing w:after="60"/>
              <w:rPr>
                <w:rFonts w:ascii="Times New Roman" w:hAnsi="Times New Roman"/>
              </w:rPr>
            </w:pPr>
            <w:r w:rsidRPr="00061268">
              <w:rPr>
                <w:rFonts w:ascii="Times New Roman" w:hAnsi="Times New Roman"/>
              </w:rPr>
              <w:t>Data Source: Project data</w:t>
            </w:r>
          </w:p>
          <w:p w14:paraId="533E7D0A" w14:textId="77777777" w:rsidR="00061852" w:rsidRPr="00061268" w:rsidRDefault="00061852" w:rsidP="00B7362E">
            <w:pPr>
              <w:spacing w:after="60"/>
              <w:rPr>
                <w:rFonts w:ascii="Times New Roman" w:hAnsi="Times New Roman"/>
              </w:rPr>
            </w:pPr>
            <w:r w:rsidRPr="00061268">
              <w:rPr>
                <w:rFonts w:ascii="Times New Roman" w:hAnsi="Times New Roman"/>
              </w:rPr>
              <w:t>Methodology: Cumulative number of relevant JU projects</w:t>
            </w:r>
            <w:r>
              <w:rPr>
                <w:rFonts w:ascii="Times New Roman" w:hAnsi="Times New Roman"/>
              </w:rPr>
              <w:t>.</w:t>
            </w:r>
            <w:r w:rsidRPr="00061268">
              <w:rPr>
                <w:rFonts w:ascii="Times New Roman" w:hAnsi="Times New Roman"/>
              </w:rPr>
              <w:t xml:space="preserve"> </w:t>
            </w:r>
          </w:p>
          <w:p w14:paraId="1F4FB8E2" w14:textId="77777777" w:rsidR="00061852" w:rsidRPr="00061268" w:rsidRDefault="00061852" w:rsidP="00B7362E">
            <w:pPr>
              <w:spacing w:after="60"/>
              <w:rPr>
                <w:rFonts w:ascii="Times New Roman" w:hAnsi="Times New Roman"/>
              </w:rPr>
            </w:pPr>
            <w:r w:rsidRPr="00061268">
              <w:rPr>
                <w:rFonts w:ascii="Times New Roman" w:hAnsi="Times New Roman"/>
              </w:rPr>
              <w:t>Measurement Unit: Number of Projects</w:t>
            </w:r>
          </w:p>
          <w:p w14:paraId="50747E2F" w14:textId="77777777" w:rsidR="00061852" w:rsidRPr="00061268" w:rsidRDefault="00061852" w:rsidP="00B7362E">
            <w:pPr>
              <w:spacing w:after="60"/>
              <w:rPr>
                <w:rFonts w:ascii="Times New Roman" w:hAnsi="Times New Roman"/>
              </w:rPr>
            </w:pPr>
          </w:p>
        </w:tc>
        <w:tc>
          <w:tcPr>
            <w:tcW w:w="0" w:type="auto"/>
            <w:shd w:val="clear" w:color="auto" w:fill="auto"/>
          </w:tcPr>
          <w:p w14:paraId="2019A0E0" w14:textId="77777777" w:rsidR="00061852" w:rsidRPr="006A013F" w:rsidRDefault="00061852" w:rsidP="00B7362E">
            <w:pPr>
              <w:spacing w:after="60"/>
              <w:jc w:val="center"/>
              <w:rPr>
                <w:rFonts w:ascii="Times New Roman" w:hAnsi="Times New Roman"/>
              </w:rPr>
            </w:pPr>
            <w:r w:rsidRPr="006A013F">
              <w:rPr>
                <w:rFonts w:ascii="Times New Roman" w:hAnsi="Times New Roman"/>
              </w:rPr>
              <w:t>43</w:t>
            </w:r>
          </w:p>
        </w:tc>
        <w:tc>
          <w:tcPr>
            <w:tcW w:w="0" w:type="auto"/>
            <w:shd w:val="clear" w:color="auto" w:fill="auto"/>
          </w:tcPr>
          <w:p w14:paraId="123D7603" w14:textId="77777777" w:rsidR="00061852" w:rsidRPr="006A013F" w:rsidRDefault="00061852" w:rsidP="00B7362E">
            <w:pPr>
              <w:spacing w:after="60"/>
              <w:jc w:val="center"/>
              <w:rPr>
                <w:rFonts w:ascii="Times New Roman" w:hAnsi="Times New Roman"/>
              </w:rPr>
            </w:pPr>
            <w:r w:rsidRPr="006A013F">
              <w:rPr>
                <w:rFonts w:ascii="Times New Roman" w:hAnsi="Times New Roman"/>
              </w:rPr>
              <w:t>20</w:t>
            </w:r>
          </w:p>
        </w:tc>
        <w:tc>
          <w:tcPr>
            <w:tcW w:w="0" w:type="auto"/>
            <w:shd w:val="clear" w:color="auto" w:fill="auto"/>
          </w:tcPr>
          <w:p w14:paraId="5AE51340" w14:textId="77777777" w:rsidR="00061852" w:rsidRPr="006A013F" w:rsidRDefault="00061852" w:rsidP="00B7362E">
            <w:pPr>
              <w:spacing w:after="60"/>
              <w:jc w:val="center"/>
              <w:rPr>
                <w:rFonts w:ascii="Times New Roman" w:hAnsi="Times New Roman"/>
              </w:rPr>
            </w:pPr>
            <w:r w:rsidRPr="006A013F">
              <w:rPr>
                <w:rFonts w:ascii="Times New Roman" w:hAnsi="Times New Roman"/>
              </w:rPr>
              <w:t>40</w:t>
            </w:r>
          </w:p>
        </w:tc>
        <w:tc>
          <w:tcPr>
            <w:tcW w:w="0" w:type="auto"/>
            <w:shd w:val="clear" w:color="auto" w:fill="auto"/>
          </w:tcPr>
          <w:p w14:paraId="21206701" w14:textId="77777777" w:rsidR="00061852" w:rsidRPr="006A013F" w:rsidRDefault="00061852" w:rsidP="00B7362E">
            <w:pPr>
              <w:spacing w:after="60"/>
              <w:jc w:val="center"/>
              <w:rPr>
                <w:rFonts w:ascii="Times New Roman" w:hAnsi="Times New Roman"/>
              </w:rPr>
            </w:pPr>
            <w:r w:rsidRPr="006A013F">
              <w:rPr>
                <w:rFonts w:ascii="Times New Roman" w:hAnsi="Times New Roman"/>
              </w:rPr>
              <w:t>60</w:t>
            </w:r>
          </w:p>
        </w:tc>
      </w:tr>
      <w:tr w:rsidR="00061852" w:rsidRPr="006A013F" w14:paraId="509480CA" w14:textId="77777777" w:rsidTr="00B7362E">
        <w:trPr>
          <w:trHeight w:val="1277"/>
        </w:trPr>
        <w:tc>
          <w:tcPr>
            <w:tcW w:w="0" w:type="auto"/>
            <w:vMerge/>
          </w:tcPr>
          <w:p w14:paraId="1E28022D" w14:textId="77777777" w:rsidR="00061852" w:rsidRPr="00061268" w:rsidRDefault="00061852" w:rsidP="00B7362E">
            <w:pPr>
              <w:spacing w:after="60"/>
              <w:rPr>
                <w:rFonts w:ascii="Times New Roman" w:hAnsi="Times New Roman"/>
              </w:rPr>
            </w:pPr>
          </w:p>
        </w:tc>
        <w:tc>
          <w:tcPr>
            <w:tcW w:w="0" w:type="auto"/>
            <w:vMerge w:val="restart"/>
          </w:tcPr>
          <w:p w14:paraId="7FE84465" w14:textId="77777777" w:rsidR="00061852" w:rsidRPr="00061268" w:rsidRDefault="00061852" w:rsidP="00B7362E">
            <w:pPr>
              <w:spacing w:after="60"/>
              <w:rPr>
                <w:rFonts w:ascii="Times New Roman" w:hAnsi="Times New Roman"/>
              </w:rPr>
            </w:pPr>
            <w:r w:rsidRPr="00061268">
              <w:rPr>
                <w:rFonts w:ascii="Times New Roman" w:hAnsi="Times New Roman"/>
              </w:rPr>
              <w:t>Action-3 Supporting market uptake of clean hydrogen applications</w:t>
            </w:r>
          </w:p>
          <w:p w14:paraId="0C94E4E9" w14:textId="77777777" w:rsidR="00061852" w:rsidRPr="00061268" w:rsidRDefault="00061852" w:rsidP="00B7362E">
            <w:pPr>
              <w:spacing w:after="60"/>
              <w:rPr>
                <w:rFonts w:ascii="Times New Roman" w:hAnsi="Times New Roman"/>
                <w:highlight w:val="yellow"/>
              </w:rPr>
            </w:pPr>
          </w:p>
          <w:p w14:paraId="471E68D4" w14:textId="77777777" w:rsidR="00061852" w:rsidRPr="00061268" w:rsidRDefault="00061852" w:rsidP="00B7362E">
            <w:pPr>
              <w:spacing w:after="60"/>
              <w:rPr>
                <w:rFonts w:ascii="Times New Roman" w:hAnsi="Times New Roman"/>
                <w:i/>
              </w:rPr>
            </w:pPr>
            <w:r w:rsidRPr="00061268">
              <w:rPr>
                <w:rFonts w:ascii="Times New Roman" w:hAnsi="Times New Roman"/>
                <w:i/>
              </w:rPr>
              <w:t>Link with SBA:</w:t>
            </w:r>
          </w:p>
          <w:p w14:paraId="74A870F8" w14:textId="77777777" w:rsidR="00061852" w:rsidRPr="00061268" w:rsidRDefault="00061852" w:rsidP="00B7362E">
            <w:pPr>
              <w:spacing w:after="60"/>
              <w:rPr>
                <w:rFonts w:ascii="Times New Roman" w:hAnsi="Times New Roman"/>
                <w:i/>
              </w:rPr>
            </w:pPr>
            <w:r w:rsidRPr="00061268">
              <w:rPr>
                <w:rFonts w:ascii="Times New Roman" w:hAnsi="Times New Roman"/>
                <w:i/>
              </w:rPr>
              <w:t>GO (a)/(b)/(c), SO (b)/(c)/(d),</w:t>
            </w:r>
          </w:p>
          <w:p w14:paraId="7D02BFC5" w14:textId="77777777" w:rsidR="00061852" w:rsidRPr="00061268" w:rsidRDefault="00061852" w:rsidP="00B7362E">
            <w:pPr>
              <w:spacing w:after="60"/>
              <w:rPr>
                <w:rFonts w:ascii="Times New Roman" w:hAnsi="Times New Roman"/>
                <w:i/>
              </w:rPr>
            </w:pPr>
            <w:r w:rsidRPr="00061268">
              <w:rPr>
                <w:rFonts w:ascii="Times New Roman" w:hAnsi="Times New Roman"/>
                <w:i/>
              </w:rPr>
              <w:t>AT (a)/(b)/(c)</w:t>
            </w:r>
          </w:p>
          <w:p w14:paraId="6D83D523" w14:textId="77777777" w:rsidR="00061852" w:rsidRPr="00061268" w:rsidRDefault="00061852" w:rsidP="00B7362E">
            <w:pPr>
              <w:spacing w:after="60"/>
              <w:rPr>
                <w:rFonts w:ascii="Times New Roman" w:hAnsi="Times New Roman"/>
                <w:i/>
              </w:rPr>
            </w:pPr>
          </w:p>
          <w:p w14:paraId="75948132" w14:textId="77777777" w:rsidR="00061852" w:rsidRPr="00061268" w:rsidRDefault="00061852" w:rsidP="00B7362E">
            <w:pPr>
              <w:spacing w:after="60"/>
              <w:rPr>
                <w:rFonts w:ascii="Times New Roman" w:hAnsi="Times New Roman"/>
                <w:i/>
              </w:rPr>
            </w:pPr>
          </w:p>
          <w:p w14:paraId="5D2D4124" w14:textId="77777777" w:rsidR="00061852" w:rsidRPr="00061268" w:rsidRDefault="00061852" w:rsidP="00B7362E">
            <w:pPr>
              <w:spacing w:after="60"/>
              <w:rPr>
                <w:rFonts w:ascii="Times New Roman" w:hAnsi="Times New Roman"/>
                <w:i/>
              </w:rPr>
            </w:pPr>
            <w:r w:rsidRPr="00061268">
              <w:rPr>
                <w:rFonts w:ascii="Times New Roman" w:hAnsi="Times New Roman"/>
                <w:i/>
              </w:rPr>
              <w:t>Link with Strategy Map:</w:t>
            </w:r>
          </w:p>
          <w:p w14:paraId="2C28E429" w14:textId="77777777" w:rsidR="00061852" w:rsidRPr="00061268" w:rsidRDefault="00061852" w:rsidP="00B7362E">
            <w:pPr>
              <w:spacing w:after="60"/>
              <w:rPr>
                <w:rFonts w:ascii="Times New Roman" w:hAnsi="Times New Roman"/>
                <w:i/>
              </w:rPr>
            </w:pPr>
            <w:r w:rsidRPr="00061268">
              <w:rPr>
                <w:rFonts w:ascii="Times New Roman" w:hAnsi="Times New Roman"/>
                <w:i/>
              </w:rPr>
              <w:t>Outcome-3/4/5, Impact-3</w:t>
            </w:r>
          </w:p>
          <w:p w14:paraId="37C5C9D1" w14:textId="77777777" w:rsidR="00061852" w:rsidRPr="00061268" w:rsidRDefault="00061852" w:rsidP="00B7362E">
            <w:pPr>
              <w:spacing w:after="60"/>
              <w:rPr>
                <w:rFonts w:ascii="Times New Roman" w:hAnsi="Times New Roman"/>
                <w:highlight w:val="yellow"/>
              </w:rPr>
            </w:pPr>
          </w:p>
        </w:tc>
        <w:tc>
          <w:tcPr>
            <w:tcW w:w="0" w:type="auto"/>
          </w:tcPr>
          <w:p w14:paraId="39DC375C" w14:textId="77777777" w:rsidR="00061852" w:rsidRPr="00061268" w:rsidRDefault="00061852" w:rsidP="00B7362E">
            <w:pPr>
              <w:spacing w:after="60"/>
              <w:rPr>
                <w:rFonts w:ascii="Times New Roman" w:hAnsi="Times New Roman"/>
              </w:rPr>
            </w:pPr>
            <w:r w:rsidRPr="00061268">
              <w:rPr>
                <w:rFonts w:ascii="Times New Roman" w:hAnsi="Times New Roman"/>
              </w:rPr>
              <w:t xml:space="preserve">KPI-4 Education and training  </w:t>
            </w:r>
          </w:p>
          <w:p w14:paraId="5044957E" w14:textId="77777777" w:rsidR="00061852" w:rsidRPr="00061268" w:rsidRDefault="00061852" w:rsidP="00B7362E">
            <w:pPr>
              <w:spacing w:after="60"/>
              <w:rPr>
                <w:rFonts w:ascii="Times New Roman" w:hAnsi="Times New Roman"/>
              </w:rPr>
            </w:pPr>
          </w:p>
          <w:p w14:paraId="7227F124" w14:textId="77777777" w:rsidR="00061852" w:rsidRPr="00061268" w:rsidRDefault="00061852" w:rsidP="00B7362E">
            <w:pPr>
              <w:spacing w:after="60"/>
              <w:rPr>
                <w:rFonts w:ascii="Times New Roman" w:hAnsi="Times New Roman"/>
                <w:i/>
                <w:iCs/>
              </w:rPr>
            </w:pPr>
            <w:r w:rsidRPr="00061268">
              <w:rPr>
                <w:rFonts w:ascii="Times New Roman" w:hAnsi="Times New Roman"/>
                <w:i/>
                <w:iCs/>
              </w:rPr>
              <w:t>Number of projects addressing education and training, including skills</w:t>
            </w:r>
          </w:p>
        </w:tc>
        <w:tc>
          <w:tcPr>
            <w:tcW w:w="0" w:type="auto"/>
          </w:tcPr>
          <w:p w14:paraId="015AE147" w14:textId="77777777" w:rsidR="00061852" w:rsidRPr="00061268" w:rsidRDefault="00061852" w:rsidP="00B7362E">
            <w:pPr>
              <w:spacing w:after="60"/>
              <w:rPr>
                <w:rFonts w:ascii="Times New Roman" w:hAnsi="Times New Roman"/>
              </w:rPr>
            </w:pPr>
            <w:r w:rsidRPr="00061268">
              <w:rPr>
                <w:rFonts w:ascii="Times New Roman" w:hAnsi="Times New Roman"/>
              </w:rPr>
              <w:t>Data Source: Project data</w:t>
            </w:r>
          </w:p>
          <w:p w14:paraId="16810330" w14:textId="77777777" w:rsidR="00061852" w:rsidRPr="00061268" w:rsidRDefault="00061852" w:rsidP="00B7362E">
            <w:pPr>
              <w:spacing w:after="60"/>
              <w:rPr>
                <w:rFonts w:ascii="Times New Roman" w:hAnsi="Times New Roman"/>
              </w:rPr>
            </w:pPr>
            <w:r w:rsidRPr="00061268">
              <w:rPr>
                <w:rFonts w:ascii="Times New Roman" w:hAnsi="Times New Roman"/>
              </w:rPr>
              <w:t>Methodology: Cumulative number of relevant JU projects</w:t>
            </w:r>
            <w:r>
              <w:rPr>
                <w:rFonts w:ascii="Times New Roman" w:hAnsi="Times New Roman"/>
              </w:rPr>
              <w:t>.</w:t>
            </w:r>
          </w:p>
          <w:p w14:paraId="6E640A39" w14:textId="77777777" w:rsidR="00061852" w:rsidRPr="00061268" w:rsidRDefault="00061852" w:rsidP="00B7362E">
            <w:pPr>
              <w:spacing w:after="60"/>
              <w:rPr>
                <w:rFonts w:ascii="Times New Roman" w:hAnsi="Times New Roman"/>
              </w:rPr>
            </w:pPr>
            <w:r w:rsidRPr="00061268">
              <w:rPr>
                <w:rFonts w:ascii="Times New Roman" w:hAnsi="Times New Roman"/>
              </w:rPr>
              <w:t>Measurement Unit: Number of Projects</w:t>
            </w:r>
          </w:p>
          <w:p w14:paraId="0EE9247C" w14:textId="77777777" w:rsidR="00061852" w:rsidRPr="00061268" w:rsidRDefault="00061852" w:rsidP="00B7362E">
            <w:pPr>
              <w:spacing w:after="60"/>
              <w:rPr>
                <w:rFonts w:ascii="Times New Roman" w:hAnsi="Times New Roman"/>
              </w:rPr>
            </w:pPr>
          </w:p>
        </w:tc>
        <w:tc>
          <w:tcPr>
            <w:tcW w:w="0" w:type="auto"/>
            <w:shd w:val="clear" w:color="auto" w:fill="auto"/>
          </w:tcPr>
          <w:p w14:paraId="212956FB" w14:textId="77777777" w:rsidR="00061852" w:rsidRPr="006A013F" w:rsidRDefault="00061852" w:rsidP="00B7362E">
            <w:pPr>
              <w:spacing w:after="60"/>
              <w:jc w:val="center"/>
              <w:rPr>
                <w:rFonts w:ascii="Times New Roman" w:hAnsi="Times New Roman"/>
              </w:rPr>
            </w:pPr>
            <w:r w:rsidRPr="006A013F">
              <w:rPr>
                <w:rFonts w:ascii="Times New Roman" w:hAnsi="Times New Roman"/>
              </w:rPr>
              <w:t>4</w:t>
            </w:r>
          </w:p>
        </w:tc>
        <w:tc>
          <w:tcPr>
            <w:tcW w:w="0" w:type="auto"/>
            <w:shd w:val="clear" w:color="auto" w:fill="auto"/>
          </w:tcPr>
          <w:p w14:paraId="49FA9BEC" w14:textId="77777777" w:rsidR="00061852" w:rsidRPr="006A013F" w:rsidRDefault="00061852" w:rsidP="00B7362E">
            <w:pPr>
              <w:spacing w:after="60"/>
              <w:jc w:val="center"/>
              <w:rPr>
                <w:rFonts w:ascii="Times New Roman" w:hAnsi="Times New Roman"/>
              </w:rPr>
            </w:pPr>
            <w:r w:rsidRPr="006A013F">
              <w:rPr>
                <w:rFonts w:ascii="Times New Roman" w:hAnsi="Times New Roman"/>
              </w:rPr>
              <w:t>2</w:t>
            </w:r>
          </w:p>
        </w:tc>
        <w:tc>
          <w:tcPr>
            <w:tcW w:w="0" w:type="auto"/>
            <w:shd w:val="clear" w:color="auto" w:fill="auto"/>
          </w:tcPr>
          <w:p w14:paraId="2E3C842D" w14:textId="77777777" w:rsidR="00061852" w:rsidRPr="006A013F" w:rsidRDefault="00061852" w:rsidP="00B7362E">
            <w:pPr>
              <w:spacing w:after="60"/>
              <w:jc w:val="center"/>
              <w:rPr>
                <w:rFonts w:ascii="Times New Roman" w:hAnsi="Times New Roman"/>
              </w:rPr>
            </w:pPr>
            <w:r w:rsidRPr="006A013F">
              <w:rPr>
                <w:rFonts w:ascii="Times New Roman" w:hAnsi="Times New Roman"/>
              </w:rPr>
              <w:t>4</w:t>
            </w:r>
          </w:p>
        </w:tc>
        <w:tc>
          <w:tcPr>
            <w:tcW w:w="0" w:type="auto"/>
            <w:shd w:val="clear" w:color="auto" w:fill="auto"/>
          </w:tcPr>
          <w:p w14:paraId="62A78B36" w14:textId="77777777" w:rsidR="00061852" w:rsidRPr="006A013F" w:rsidRDefault="00061852" w:rsidP="00B7362E">
            <w:pPr>
              <w:spacing w:after="60"/>
              <w:jc w:val="center"/>
              <w:rPr>
                <w:rFonts w:ascii="Times New Roman" w:hAnsi="Times New Roman"/>
              </w:rPr>
            </w:pPr>
            <w:r w:rsidRPr="006A013F">
              <w:rPr>
                <w:rFonts w:ascii="Times New Roman" w:hAnsi="Times New Roman"/>
              </w:rPr>
              <w:t>6</w:t>
            </w:r>
          </w:p>
        </w:tc>
      </w:tr>
      <w:tr w:rsidR="00061852" w:rsidRPr="006A013F" w14:paraId="39D78FDE" w14:textId="77777777" w:rsidTr="00B7362E">
        <w:trPr>
          <w:trHeight w:val="1277"/>
        </w:trPr>
        <w:tc>
          <w:tcPr>
            <w:tcW w:w="0" w:type="auto"/>
            <w:vMerge/>
          </w:tcPr>
          <w:p w14:paraId="6C1DADFB" w14:textId="77777777" w:rsidR="00061852" w:rsidRPr="00061268" w:rsidRDefault="00061852" w:rsidP="00B7362E">
            <w:pPr>
              <w:spacing w:after="60"/>
              <w:rPr>
                <w:rFonts w:ascii="Times New Roman" w:hAnsi="Times New Roman"/>
              </w:rPr>
            </w:pPr>
          </w:p>
        </w:tc>
        <w:tc>
          <w:tcPr>
            <w:tcW w:w="0" w:type="auto"/>
            <w:vMerge/>
          </w:tcPr>
          <w:p w14:paraId="49A865E7" w14:textId="77777777" w:rsidR="00061852" w:rsidRPr="00061268" w:rsidRDefault="00061852" w:rsidP="00B7362E">
            <w:pPr>
              <w:spacing w:after="60"/>
              <w:rPr>
                <w:rFonts w:ascii="Times New Roman" w:hAnsi="Times New Roman"/>
                <w:highlight w:val="yellow"/>
              </w:rPr>
            </w:pPr>
          </w:p>
        </w:tc>
        <w:tc>
          <w:tcPr>
            <w:tcW w:w="0" w:type="auto"/>
          </w:tcPr>
          <w:p w14:paraId="5C5A2229" w14:textId="77777777" w:rsidR="00061852" w:rsidRPr="00061268" w:rsidRDefault="00061852" w:rsidP="00B7362E">
            <w:pPr>
              <w:spacing w:after="60"/>
              <w:rPr>
                <w:rFonts w:ascii="Times New Roman" w:hAnsi="Times New Roman"/>
              </w:rPr>
            </w:pPr>
            <w:r w:rsidRPr="00061268">
              <w:rPr>
                <w:rFonts w:ascii="Times New Roman" w:hAnsi="Times New Roman"/>
              </w:rPr>
              <w:t xml:space="preserve">KPI-5 Monitoring technology progress </w:t>
            </w:r>
          </w:p>
          <w:p w14:paraId="08DD7788" w14:textId="77777777" w:rsidR="00061852" w:rsidRPr="00061268" w:rsidRDefault="00061852" w:rsidP="00B7362E">
            <w:pPr>
              <w:spacing w:after="60"/>
              <w:rPr>
                <w:rFonts w:ascii="Times New Roman" w:hAnsi="Times New Roman"/>
              </w:rPr>
            </w:pPr>
          </w:p>
          <w:p w14:paraId="333F60D1" w14:textId="77777777" w:rsidR="00061852" w:rsidRPr="00061268" w:rsidRDefault="00061852" w:rsidP="00B7362E">
            <w:pPr>
              <w:spacing w:after="60"/>
              <w:rPr>
                <w:rFonts w:ascii="Times New Roman" w:hAnsi="Times New Roman"/>
                <w:i/>
                <w:iCs/>
              </w:rPr>
            </w:pPr>
            <w:r w:rsidRPr="00061268">
              <w:rPr>
                <w:rFonts w:ascii="Times New Roman" w:hAnsi="Times New Roman"/>
                <w:i/>
                <w:iCs/>
              </w:rPr>
              <w:t xml:space="preserve">Qualitative indicator summarizing related actions performed </w:t>
            </w:r>
          </w:p>
        </w:tc>
        <w:tc>
          <w:tcPr>
            <w:tcW w:w="0" w:type="auto"/>
          </w:tcPr>
          <w:p w14:paraId="2172058C" w14:textId="77777777" w:rsidR="00061852" w:rsidRPr="00061268" w:rsidRDefault="00061852" w:rsidP="00B7362E">
            <w:pPr>
              <w:spacing w:after="60"/>
              <w:rPr>
                <w:rFonts w:ascii="Times New Roman" w:hAnsi="Times New Roman"/>
              </w:rPr>
            </w:pPr>
            <w:r w:rsidRPr="00061268">
              <w:rPr>
                <w:rFonts w:ascii="Times New Roman" w:hAnsi="Times New Roman"/>
              </w:rPr>
              <w:t>Methodology: Description of main actions performed in relation to the assessment and monitoring of technological progress</w:t>
            </w:r>
            <w:r>
              <w:rPr>
                <w:rFonts w:ascii="Times New Roman" w:hAnsi="Times New Roman"/>
              </w:rPr>
              <w:t>.</w:t>
            </w:r>
          </w:p>
          <w:p w14:paraId="2E4B9A9C" w14:textId="77777777" w:rsidR="00061852" w:rsidRPr="00061268" w:rsidRDefault="00061852" w:rsidP="00B7362E">
            <w:pPr>
              <w:spacing w:after="60"/>
              <w:rPr>
                <w:rFonts w:ascii="Times New Roman" w:hAnsi="Times New Roman"/>
              </w:rPr>
            </w:pPr>
            <w:r w:rsidRPr="00061268">
              <w:rPr>
                <w:rFonts w:ascii="Times New Roman" w:hAnsi="Times New Roman"/>
              </w:rPr>
              <w:t>Measurement Unit: -</w:t>
            </w:r>
          </w:p>
          <w:p w14:paraId="257728D7" w14:textId="77777777" w:rsidR="00061852" w:rsidRPr="00061268" w:rsidRDefault="00061852" w:rsidP="00B7362E">
            <w:pPr>
              <w:spacing w:after="60"/>
              <w:rPr>
                <w:rFonts w:ascii="Times New Roman" w:hAnsi="Times New Roman"/>
              </w:rPr>
            </w:pPr>
          </w:p>
        </w:tc>
        <w:tc>
          <w:tcPr>
            <w:tcW w:w="0" w:type="auto"/>
            <w:shd w:val="clear" w:color="auto" w:fill="auto"/>
          </w:tcPr>
          <w:p w14:paraId="67669599" w14:textId="77777777" w:rsidR="00061852" w:rsidRPr="006A013F" w:rsidRDefault="00061852" w:rsidP="00B7362E">
            <w:pPr>
              <w:spacing w:after="60"/>
              <w:jc w:val="center"/>
              <w:rPr>
                <w:rFonts w:ascii="Times New Roman" w:hAnsi="Times New Roman"/>
              </w:rPr>
            </w:pPr>
            <w:r w:rsidRPr="006A013F">
              <w:rPr>
                <w:rFonts w:ascii="Times New Roman" w:hAnsi="Times New Roman"/>
              </w:rPr>
              <w:t>N/A</w:t>
            </w:r>
          </w:p>
        </w:tc>
        <w:tc>
          <w:tcPr>
            <w:tcW w:w="0" w:type="auto"/>
            <w:shd w:val="clear" w:color="auto" w:fill="auto"/>
          </w:tcPr>
          <w:p w14:paraId="6585F216" w14:textId="77777777" w:rsidR="00061852" w:rsidRPr="006A013F" w:rsidRDefault="00061852" w:rsidP="00B7362E">
            <w:pPr>
              <w:spacing w:after="60"/>
              <w:jc w:val="center"/>
              <w:rPr>
                <w:rFonts w:ascii="Times New Roman" w:hAnsi="Times New Roman"/>
              </w:rPr>
            </w:pPr>
            <w:r w:rsidRPr="006A013F">
              <w:rPr>
                <w:rFonts w:ascii="Times New Roman" w:hAnsi="Times New Roman"/>
              </w:rPr>
              <w:t>N/A</w:t>
            </w:r>
          </w:p>
        </w:tc>
        <w:tc>
          <w:tcPr>
            <w:tcW w:w="0" w:type="auto"/>
            <w:shd w:val="clear" w:color="auto" w:fill="auto"/>
          </w:tcPr>
          <w:p w14:paraId="5EA51839" w14:textId="77777777" w:rsidR="00061852" w:rsidRPr="006A013F" w:rsidRDefault="00061852" w:rsidP="00B7362E">
            <w:pPr>
              <w:spacing w:after="60"/>
              <w:jc w:val="center"/>
              <w:rPr>
                <w:rFonts w:ascii="Times New Roman" w:hAnsi="Times New Roman"/>
              </w:rPr>
            </w:pPr>
            <w:r w:rsidRPr="006A013F">
              <w:rPr>
                <w:rFonts w:ascii="Times New Roman" w:hAnsi="Times New Roman"/>
              </w:rPr>
              <w:t>N/A</w:t>
            </w:r>
          </w:p>
        </w:tc>
        <w:tc>
          <w:tcPr>
            <w:tcW w:w="0" w:type="auto"/>
            <w:shd w:val="clear" w:color="auto" w:fill="auto"/>
          </w:tcPr>
          <w:p w14:paraId="7E9F2190" w14:textId="77777777" w:rsidR="00061852" w:rsidRPr="006A013F" w:rsidRDefault="00061852" w:rsidP="00B7362E">
            <w:pPr>
              <w:spacing w:after="60"/>
              <w:jc w:val="center"/>
              <w:rPr>
                <w:rFonts w:ascii="Times New Roman" w:hAnsi="Times New Roman"/>
              </w:rPr>
            </w:pPr>
            <w:r w:rsidRPr="006A013F">
              <w:rPr>
                <w:rFonts w:ascii="Times New Roman" w:hAnsi="Times New Roman"/>
              </w:rPr>
              <w:t>N/A</w:t>
            </w:r>
          </w:p>
        </w:tc>
      </w:tr>
      <w:tr w:rsidR="00061852" w:rsidRPr="006A013F" w14:paraId="567E50F0" w14:textId="77777777" w:rsidTr="00B7362E">
        <w:trPr>
          <w:trHeight w:val="1277"/>
        </w:trPr>
        <w:tc>
          <w:tcPr>
            <w:tcW w:w="0" w:type="auto"/>
            <w:vMerge/>
          </w:tcPr>
          <w:p w14:paraId="1DB7098C" w14:textId="77777777" w:rsidR="00061852" w:rsidRPr="00061268" w:rsidRDefault="00061852" w:rsidP="00B7362E">
            <w:pPr>
              <w:spacing w:after="60"/>
              <w:rPr>
                <w:rFonts w:ascii="Times New Roman" w:hAnsi="Times New Roman"/>
              </w:rPr>
            </w:pPr>
          </w:p>
        </w:tc>
        <w:tc>
          <w:tcPr>
            <w:tcW w:w="0" w:type="auto"/>
            <w:vMerge/>
          </w:tcPr>
          <w:p w14:paraId="11F607CB" w14:textId="77777777" w:rsidR="00061852" w:rsidRPr="00061268" w:rsidRDefault="00061852" w:rsidP="00B7362E">
            <w:pPr>
              <w:spacing w:after="60"/>
              <w:rPr>
                <w:rFonts w:ascii="Times New Roman" w:hAnsi="Times New Roman"/>
                <w:highlight w:val="yellow"/>
              </w:rPr>
            </w:pPr>
          </w:p>
        </w:tc>
        <w:tc>
          <w:tcPr>
            <w:tcW w:w="0" w:type="auto"/>
          </w:tcPr>
          <w:p w14:paraId="2695B89C" w14:textId="77777777" w:rsidR="00061852" w:rsidRPr="00061268" w:rsidRDefault="00061852" w:rsidP="00B7362E">
            <w:pPr>
              <w:spacing w:after="60"/>
              <w:rPr>
                <w:rFonts w:ascii="Times New Roman" w:hAnsi="Times New Roman"/>
              </w:rPr>
            </w:pPr>
            <w:r w:rsidRPr="00061268">
              <w:rPr>
                <w:rFonts w:ascii="Times New Roman" w:hAnsi="Times New Roman"/>
              </w:rPr>
              <w:t>KPI-6 Supporting European Commission in its activities targeting the market uptake of hydrogen</w:t>
            </w:r>
          </w:p>
          <w:p w14:paraId="58D8058C" w14:textId="77777777" w:rsidR="00061852" w:rsidRPr="00061268" w:rsidRDefault="00061852" w:rsidP="00B7362E">
            <w:pPr>
              <w:spacing w:after="60"/>
              <w:rPr>
                <w:rFonts w:ascii="Times New Roman" w:hAnsi="Times New Roman"/>
              </w:rPr>
            </w:pPr>
          </w:p>
          <w:p w14:paraId="7259B3A2" w14:textId="77777777" w:rsidR="00061852" w:rsidRPr="00061268" w:rsidRDefault="00061852" w:rsidP="00B7362E">
            <w:pPr>
              <w:spacing w:after="60"/>
              <w:rPr>
                <w:rFonts w:ascii="Times New Roman" w:hAnsi="Times New Roman"/>
              </w:rPr>
            </w:pPr>
            <w:r w:rsidRPr="00061268">
              <w:rPr>
                <w:rFonts w:ascii="Times New Roman" w:hAnsi="Times New Roman"/>
                <w:i/>
                <w:iCs/>
              </w:rPr>
              <w:t>Qualitative indicator summarizing  related actions performed</w:t>
            </w:r>
          </w:p>
        </w:tc>
        <w:tc>
          <w:tcPr>
            <w:tcW w:w="0" w:type="auto"/>
          </w:tcPr>
          <w:p w14:paraId="764D3DA4" w14:textId="77777777" w:rsidR="00061852" w:rsidRPr="00061268" w:rsidRDefault="00061852" w:rsidP="00B7362E">
            <w:pPr>
              <w:spacing w:after="60"/>
              <w:rPr>
                <w:rFonts w:ascii="Times New Roman" w:hAnsi="Times New Roman"/>
              </w:rPr>
            </w:pPr>
            <w:r w:rsidRPr="00061268">
              <w:rPr>
                <w:rFonts w:ascii="Times New Roman" w:hAnsi="Times New Roman"/>
              </w:rPr>
              <w:t>Methodology: Description of main actions performed in relation to: (a) JU’s contribution to the development of regulations and standards, and (b) supporting the European Commission in its international initiatives on the hydrogen strategy</w:t>
            </w:r>
            <w:r>
              <w:rPr>
                <w:rFonts w:ascii="Times New Roman" w:hAnsi="Times New Roman"/>
              </w:rPr>
              <w:t>.</w:t>
            </w:r>
          </w:p>
          <w:p w14:paraId="0C42BD15" w14:textId="77777777" w:rsidR="00061852" w:rsidRPr="00061268" w:rsidRDefault="00061852" w:rsidP="00B7362E">
            <w:pPr>
              <w:spacing w:after="60"/>
              <w:rPr>
                <w:rFonts w:ascii="Times New Roman" w:hAnsi="Times New Roman"/>
              </w:rPr>
            </w:pPr>
            <w:r w:rsidRPr="00061268">
              <w:rPr>
                <w:rFonts w:ascii="Times New Roman" w:hAnsi="Times New Roman"/>
              </w:rPr>
              <w:t>Measurement Unit: -</w:t>
            </w:r>
          </w:p>
        </w:tc>
        <w:tc>
          <w:tcPr>
            <w:tcW w:w="0" w:type="auto"/>
            <w:shd w:val="clear" w:color="auto" w:fill="auto"/>
          </w:tcPr>
          <w:p w14:paraId="775C95E2" w14:textId="77777777" w:rsidR="00061852" w:rsidRPr="006A013F" w:rsidRDefault="00061852" w:rsidP="00B7362E">
            <w:pPr>
              <w:spacing w:after="60"/>
              <w:jc w:val="center"/>
              <w:rPr>
                <w:rFonts w:ascii="Times New Roman" w:hAnsi="Times New Roman"/>
              </w:rPr>
            </w:pPr>
            <w:r w:rsidRPr="006A013F">
              <w:rPr>
                <w:rFonts w:ascii="Times New Roman" w:hAnsi="Times New Roman"/>
              </w:rPr>
              <w:t>N/A</w:t>
            </w:r>
          </w:p>
        </w:tc>
        <w:tc>
          <w:tcPr>
            <w:tcW w:w="0" w:type="auto"/>
            <w:shd w:val="clear" w:color="auto" w:fill="auto"/>
          </w:tcPr>
          <w:p w14:paraId="35EEF557" w14:textId="77777777" w:rsidR="00061852" w:rsidRPr="006A013F" w:rsidRDefault="00061852" w:rsidP="00B7362E">
            <w:pPr>
              <w:spacing w:after="60"/>
              <w:jc w:val="center"/>
              <w:rPr>
                <w:rFonts w:ascii="Times New Roman" w:hAnsi="Times New Roman"/>
              </w:rPr>
            </w:pPr>
            <w:r w:rsidRPr="006A013F">
              <w:rPr>
                <w:rFonts w:ascii="Times New Roman" w:hAnsi="Times New Roman"/>
              </w:rPr>
              <w:t>N/A</w:t>
            </w:r>
          </w:p>
        </w:tc>
        <w:tc>
          <w:tcPr>
            <w:tcW w:w="0" w:type="auto"/>
            <w:shd w:val="clear" w:color="auto" w:fill="auto"/>
          </w:tcPr>
          <w:p w14:paraId="2B46D65C" w14:textId="77777777" w:rsidR="00061852" w:rsidRPr="006A013F" w:rsidRDefault="00061852" w:rsidP="00B7362E">
            <w:pPr>
              <w:spacing w:after="60"/>
              <w:jc w:val="center"/>
              <w:rPr>
                <w:rFonts w:ascii="Times New Roman" w:hAnsi="Times New Roman"/>
              </w:rPr>
            </w:pPr>
            <w:r w:rsidRPr="006A013F">
              <w:rPr>
                <w:rFonts w:ascii="Times New Roman" w:hAnsi="Times New Roman"/>
              </w:rPr>
              <w:t>N/A</w:t>
            </w:r>
          </w:p>
        </w:tc>
        <w:tc>
          <w:tcPr>
            <w:tcW w:w="0" w:type="auto"/>
            <w:shd w:val="clear" w:color="auto" w:fill="auto"/>
          </w:tcPr>
          <w:p w14:paraId="579A5366" w14:textId="77777777" w:rsidR="00061852" w:rsidRPr="006A013F" w:rsidRDefault="00061852" w:rsidP="00B7362E">
            <w:pPr>
              <w:spacing w:after="60"/>
              <w:jc w:val="center"/>
              <w:rPr>
                <w:rFonts w:ascii="Times New Roman" w:hAnsi="Times New Roman"/>
              </w:rPr>
            </w:pPr>
            <w:r w:rsidRPr="006A013F">
              <w:rPr>
                <w:rFonts w:ascii="Times New Roman" w:hAnsi="Times New Roman"/>
              </w:rPr>
              <w:t>N/A</w:t>
            </w:r>
          </w:p>
        </w:tc>
      </w:tr>
      <w:tr w:rsidR="00061852" w:rsidRPr="006A013F" w14:paraId="2CD0D87E" w14:textId="77777777" w:rsidTr="00B7362E">
        <w:trPr>
          <w:trHeight w:val="3109"/>
        </w:trPr>
        <w:tc>
          <w:tcPr>
            <w:tcW w:w="0" w:type="auto"/>
            <w:vMerge w:val="restart"/>
          </w:tcPr>
          <w:p w14:paraId="46F3DBB5" w14:textId="77777777" w:rsidR="00061852" w:rsidRPr="00061268" w:rsidRDefault="00061852" w:rsidP="00B7362E">
            <w:pPr>
              <w:spacing w:after="60"/>
              <w:rPr>
                <w:rFonts w:ascii="Times New Roman" w:hAnsi="Times New Roman"/>
                <w:b/>
              </w:rPr>
            </w:pPr>
            <w:r w:rsidRPr="00061268">
              <w:rPr>
                <w:rFonts w:ascii="Times New Roman" w:hAnsi="Times New Roman"/>
                <w:b/>
              </w:rPr>
              <w:lastRenderedPageBreak/>
              <w:t>Specific level outcomes</w:t>
            </w:r>
          </w:p>
          <w:p w14:paraId="14408466" w14:textId="77777777" w:rsidR="00061852" w:rsidRPr="00061268" w:rsidRDefault="00061852" w:rsidP="00B7362E">
            <w:pPr>
              <w:spacing w:after="60"/>
              <w:rPr>
                <w:rFonts w:ascii="Times New Roman" w:hAnsi="Times New Roman"/>
                <w:b/>
              </w:rPr>
            </w:pPr>
            <w:r w:rsidRPr="00061268">
              <w:rPr>
                <w:rFonts w:ascii="Times New Roman" w:hAnsi="Times New Roman"/>
              </w:rPr>
              <w:t xml:space="preserve">(Linked to the JU’s specific objectives in the SBA and the strategy map) </w:t>
            </w:r>
          </w:p>
        </w:tc>
        <w:tc>
          <w:tcPr>
            <w:tcW w:w="0" w:type="auto"/>
          </w:tcPr>
          <w:p w14:paraId="0A240823" w14:textId="77777777" w:rsidR="00061852" w:rsidRPr="00061268" w:rsidRDefault="00061852" w:rsidP="00B7362E">
            <w:pPr>
              <w:spacing w:after="60"/>
              <w:rPr>
                <w:rFonts w:ascii="Times New Roman" w:hAnsi="Times New Roman"/>
              </w:rPr>
            </w:pPr>
            <w:r w:rsidRPr="00061268">
              <w:rPr>
                <w:rFonts w:ascii="Times New Roman" w:hAnsi="Times New Roman"/>
              </w:rPr>
              <w:t>Outcome-1 Limiting the environmental impact of hydrogen technology applications</w:t>
            </w:r>
          </w:p>
          <w:p w14:paraId="2358DA58" w14:textId="77777777" w:rsidR="00061852" w:rsidRPr="00061268" w:rsidRDefault="00061852" w:rsidP="00B7362E">
            <w:pPr>
              <w:spacing w:after="60"/>
              <w:rPr>
                <w:rFonts w:ascii="Times New Roman" w:hAnsi="Times New Roman"/>
              </w:rPr>
            </w:pPr>
          </w:p>
          <w:p w14:paraId="22BD1B37" w14:textId="77777777" w:rsidR="00061852" w:rsidRPr="00061268" w:rsidRDefault="00061852" w:rsidP="00B7362E">
            <w:pPr>
              <w:spacing w:after="60"/>
              <w:rPr>
                <w:rFonts w:ascii="Times New Roman" w:hAnsi="Times New Roman"/>
                <w:i/>
              </w:rPr>
            </w:pPr>
            <w:r w:rsidRPr="00061268">
              <w:rPr>
                <w:rFonts w:ascii="Times New Roman" w:hAnsi="Times New Roman"/>
                <w:i/>
              </w:rPr>
              <w:t>Link with SBA:</w:t>
            </w:r>
          </w:p>
          <w:p w14:paraId="4BC9DE21" w14:textId="77777777" w:rsidR="00061852" w:rsidRPr="00061268" w:rsidRDefault="00061852" w:rsidP="00B7362E">
            <w:pPr>
              <w:spacing w:after="60"/>
              <w:rPr>
                <w:rFonts w:ascii="Times New Roman" w:hAnsi="Times New Roman"/>
                <w:i/>
              </w:rPr>
            </w:pPr>
            <w:r w:rsidRPr="00061268">
              <w:rPr>
                <w:rFonts w:ascii="Times New Roman" w:hAnsi="Times New Roman"/>
                <w:i/>
              </w:rPr>
              <w:t>GO (a)/(b), SO (d)</w:t>
            </w:r>
          </w:p>
          <w:p w14:paraId="1A5B66F7" w14:textId="77777777" w:rsidR="00061852" w:rsidRPr="00061268" w:rsidRDefault="00061852" w:rsidP="00B7362E">
            <w:pPr>
              <w:spacing w:after="60"/>
              <w:rPr>
                <w:rFonts w:ascii="Times New Roman" w:hAnsi="Times New Roman"/>
                <w:i/>
              </w:rPr>
            </w:pPr>
          </w:p>
          <w:p w14:paraId="3F89D671" w14:textId="77777777" w:rsidR="00061852" w:rsidRPr="00061268" w:rsidRDefault="00061852" w:rsidP="00B7362E">
            <w:pPr>
              <w:spacing w:after="60"/>
              <w:rPr>
                <w:rFonts w:ascii="Times New Roman" w:hAnsi="Times New Roman"/>
                <w:i/>
              </w:rPr>
            </w:pPr>
            <w:r w:rsidRPr="00061268">
              <w:rPr>
                <w:rFonts w:ascii="Times New Roman" w:hAnsi="Times New Roman"/>
                <w:i/>
              </w:rPr>
              <w:t>Link with Strategy Map:</w:t>
            </w:r>
          </w:p>
          <w:p w14:paraId="25F4762F" w14:textId="77777777" w:rsidR="00061852" w:rsidRPr="00061268" w:rsidRDefault="00061852" w:rsidP="00B7362E">
            <w:pPr>
              <w:spacing w:after="60"/>
              <w:rPr>
                <w:rFonts w:ascii="Times New Roman" w:hAnsi="Times New Roman"/>
              </w:rPr>
            </w:pPr>
            <w:r w:rsidRPr="00061268">
              <w:rPr>
                <w:rFonts w:ascii="Times New Roman" w:hAnsi="Times New Roman"/>
                <w:i/>
              </w:rPr>
              <w:t>Impact-1</w:t>
            </w:r>
          </w:p>
        </w:tc>
        <w:tc>
          <w:tcPr>
            <w:tcW w:w="0" w:type="auto"/>
          </w:tcPr>
          <w:p w14:paraId="2E66A757" w14:textId="77777777" w:rsidR="00061852" w:rsidRPr="00061268" w:rsidRDefault="00061852" w:rsidP="00B7362E">
            <w:pPr>
              <w:spacing w:after="60"/>
              <w:rPr>
                <w:rFonts w:ascii="Times New Roman" w:hAnsi="Times New Roman"/>
              </w:rPr>
            </w:pPr>
            <w:r w:rsidRPr="00061268">
              <w:rPr>
                <w:rFonts w:ascii="Times New Roman" w:hAnsi="Times New Roman"/>
              </w:rPr>
              <w:t>KPI-7 Use of critical raw materials</w:t>
            </w:r>
          </w:p>
          <w:p w14:paraId="332E8C46" w14:textId="77777777" w:rsidR="00061852" w:rsidRPr="00061268" w:rsidRDefault="00061852" w:rsidP="00B7362E">
            <w:pPr>
              <w:spacing w:after="60"/>
              <w:rPr>
                <w:rFonts w:ascii="Times New Roman" w:hAnsi="Times New Roman"/>
              </w:rPr>
            </w:pPr>
          </w:p>
          <w:p w14:paraId="1BC820D7" w14:textId="77777777" w:rsidR="00061852" w:rsidRPr="00061268" w:rsidRDefault="00061852" w:rsidP="00B7362E">
            <w:pPr>
              <w:spacing w:after="60"/>
              <w:rPr>
                <w:rFonts w:ascii="Times New Roman" w:hAnsi="Times New Roman"/>
                <w:i/>
                <w:iCs/>
              </w:rPr>
            </w:pPr>
            <w:r w:rsidRPr="00061268">
              <w:rPr>
                <w:rFonts w:ascii="Times New Roman" w:hAnsi="Times New Roman"/>
                <w:i/>
                <w:iCs/>
              </w:rPr>
              <w:t>Use of PGMs and CRMs in hydrogen technology applications for projects funded by the JU</w:t>
            </w:r>
          </w:p>
        </w:tc>
        <w:tc>
          <w:tcPr>
            <w:tcW w:w="0" w:type="auto"/>
          </w:tcPr>
          <w:p w14:paraId="67A08F8D" w14:textId="77777777" w:rsidR="00061852" w:rsidRPr="00061268" w:rsidRDefault="00061852" w:rsidP="00B7362E">
            <w:pPr>
              <w:spacing w:after="60"/>
              <w:rPr>
                <w:rFonts w:ascii="Times New Roman" w:hAnsi="Times New Roman"/>
              </w:rPr>
            </w:pPr>
            <w:r w:rsidRPr="00061268">
              <w:rPr>
                <w:rFonts w:ascii="Times New Roman" w:hAnsi="Times New Roman"/>
              </w:rPr>
              <w:t>Data Source: Project data</w:t>
            </w:r>
          </w:p>
          <w:p w14:paraId="15AFFDF3" w14:textId="77777777" w:rsidR="00061852" w:rsidRPr="00061268" w:rsidRDefault="00061852" w:rsidP="00B7362E">
            <w:pPr>
              <w:spacing w:after="60"/>
              <w:rPr>
                <w:rFonts w:ascii="Times New Roman" w:hAnsi="Times New Roman"/>
              </w:rPr>
            </w:pPr>
            <w:r w:rsidRPr="00061268">
              <w:rPr>
                <w:rFonts w:ascii="Times New Roman" w:hAnsi="Times New Roman"/>
              </w:rPr>
              <w:t>Methodology: Decrease in the use of PGMs and CRMs in hydrogen technology applications based on project results.</w:t>
            </w:r>
          </w:p>
          <w:p w14:paraId="1BAE1212" w14:textId="77777777" w:rsidR="00061852" w:rsidRPr="00061268" w:rsidRDefault="00061852" w:rsidP="00B7362E">
            <w:pPr>
              <w:spacing w:after="60"/>
              <w:rPr>
                <w:rFonts w:ascii="Times New Roman" w:hAnsi="Times New Roman"/>
              </w:rPr>
            </w:pPr>
            <w:r w:rsidRPr="00061268">
              <w:rPr>
                <w:rFonts w:ascii="Times New Roman" w:hAnsi="Times New Roman"/>
              </w:rPr>
              <w:t>Measurement Unit: mg/Watt</w:t>
            </w:r>
          </w:p>
          <w:p w14:paraId="7FF7F841" w14:textId="77777777" w:rsidR="00061852" w:rsidRPr="00061268" w:rsidRDefault="00061852" w:rsidP="00B7362E">
            <w:pPr>
              <w:spacing w:after="60"/>
              <w:rPr>
                <w:rFonts w:ascii="Times New Roman" w:hAnsi="Times New Roman"/>
              </w:rPr>
            </w:pPr>
          </w:p>
        </w:tc>
        <w:tc>
          <w:tcPr>
            <w:tcW w:w="0" w:type="auto"/>
            <w:shd w:val="clear" w:color="auto" w:fill="auto"/>
          </w:tcPr>
          <w:p w14:paraId="66FBCCE6" w14:textId="77777777" w:rsidR="00061852" w:rsidRPr="006A013F" w:rsidRDefault="00061852" w:rsidP="00B7362E">
            <w:pPr>
              <w:spacing w:after="60"/>
              <w:jc w:val="center"/>
              <w:rPr>
                <w:rFonts w:ascii="Times New Roman" w:hAnsi="Times New Roman"/>
              </w:rPr>
            </w:pPr>
            <w:r w:rsidRPr="006A013F">
              <w:rPr>
                <w:rFonts w:ascii="Times New Roman" w:hAnsi="Times New Roman"/>
              </w:rPr>
              <w:t>TBD</w:t>
            </w:r>
            <w:bookmarkStart w:id="304" w:name="_Ref90884814"/>
            <w:r w:rsidRPr="006A013F">
              <w:rPr>
                <w:rStyle w:val="FootnoteReference"/>
                <w:rFonts w:ascii="Times New Roman" w:eastAsia="Arial" w:hAnsi="Times New Roman"/>
              </w:rPr>
              <w:footnoteReference w:id="279"/>
            </w:r>
            <w:bookmarkEnd w:id="304"/>
          </w:p>
        </w:tc>
        <w:tc>
          <w:tcPr>
            <w:tcW w:w="0" w:type="auto"/>
            <w:shd w:val="clear" w:color="auto" w:fill="auto"/>
          </w:tcPr>
          <w:p w14:paraId="64F073FC" w14:textId="77777777" w:rsidR="00061852" w:rsidRPr="006A013F" w:rsidRDefault="00061852" w:rsidP="00B7362E">
            <w:pPr>
              <w:spacing w:after="60"/>
              <w:jc w:val="center"/>
              <w:rPr>
                <w:rFonts w:ascii="Times New Roman" w:hAnsi="Times New Roman"/>
              </w:rPr>
            </w:pPr>
            <w:r w:rsidRPr="006A013F">
              <w:rPr>
                <w:rFonts w:ascii="Times New Roman" w:hAnsi="Times New Roman"/>
              </w:rPr>
              <w:t>TBD</w:t>
            </w:r>
          </w:p>
        </w:tc>
        <w:tc>
          <w:tcPr>
            <w:tcW w:w="0" w:type="auto"/>
            <w:shd w:val="clear" w:color="auto" w:fill="auto"/>
          </w:tcPr>
          <w:p w14:paraId="779E81FB" w14:textId="77777777" w:rsidR="00061852" w:rsidRPr="006A013F" w:rsidRDefault="00061852" w:rsidP="00B7362E">
            <w:pPr>
              <w:spacing w:after="60"/>
              <w:jc w:val="center"/>
              <w:rPr>
                <w:rFonts w:ascii="Times New Roman" w:hAnsi="Times New Roman"/>
              </w:rPr>
            </w:pPr>
            <w:r w:rsidRPr="006A013F">
              <w:rPr>
                <w:rFonts w:ascii="Times New Roman" w:hAnsi="Times New Roman"/>
              </w:rPr>
              <w:t>TBD</w:t>
            </w:r>
          </w:p>
        </w:tc>
        <w:tc>
          <w:tcPr>
            <w:tcW w:w="0" w:type="auto"/>
            <w:shd w:val="clear" w:color="auto" w:fill="auto"/>
          </w:tcPr>
          <w:p w14:paraId="16ED688E" w14:textId="77777777" w:rsidR="00061852" w:rsidRPr="006A013F" w:rsidRDefault="00061852" w:rsidP="00B7362E">
            <w:pPr>
              <w:spacing w:after="60"/>
              <w:jc w:val="center"/>
              <w:rPr>
                <w:rFonts w:ascii="Times New Roman" w:hAnsi="Times New Roman"/>
              </w:rPr>
            </w:pPr>
            <w:r w:rsidRPr="006A013F">
              <w:rPr>
                <w:rFonts w:ascii="Times New Roman" w:hAnsi="Times New Roman"/>
              </w:rPr>
              <w:t>TBD</w:t>
            </w:r>
          </w:p>
        </w:tc>
      </w:tr>
      <w:tr w:rsidR="00061852" w:rsidRPr="006A013F" w14:paraId="18BAB02F" w14:textId="77777777" w:rsidTr="00B7362E">
        <w:trPr>
          <w:trHeight w:val="983"/>
        </w:trPr>
        <w:tc>
          <w:tcPr>
            <w:tcW w:w="0" w:type="auto"/>
            <w:vMerge/>
          </w:tcPr>
          <w:p w14:paraId="630E297F" w14:textId="77777777" w:rsidR="00061852" w:rsidRPr="00061268" w:rsidRDefault="00061852" w:rsidP="00B7362E">
            <w:pPr>
              <w:spacing w:after="60"/>
              <w:rPr>
                <w:rFonts w:ascii="Times New Roman" w:hAnsi="Times New Roman"/>
                <w:b/>
              </w:rPr>
            </w:pPr>
          </w:p>
        </w:tc>
        <w:tc>
          <w:tcPr>
            <w:tcW w:w="0" w:type="auto"/>
            <w:vMerge w:val="restart"/>
          </w:tcPr>
          <w:p w14:paraId="315AD12B" w14:textId="77777777" w:rsidR="00061852" w:rsidRPr="00061268" w:rsidRDefault="00061852" w:rsidP="00B7362E">
            <w:pPr>
              <w:spacing w:after="60"/>
              <w:rPr>
                <w:rFonts w:ascii="Times New Roman" w:hAnsi="Times New Roman"/>
              </w:rPr>
            </w:pPr>
            <w:r w:rsidRPr="00061268">
              <w:rPr>
                <w:rFonts w:ascii="Times New Roman" w:hAnsi="Times New Roman"/>
              </w:rPr>
              <w:t>Outcome-2 Improving the cost-effectiveness of clean hydrogen solutions</w:t>
            </w:r>
          </w:p>
          <w:p w14:paraId="041724E8" w14:textId="77777777" w:rsidR="00061852" w:rsidRPr="00061268" w:rsidRDefault="00061852" w:rsidP="00B7362E">
            <w:pPr>
              <w:spacing w:after="60"/>
              <w:rPr>
                <w:rFonts w:ascii="Times New Roman" w:hAnsi="Times New Roman"/>
              </w:rPr>
            </w:pPr>
          </w:p>
          <w:p w14:paraId="06EF9A4C" w14:textId="77777777" w:rsidR="00061852" w:rsidRPr="00061268" w:rsidRDefault="00061852" w:rsidP="00B7362E">
            <w:pPr>
              <w:spacing w:after="60"/>
              <w:rPr>
                <w:rFonts w:ascii="Times New Roman" w:hAnsi="Times New Roman"/>
                <w:i/>
              </w:rPr>
            </w:pPr>
            <w:r w:rsidRPr="00061268">
              <w:rPr>
                <w:rFonts w:ascii="Times New Roman" w:hAnsi="Times New Roman"/>
                <w:i/>
              </w:rPr>
              <w:t>Link with SBA:</w:t>
            </w:r>
          </w:p>
          <w:p w14:paraId="30FF0A0F" w14:textId="77777777" w:rsidR="00061852" w:rsidRPr="00061268" w:rsidRDefault="00061852" w:rsidP="00B7362E">
            <w:pPr>
              <w:spacing w:after="60"/>
              <w:rPr>
                <w:rFonts w:ascii="Times New Roman" w:hAnsi="Times New Roman"/>
                <w:i/>
              </w:rPr>
            </w:pPr>
            <w:r w:rsidRPr="00061268">
              <w:rPr>
                <w:rFonts w:ascii="Times New Roman" w:hAnsi="Times New Roman"/>
                <w:i/>
              </w:rPr>
              <w:t>GO (b)/(c), SO (a)/(d)</w:t>
            </w:r>
          </w:p>
          <w:p w14:paraId="4331C0FC" w14:textId="77777777" w:rsidR="00061852" w:rsidRPr="00061268" w:rsidRDefault="00061852" w:rsidP="00B7362E">
            <w:pPr>
              <w:spacing w:after="60"/>
              <w:rPr>
                <w:rFonts w:ascii="Times New Roman" w:hAnsi="Times New Roman"/>
                <w:i/>
              </w:rPr>
            </w:pPr>
          </w:p>
          <w:p w14:paraId="66C54DB9" w14:textId="77777777" w:rsidR="00061852" w:rsidRPr="00061268" w:rsidRDefault="00061852" w:rsidP="00B7362E">
            <w:pPr>
              <w:spacing w:after="60"/>
              <w:rPr>
                <w:rFonts w:ascii="Times New Roman" w:hAnsi="Times New Roman"/>
                <w:i/>
              </w:rPr>
            </w:pPr>
            <w:r w:rsidRPr="00061268">
              <w:rPr>
                <w:rFonts w:ascii="Times New Roman" w:hAnsi="Times New Roman"/>
                <w:i/>
              </w:rPr>
              <w:t>Link with Strategy Map:</w:t>
            </w:r>
          </w:p>
          <w:p w14:paraId="3A43ABAB" w14:textId="77777777" w:rsidR="00061852" w:rsidRPr="00061268" w:rsidRDefault="00061852" w:rsidP="00B7362E">
            <w:pPr>
              <w:spacing w:after="60"/>
              <w:rPr>
                <w:rFonts w:ascii="Times New Roman" w:hAnsi="Times New Roman"/>
              </w:rPr>
            </w:pPr>
            <w:r w:rsidRPr="00061268">
              <w:rPr>
                <w:rFonts w:ascii="Times New Roman" w:hAnsi="Times New Roman"/>
                <w:i/>
              </w:rPr>
              <w:t>Impact-2, Impact-3</w:t>
            </w:r>
          </w:p>
          <w:p w14:paraId="511D8374" w14:textId="77777777" w:rsidR="00061852" w:rsidRPr="00061268" w:rsidRDefault="00061852" w:rsidP="00B7362E">
            <w:pPr>
              <w:spacing w:after="60"/>
              <w:rPr>
                <w:rFonts w:ascii="Times New Roman" w:hAnsi="Times New Roman"/>
              </w:rPr>
            </w:pPr>
          </w:p>
        </w:tc>
        <w:tc>
          <w:tcPr>
            <w:tcW w:w="0" w:type="auto"/>
          </w:tcPr>
          <w:p w14:paraId="7448EC27" w14:textId="77777777" w:rsidR="00061852" w:rsidRPr="00061268" w:rsidRDefault="00061852" w:rsidP="00B7362E">
            <w:pPr>
              <w:spacing w:after="60"/>
              <w:rPr>
                <w:rFonts w:ascii="Times New Roman" w:hAnsi="Times New Roman"/>
              </w:rPr>
            </w:pPr>
            <w:r w:rsidRPr="00061268">
              <w:rPr>
                <w:rFonts w:ascii="Times New Roman" w:hAnsi="Times New Roman"/>
              </w:rPr>
              <w:t xml:space="preserve">KPI-8a Capital cost of electrolysers </w:t>
            </w:r>
          </w:p>
          <w:p w14:paraId="2C988D67" w14:textId="77777777" w:rsidR="00061852" w:rsidRPr="00061268" w:rsidRDefault="00061852" w:rsidP="00B7362E">
            <w:pPr>
              <w:spacing w:after="60"/>
              <w:rPr>
                <w:rFonts w:ascii="Times New Roman" w:hAnsi="Times New Roman"/>
              </w:rPr>
            </w:pPr>
          </w:p>
          <w:p w14:paraId="73757E5C" w14:textId="77777777" w:rsidR="00061852" w:rsidRPr="00061268" w:rsidRDefault="00061852" w:rsidP="00B7362E">
            <w:pPr>
              <w:spacing w:after="60"/>
              <w:rPr>
                <w:rFonts w:ascii="Times New Roman" w:hAnsi="Times New Roman"/>
              </w:rPr>
            </w:pPr>
            <w:r w:rsidRPr="00061268">
              <w:rPr>
                <w:rFonts w:ascii="Times New Roman" w:hAnsi="Times New Roman"/>
                <w:i/>
                <w:iCs/>
              </w:rPr>
              <w:t>For selected technologies, based on projects funded by the JU</w:t>
            </w:r>
          </w:p>
        </w:tc>
        <w:tc>
          <w:tcPr>
            <w:tcW w:w="0" w:type="auto"/>
          </w:tcPr>
          <w:p w14:paraId="7D7D765F" w14:textId="77777777" w:rsidR="00061852" w:rsidRPr="00061268" w:rsidRDefault="00061852" w:rsidP="00B7362E">
            <w:pPr>
              <w:spacing w:after="60"/>
              <w:rPr>
                <w:rFonts w:ascii="Times New Roman" w:hAnsi="Times New Roman"/>
              </w:rPr>
            </w:pPr>
            <w:r w:rsidRPr="00061268">
              <w:rPr>
                <w:rFonts w:ascii="Times New Roman" w:hAnsi="Times New Roman"/>
              </w:rPr>
              <w:t>Data Source: Project data</w:t>
            </w:r>
          </w:p>
          <w:p w14:paraId="51330A87" w14:textId="77777777" w:rsidR="00061852" w:rsidRPr="00061268" w:rsidRDefault="00061852" w:rsidP="00B7362E">
            <w:pPr>
              <w:spacing w:after="60"/>
              <w:rPr>
                <w:rFonts w:ascii="Times New Roman" w:hAnsi="Times New Roman"/>
              </w:rPr>
            </w:pPr>
            <w:r w:rsidRPr="00061268">
              <w:rPr>
                <w:rFonts w:ascii="Times New Roman" w:hAnsi="Times New Roman"/>
              </w:rPr>
              <w:t xml:space="preserve">Methodology: </w:t>
            </w:r>
            <w:r>
              <w:rPr>
                <w:rFonts w:ascii="Times New Roman" w:hAnsi="Times New Roman"/>
              </w:rPr>
              <w:t>C</w:t>
            </w:r>
            <w:r w:rsidRPr="00061268">
              <w:rPr>
                <w:rFonts w:ascii="Times New Roman" w:hAnsi="Times New Roman"/>
              </w:rPr>
              <w:t>apital cost for all relevant technologies, based on project results.</w:t>
            </w:r>
          </w:p>
          <w:p w14:paraId="2E27CC2A" w14:textId="77777777" w:rsidR="00061852" w:rsidRPr="00061268" w:rsidRDefault="00061852" w:rsidP="00B7362E">
            <w:pPr>
              <w:spacing w:after="60"/>
              <w:rPr>
                <w:rFonts w:ascii="Times New Roman" w:hAnsi="Times New Roman"/>
              </w:rPr>
            </w:pPr>
            <w:r w:rsidRPr="00061268">
              <w:rPr>
                <w:rFonts w:ascii="Times New Roman" w:hAnsi="Times New Roman"/>
              </w:rPr>
              <w:t>Measurement Unit: €/kW</w:t>
            </w:r>
          </w:p>
          <w:p w14:paraId="47D0290B" w14:textId="77777777" w:rsidR="00061852" w:rsidRPr="00061268" w:rsidRDefault="00061852" w:rsidP="00B7362E">
            <w:pPr>
              <w:spacing w:after="60"/>
              <w:rPr>
                <w:rFonts w:ascii="Times New Roman" w:hAnsi="Times New Roman"/>
              </w:rPr>
            </w:pPr>
          </w:p>
        </w:tc>
        <w:tc>
          <w:tcPr>
            <w:tcW w:w="0" w:type="auto"/>
            <w:shd w:val="clear" w:color="auto" w:fill="auto"/>
          </w:tcPr>
          <w:p w14:paraId="17C37745" w14:textId="77777777" w:rsidR="00061852" w:rsidRPr="006A013F" w:rsidRDefault="00061852" w:rsidP="00B7362E">
            <w:pPr>
              <w:spacing w:after="60"/>
              <w:jc w:val="center"/>
              <w:rPr>
                <w:rFonts w:ascii="Times New Roman" w:hAnsi="Times New Roman"/>
              </w:rPr>
            </w:pPr>
            <w:r w:rsidRPr="006A013F">
              <w:rPr>
                <w:rFonts w:ascii="Times New Roman" w:hAnsi="Times New Roman"/>
              </w:rPr>
              <w:t>TBD</w:t>
            </w:r>
            <w:r w:rsidRPr="006A013F">
              <w:rPr>
                <w:rFonts w:ascii="Times New Roman" w:hAnsi="Times New Roman"/>
                <w:vertAlign w:val="superscript"/>
              </w:rPr>
              <w:fldChar w:fldCharType="begin"/>
            </w:r>
            <w:r w:rsidRPr="006A013F">
              <w:rPr>
                <w:rFonts w:ascii="Times New Roman" w:hAnsi="Times New Roman"/>
                <w:vertAlign w:val="superscript"/>
              </w:rPr>
              <w:instrText xml:space="preserve"> NOTEREF _Ref90884814 \h  \* MERGEFORMAT </w:instrText>
            </w:r>
            <w:r w:rsidRPr="006A013F">
              <w:rPr>
                <w:rFonts w:ascii="Times New Roman" w:hAnsi="Times New Roman"/>
                <w:vertAlign w:val="superscript"/>
              </w:rPr>
            </w:r>
            <w:r w:rsidRPr="006A013F">
              <w:rPr>
                <w:rFonts w:ascii="Times New Roman" w:hAnsi="Times New Roman"/>
                <w:vertAlign w:val="superscript"/>
              </w:rPr>
              <w:fldChar w:fldCharType="separate"/>
            </w:r>
            <w:r>
              <w:rPr>
                <w:rFonts w:ascii="Times New Roman" w:hAnsi="Times New Roman"/>
                <w:vertAlign w:val="superscript"/>
              </w:rPr>
              <w:t>5</w:t>
            </w:r>
            <w:r w:rsidRPr="006A013F">
              <w:rPr>
                <w:rFonts w:ascii="Times New Roman" w:hAnsi="Times New Roman"/>
                <w:vertAlign w:val="superscript"/>
              </w:rPr>
              <w:fldChar w:fldCharType="end"/>
            </w:r>
          </w:p>
        </w:tc>
        <w:tc>
          <w:tcPr>
            <w:tcW w:w="0" w:type="auto"/>
            <w:shd w:val="clear" w:color="auto" w:fill="auto"/>
          </w:tcPr>
          <w:p w14:paraId="40C3579A" w14:textId="77777777" w:rsidR="00061852" w:rsidRPr="006A013F" w:rsidRDefault="00061852" w:rsidP="00B7362E">
            <w:pPr>
              <w:spacing w:after="60"/>
              <w:jc w:val="center"/>
              <w:rPr>
                <w:rFonts w:ascii="Times New Roman" w:hAnsi="Times New Roman"/>
              </w:rPr>
            </w:pPr>
            <w:r w:rsidRPr="006A013F">
              <w:rPr>
                <w:rFonts w:ascii="Times New Roman" w:hAnsi="Times New Roman"/>
              </w:rPr>
              <w:t>TBD</w:t>
            </w:r>
          </w:p>
        </w:tc>
        <w:tc>
          <w:tcPr>
            <w:tcW w:w="0" w:type="auto"/>
            <w:shd w:val="clear" w:color="auto" w:fill="auto"/>
          </w:tcPr>
          <w:p w14:paraId="21047801" w14:textId="77777777" w:rsidR="00061852" w:rsidRPr="006A013F" w:rsidRDefault="00061852" w:rsidP="00B7362E">
            <w:pPr>
              <w:spacing w:after="60"/>
              <w:jc w:val="center"/>
              <w:rPr>
                <w:rFonts w:ascii="Times New Roman" w:hAnsi="Times New Roman"/>
              </w:rPr>
            </w:pPr>
            <w:r w:rsidRPr="006A013F">
              <w:rPr>
                <w:rFonts w:ascii="Times New Roman" w:hAnsi="Times New Roman"/>
              </w:rPr>
              <w:t>TBD</w:t>
            </w:r>
          </w:p>
        </w:tc>
        <w:tc>
          <w:tcPr>
            <w:tcW w:w="0" w:type="auto"/>
            <w:shd w:val="clear" w:color="auto" w:fill="auto"/>
          </w:tcPr>
          <w:p w14:paraId="437C75A9" w14:textId="77777777" w:rsidR="00061852" w:rsidRPr="006A013F" w:rsidRDefault="00061852" w:rsidP="00B7362E">
            <w:pPr>
              <w:spacing w:after="60"/>
              <w:jc w:val="center"/>
              <w:rPr>
                <w:rFonts w:ascii="Times New Roman" w:hAnsi="Times New Roman"/>
              </w:rPr>
            </w:pPr>
            <w:r w:rsidRPr="006A013F">
              <w:rPr>
                <w:rFonts w:ascii="Times New Roman" w:hAnsi="Times New Roman"/>
              </w:rPr>
              <w:t>TBD</w:t>
            </w:r>
          </w:p>
        </w:tc>
      </w:tr>
      <w:tr w:rsidR="00061852" w:rsidRPr="006A013F" w14:paraId="10043107" w14:textId="77777777" w:rsidTr="00B7362E">
        <w:trPr>
          <w:trHeight w:val="3010"/>
        </w:trPr>
        <w:tc>
          <w:tcPr>
            <w:tcW w:w="0" w:type="auto"/>
            <w:vMerge/>
          </w:tcPr>
          <w:p w14:paraId="4D05C21B" w14:textId="77777777" w:rsidR="00061852" w:rsidRPr="00061268" w:rsidRDefault="00061852" w:rsidP="00B7362E">
            <w:pPr>
              <w:spacing w:after="60"/>
              <w:rPr>
                <w:rFonts w:ascii="Times New Roman" w:hAnsi="Times New Roman"/>
                <w:b/>
              </w:rPr>
            </w:pPr>
          </w:p>
        </w:tc>
        <w:tc>
          <w:tcPr>
            <w:tcW w:w="0" w:type="auto"/>
            <w:vMerge/>
          </w:tcPr>
          <w:p w14:paraId="70F46723" w14:textId="77777777" w:rsidR="00061852" w:rsidRPr="00061268" w:rsidRDefault="00061852" w:rsidP="00B7362E">
            <w:pPr>
              <w:spacing w:after="60"/>
              <w:rPr>
                <w:rFonts w:ascii="Times New Roman" w:hAnsi="Times New Roman"/>
                <w:highlight w:val="yellow"/>
              </w:rPr>
            </w:pPr>
          </w:p>
        </w:tc>
        <w:tc>
          <w:tcPr>
            <w:tcW w:w="0" w:type="auto"/>
          </w:tcPr>
          <w:p w14:paraId="6B25A80B" w14:textId="77777777" w:rsidR="00061852" w:rsidRPr="00061268" w:rsidRDefault="00061852" w:rsidP="00B7362E">
            <w:pPr>
              <w:spacing w:after="60"/>
              <w:rPr>
                <w:rFonts w:ascii="Times New Roman" w:hAnsi="Times New Roman"/>
              </w:rPr>
            </w:pPr>
            <w:r w:rsidRPr="00061268">
              <w:rPr>
                <w:rFonts w:ascii="Times New Roman" w:hAnsi="Times New Roman"/>
              </w:rPr>
              <w:t xml:space="preserve">KPI-8b Capital cost of </w:t>
            </w:r>
            <w:r>
              <w:rPr>
                <w:rFonts w:ascii="Times New Roman" w:hAnsi="Times New Roman"/>
              </w:rPr>
              <w:t>h</w:t>
            </w:r>
            <w:r w:rsidRPr="00061268">
              <w:rPr>
                <w:rFonts w:ascii="Times New Roman" w:hAnsi="Times New Roman"/>
              </w:rPr>
              <w:t xml:space="preserve">eavy </w:t>
            </w:r>
            <w:r>
              <w:rPr>
                <w:rFonts w:ascii="Times New Roman" w:hAnsi="Times New Roman"/>
              </w:rPr>
              <w:t>d</w:t>
            </w:r>
            <w:r w:rsidRPr="00061268">
              <w:rPr>
                <w:rFonts w:ascii="Times New Roman" w:hAnsi="Times New Roman"/>
              </w:rPr>
              <w:t xml:space="preserve">uty </w:t>
            </w:r>
            <w:r>
              <w:rPr>
                <w:rFonts w:ascii="Times New Roman" w:hAnsi="Times New Roman"/>
              </w:rPr>
              <w:t>t</w:t>
            </w:r>
            <w:r w:rsidRPr="00061268">
              <w:rPr>
                <w:rFonts w:ascii="Times New Roman" w:hAnsi="Times New Roman"/>
              </w:rPr>
              <w:t xml:space="preserve">ransport </w:t>
            </w:r>
            <w:r>
              <w:rPr>
                <w:rFonts w:ascii="Times New Roman" w:hAnsi="Times New Roman"/>
              </w:rPr>
              <w:t>a</w:t>
            </w:r>
            <w:r w:rsidRPr="00061268">
              <w:rPr>
                <w:rFonts w:ascii="Times New Roman" w:hAnsi="Times New Roman"/>
              </w:rPr>
              <w:t xml:space="preserve">pplications </w:t>
            </w:r>
          </w:p>
          <w:p w14:paraId="1EAC916E" w14:textId="77777777" w:rsidR="00061852" w:rsidRPr="00061268" w:rsidRDefault="00061852" w:rsidP="00B7362E">
            <w:pPr>
              <w:spacing w:after="60"/>
              <w:rPr>
                <w:rFonts w:ascii="Times New Roman" w:hAnsi="Times New Roman"/>
              </w:rPr>
            </w:pPr>
          </w:p>
          <w:p w14:paraId="5D53DDEF" w14:textId="77777777" w:rsidR="00061852" w:rsidRPr="00061268" w:rsidRDefault="00061852" w:rsidP="00B7362E">
            <w:pPr>
              <w:spacing w:after="60"/>
              <w:rPr>
                <w:rFonts w:ascii="Times New Roman" w:hAnsi="Times New Roman"/>
                <w:i/>
                <w:iCs/>
              </w:rPr>
            </w:pPr>
            <w:r w:rsidRPr="00061268">
              <w:rPr>
                <w:rFonts w:ascii="Times New Roman" w:hAnsi="Times New Roman"/>
                <w:i/>
                <w:iCs/>
              </w:rPr>
              <w:t>For selected transport applications, based on projects funded by the JU.</w:t>
            </w:r>
          </w:p>
        </w:tc>
        <w:tc>
          <w:tcPr>
            <w:tcW w:w="0" w:type="auto"/>
          </w:tcPr>
          <w:p w14:paraId="757603C5" w14:textId="77777777" w:rsidR="00061852" w:rsidRPr="00061268" w:rsidRDefault="00061852" w:rsidP="00B7362E">
            <w:pPr>
              <w:spacing w:after="60"/>
              <w:rPr>
                <w:rFonts w:ascii="Times New Roman" w:hAnsi="Times New Roman"/>
              </w:rPr>
            </w:pPr>
            <w:r w:rsidRPr="00061268">
              <w:rPr>
                <w:rFonts w:ascii="Times New Roman" w:hAnsi="Times New Roman"/>
              </w:rPr>
              <w:t>Data Source: Project data</w:t>
            </w:r>
          </w:p>
          <w:p w14:paraId="4B7B96A0" w14:textId="77777777" w:rsidR="00061852" w:rsidRPr="00061268" w:rsidRDefault="00061852" w:rsidP="00B7362E">
            <w:pPr>
              <w:spacing w:after="60"/>
              <w:rPr>
                <w:rFonts w:ascii="Times New Roman" w:hAnsi="Times New Roman"/>
              </w:rPr>
            </w:pPr>
            <w:r w:rsidRPr="00061268">
              <w:rPr>
                <w:rFonts w:ascii="Times New Roman" w:hAnsi="Times New Roman"/>
              </w:rPr>
              <w:t xml:space="preserve">Methodology: </w:t>
            </w:r>
            <w:r>
              <w:rPr>
                <w:rFonts w:ascii="Times New Roman" w:hAnsi="Times New Roman"/>
              </w:rPr>
              <w:t>C</w:t>
            </w:r>
            <w:r w:rsidRPr="00061268">
              <w:rPr>
                <w:rFonts w:ascii="Times New Roman" w:hAnsi="Times New Roman"/>
              </w:rPr>
              <w:t>apital cost for all relevant applications, based on project results.</w:t>
            </w:r>
          </w:p>
          <w:p w14:paraId="5F4E4DEB" w14:textId="77777777" w:rsidR="00061852" w:rsidRPr="00061268" w:rsidRDefault="00061852" w:rsidP="00B7362E">
            <w:pPr>
              <w:spacing w:after="60"/>
              <w:rPr>
                <w:rFonts w:ascii="Times New Roman" w:hAnsi="Times New Roman"/>
              </w:rPr>
            </w:pPr>
            <w:r w:rsidRPr="00061268">
              <w:rPr>
                <w:rFonts w:ascii="Times New Roman" w:hAnsi="Times New Roman"/>
              </w:rPr>
              <w:t>Measurement Unit: €/kW</w:t>
            </w:r>
          </w:p>
          <w:p w14:paraId="5A100962" w14:textId="77777777" w:rsidR="00061852" w:rsidRPr="00061268" w:rsidRDefault="00061852" w:rsidP="00B7362E">
            <w:pPr>
              <w:spacing w:after="60"/>
              <w:rPr>
                <w:rFonts w:ascii="Times New Roman" w:hAnsi="Times New Roman"/>
              </w:rPr>
            </w:pPr>
          </w:p>
        </w:tc>
        <w:tc>
          <w:tcPr>
            <w:tcW w:w="0" w:type="auto"/>
            <w:shd w:val="clear" w:color="auto" w:fill="auto"/>
          </w:tcPr>
          <w:p w14:paraId="3444ECB6" w14:textId="77777777" w:rsidR="00061852" w:rsidRPr="006A013F" w:rsidRDefault="00061852" w:rsidP="00B7362E">
            <w:pPr>
              <w:spacing w:after="60"/>
              <w:jc w:val="center"/>
              <w:rPr>
                <w:rFonts w:ascii="Times New Roman" w:hAnsi="Times New Roman"/>
              </w:rPr>
            </w:pPr>
            <w:r w:rsidRPr="006A013F">
              <w:rPr>
                <w:rFonts w:ascii="Times New Roman" w:hAnsi="Times New Roman"/>
              </w:rPr>
              <w:t>TBD</w:t>
            </w:r>
            <w:r w:rsidRPr="006A013F">
              <w:rPr>
                <w:rFonts w:ascii="Times New Roman" w:hAnsi="Times New Roman"/>
                <w:vertAlign w:val="superscript"/>
              </w:rPr>
              <w:fldChar w:fldCharType="begin"/>
            </w:r>
            <w:r w:rsidRPr="006A013F">
              <w:rPr>
                <w:rFonts w:ascii="Times New Roman" w:hAnsi="Times New Roman"/>
                <w:vertAlign w:val="superscript"/>
              </w:rPr>
              <w:instrText xml:space="preserve"> NOTEREF _Ref90884814 \h  \* MERGEFORMAT </w:instrText>
            </w:r>
            <w:r w:rsidRPr="006A013F">
              <w:rPr>
                <w:rFonts w:ascii="Times New Roman" w:hAnsi="Times New Roman"/>
                <w:vertAlign w:val="superscript"/>
              </w:rPr>
            </w:r>
            <w:r w:rsidRPr="006A013F">
              <w:rPr>
                <w:rFonts w:ascii="Times New Roman" w:hAnsi="Times New Roman"/>
                <w:vertAlign w:val="superscript"/>
              </w:rPr>
              <w:fldChar w:fldCharType="separate"/>
            </w:r>
            <w:r>
              <w:rPr>
                <w:rFonts w:ascii="Times New Roman" w:hAnsi="Times New Roman"/>
                <w:vertAlign w:val="superscript"/>
              </w:rPr>
              <w:t>5</w:t>
            </w:r>
            <w:r w:rsidRPr="006A013F">
              <w:rPr>
                <w:rFonts w:ascii="Times New Roman" w:hAnsi="Times New Roman"/>
                <w:vertAlign w:val="superscript"/>
              </w:rPr>
              <w:fldChar w:fldCharType="end"/>
            </w:r>
          </w:p>
        </w:tc>
        <w:tc>
          <w:tcPr>
            <w:tcW w:w="0" w:type="auto"/>
            <w:shd w:val="clear" w:color="auto" w:fill="auto"/>
          </w:tcPr>
          <w:p w14:paraId="5339E279" w14:textId="77777777" w:rsidR="00061852" w:rsidRPr="006A013F" w:rsidRDefault="00061852" w:rsidP="00B7362E">
            <w:pPr>
              <w:spacing w:after="60"/>
              <w:jc w:val="center"/>
              <w:rPr>
                <w:rFonts w:ascii="Times New Roman" w:hAnsi="Times New Roman"/>
              </w:rPr>
            </w:pPr>
            <w:r w:rsidRPr="006A013F">
              <w:rPr>
                <w:rFonts w:ascii="Times New Roman" w:hAnsi="Times New Roman"/>
              </w:rPr>
              <w:t>TBD</w:t>
            </w:r>
          </w:p>
        </w:tc>
        <w:tc>
          <w:tcPr>
            <w:tcW w:w="0" w:type="auto"/>
            <w:shd w:val="clear" w:color="auto" w:fill="auto"/>
          </w:tcPr>
          <w:p w14:paraId="6EB22C6C" w14:textId="77777777" w:rsidR="00061852" w:rsidRPr="006A013F" w:rsidRDefault="00061852" w:rsidP="00B7362E">
            <w:pPr>
              <w:spacing w:after="60"/>
              <w:jc w:val="center"/>
              <w:rPr>
                <w:rFonts w:ascii="Times New Roman" w:hAnsi="Times New Roman"/>
              </w:rPr>
            </w:pPr>
            <w:r w:rsidRPr="006A013F">
              <w:rPr>
                <w:rFonts w:ascii="Times New Roman" w:hAnsi="Times New Roman"/>
              </w:rPr>
              <w:t>TBD</w:t>
            </w:r>
          </w:p>
        </w:tc>
        <w:tc>
          <w:tcPr>
            <w:tcW w:w="0" w:type="auto"/>
            <w:shd w:val="clear" w:color="auto" w:fill="auto"/>
          </w:tcPr>
          <w:p w14:paraId="445F1DBA" w14:textId="77777777" w:rsidR="00061852" w:rsidRPr="006A013F" w:rsidRDefault="00061852" w:rsidP="00B7362E">
            <w:pPr>
              <w:spacing w:after="60"/>
              <w:jc w:val="center"/>
              <w:rPr>
                <w:rFonts w:ascii="Times New Roman" w:hAnsi="Times New Roman"/>
              </w:rPr>
            </w:pPr>
            <w:r w:rsidRPr="006A013F">
              <w:rPr>
                <w:rFonts w:ascii="Times New Roman" w:hAnsi="Times New Roman"/>
              </w:rPr>
              <w:t>TBD</w:t>
            </w:r>
          </w:p>
        </w:tc>
      </w:tr>
      <w:tr w:rsidR="00061852" w:rsidRPr="006A013F" w14:paraId="2D96F5E4" w14:textId="77777777" w:rsidTr="00B7362E">
        <w:trPr>
          <w:trHeight w:val="2117"/>
        </w:trPr>
        <w:tc>
          <w:tcPr>
            <w:tcW w:w="0" w:type="auto"/>
            <w:vMerge/>
          </w:tcPr>
          <w:p w14:paraId="0BD9A5D3" w14:textId="77777777" w:rsidR="00061852" w:rsidRPr="00061268" w:rsidRDefault="00061852" w:rsidP="00B7362E">
            <w:pPr>
              <w:spacing w:after="60"/>
              <w:rPr>
                <w:rFonts w:ascii="Times New Roman" w:hAnsi="Times New Roman"/>
                <w:b/>
              </w:rPr>
            </w:pPr>
          </w:p>
        </w:tc>
        <w:tc>
          <w:tcPr>
            <w:tcW w:w="0" w:type="auto"/>
            <w:shd w:val="clear" w:color="auto" w:fill="auto"/>
          </w:tcPr>
          <w:p w14:paraId="37BB3FAF" w14:textId="77777777" w:rsidR="00061852" w:rsidRPr="00061268" w:rsidRDefault="00061852" w:rsidP="00B7362E">
            <w:pPr>
              <w:spacing w:after="60"/>
              <w:rPr>
                <w:rFonts w:ascii="Times New Roman" w:hAnsi="Times New Roman"/>
              </w:rPr>
            </w:pPr>
            <w:r w:rsidRPr="00061268">
              <w:rPr>
                <w:rFonts w:ascii="Times New Roman" w:hAnsi="Times New Roman"/>
              </w:rPr>
              <w:t>Outcome-3 Demonstrating clean hydrogen solutions, in synergy with other Partnerships</w:t>
            </w:r>
          </w:p>
          <w:p w14:paraId="2586E09C" w14:textId="77777777" w:rsidR="00061852" w:rsidRPr="00061268" w:rsidRDefault="00061852" w:rsidP="00B7362E">
            <w:pPr>
              <w:spacing w:after="60"/>
              <w:rPr>
                <w:rFonts w:ascii="Times New Roman" w:hAnsi="Times New Roman"/>
                <w:i/>
              </w:rPr>
            </w:pPr>
          </w:p>
          <w:p w14:paraId="426397D0" w14:textId="77777777" w:rsidR="00061852" w:rsidRPr="00061268" w:rsidRDefault="00061852" w:rsidP="00B7362E">
            <w:pPr>
              <w:spacing w:after="60"/>
              <w:rPr>
                <w:rFonts w:ascii="Times New Roman" w:hAnsi="Times New Roman"/>
                <w:i/>
              </w:rPr>
            </w:pPr>
            <w:r w:rsidRPr="00061268">
              <w:rPr>
                <w:rFonts w:ascii="Times New Roman" w:hAnsi="Times New Roman"/>
                <w:i/>
              </w:rPr>
              <w:t>Link with SBA:</w:t>
            </w:r>
          </w:p>
          <w:p w14:paraId="01C3E9EC" w14:textId="77777777" w:rsidR="00061852" w:rsidRPr="00061268" w:rsidRDefault="00061852" w:rsidP="00B7362E">
            <w:pPr>
              <w:spacing w:after="60"/>
              <w:rPr>
                <w:rFonts w:ascii="Times New Roman" w:hAnsi="Times New Roman"/>
                <w:i/>
              </w:rPr>
            </w:pPr>
            <w:r w:rsidRPr="00061268">
              <w:rPr>
                <w:rFonts w:ascii="Times New Roman" w:hAnsi="Times New Roman"/>
                <w:i/>
              </w:rPr>
              <w:t>GO (b)/(d), SO (c)</w:t>
            </w:r>
          </w:p>
          <w:p w14:paraId="53F1B0AA" w14:textId="77777777" w:rsidR="00061852" w:rsidRPr="00061268" w:rsidRDefault="00061852" w:rsidP="00B7362E">
            <w:pPr>
              <w:spacing w:after="60"/>
              <w:rPr>
                <w:rFonts w:ascii="Times New Roman" w:hAnsi="Times New Roman"/>
                <w:i/>
              </w:rPr>
            </w:pPr>
          </w:p>
          <w:p w14:paraId="7A1350DC" w14:textId="77777777" w:rsidR="00061852" w:rsidRPr="00061268" w:rsidRDefault="00061852" w:rsidP="00B7362E">
            <w:pPr>
              <w:spacing w:after="60"/>
              <w:rPr>
                <w:rFonts w:ascii="Times New Roman" w:hAnsi="Times New Roman"/>
                <w:i/>
              </w:rPr>
            </w:pPr>
            <w:r w:rsidRPr="00061268">
              <w:rPr>
                <w:rFonts w:ascii="Times New Roman" w:hAnsi="Times New Roman"/>
                <w:i/>
              </w:rPr>
              <w:t>Link with Strategy Map:</w:t>
            </w:r>
          </w:p>
          <w:p w14:paraId="5211F65E" w14:textId="77777777" w:rsidR="00061852" w:rsidRPr="00061268" w:rsidRDefault="00061852" w:rsidP="00B7362E">
            <w:pPr>
              <w:spacing w:after="60"/>
              <w:rPr>
                <w:rFonts w:ascii="Times New Roman" w:hAnsi="Times New Roman"/>
              </w:rPr>
            </w:pPr>
            <w:r w:rsidRPr="00061268">
              <w:rPr>
                <w:rFonts w:ascii="Times New Roman" w:hAnsi="Times New Roman"/>
                <w:i/>
              </w:rPr>
              <w:t>Impact-2</w:t>
            </w:r>
          </w:p>
        </w:tc>
        <w:tc>
          <w:tcPr>
            <w:tcW w:w="0" w:type="auto"/>
            <w:shd w:val="clear" w:color="auto" w:fill="auto"/>
          </w:tcPr>
          <w:p w14:paraId="1625441A" w14:textId="77777777" w:rsidR="00061852" w:rsidRPr="00061268" w:rsidRDefault="00061852" w:rsidP="00B7362E">
            <w:pPr>
              <w:spacing w:after="60"/>
              <w:rPr>
                <w:rFonts w:ascii="Times New Roman" w:hAnsi="Times New Roman"/>
              </w:rPr>
            </w:pPr>
            <w:r w:rsidRPr="00061268">
              <w:rPr>
                <w:rFonts w:ascii="Times New Roman" w:hAnsi="Times New Roman"/>
              </w:rPr>
              <w:t>KPI-9 Research and Innovation Synergies</w:t>
            </w:r>
          </w:p>
          <w:p w14:paraId="2EB245A8" w14:textId="77777777" w:rsidR="00061852" w:rsidRPr="00061268" w:rsidRDefault="00061852" w:rsidP="00B7362E">
            <w:pPr>
              <w:spacing w:after="60"/>
              <w:rPr>
                <w:rFonts w:ascii="Times New Roman" w:hAnsi="Times New Roman"/>
              </w:rPr>
            </w:pPr>
          </w:p>
          <w:p w14:paraId="0826F7F4" w14:textId="77777777" w:rsidR="00061852" w:rsidRPr="00061268" w:rsidRDefault="00061852" w:rsidP="00B7362E">
            <w:pPr>
              <w:spacing w:after="60"/>
              <w:rPr>
                <w:rFonts w:ascii="Times New Roman" w:hAnsi="Times New Roman"/>
                <w:i/>
                <w:iCs/>
              </w:rPr>
            </w:pPr>
            <w:r w:rsidRPr="00061268">
              <w:rPr>
                <w:rFonts w:ascii="Times New Roman" w:hAnsi="Times New Roman"/>
                <w:i/>
                <w:iCs/>
              </w:rPr>
              <w:t>Number of projects co-funded with other Partnerships, EU Programmes, Regional and National Funds.</w:t>
            </w:r>
          </w:p>
          <w:p w14:paraId="5A030EC6" w14:textId="77777777" w:rsidR="00061852" w:rsidRPr="00061268" w:rsidRDefault="00061852" w:rsidP="00B7362E">
            <w:pPr>
              <w:spacing w:after="60"/>
              <w:rPr>
                <w:rFonts w:ascii="Times New Roman" w:hAnsi="Times New Roman"/>
              </w:rPr>
            </w:pPr>
          </w:p>
        </w:tc>
        <w:tc>
          <w:tcPr>
            <w:tcW w:w="0" w:type="auto"/>
          </w:tcPr>
          <w:p w14:paraId="425AB88B" w14:textId="77777777" w:rsidR="00061852" w:rsidRPr="00061268" w:rsidRDefault="00061852" w:rsidP="00B7362E">
            <w:pPr>
              <w:spacing w:after="60"/>
              <w:rPr>
                <w:rFonts w:ascii="Times New Roman" w:hAnsi="Times New Roman"/>
              </w:rPr>
            </w:pPr>
            <w:r w:rsidRPr="00061268">
              <w:rPr>
                <w:rFonts w:ascii="Times New Roman" w:hAnsi="Times New Roman"/>
              </w:rPr>
              <w:t>Data Source: Project data</w:t>
            </w:r>
          </w:p>
          <w:p w14:paraId="2D667494" w14:textId="77777777" w:rsidR="00061852" w:rsidRPr="00061268" w:rsidRDefault="00061852" w:rsidP="00B7362E">
            <w:pPr>
              <w:spacing w:after="60"/>
              <w:rPr>
                <w:rFonts w:ascii="Times New Roman" w:hAnsi="Times New Roman"/>
              </w:rPr>
            </w:pPr>
            <w:r w:rsidRPr="00061268">
              <w:rPr>
                <w:rFonts w:ascii="Times New Roman" w:hAnsi="Times New Roman"/>
              </w:rPr>
              <w:t>Methodology: Cumulative number of relevant JU projects</w:t>
            </w:r>
            <w:r>
              <w:rPr>
                <w:rFonts w:ascii="Times New Roman" w:hAnsi="Times New Roman"/>
              </w:rPr>
              <w:t>.</w:t>
            </w:r>
          </w:p>
          <w:p w14:paraId="4E932190" w14:textId="77777777" w:rsidR="00061852" w:rsidRPr="00061268" w:rsidRDefault="00061852" w:rsidP="00B7362E">
            <w:pPr>
              <w:spacing w:after="60"/>
              <w:rPr>
                <w:rFonts w:ascii="Times New Roman" w:hAnsi="Times New Roman"/>
              </w:rPr>
            </w:pPr>
            <w:r w:rsidRPr="00061268">
              <w:rPr>
                <w:rFonts w:ascii="Times New Roman" w:hAnsi="Times New Roman"/>
              </w:rPr>
              <w:t>Measurement Unit: Number of Projects</w:t>
            </w:r>
          </w:p>
          <w:p w14:paraId="7D7B7C4F" w14:textId="77777777" w:rsidR="00061852" w:rsidRPr="00061268" w:rsidRDefault="00061852" w:rsidP="00B7362E">
            <w:pPr>
              <w:spacing w:after="60"/>
              <w:rPr>
                <w:rFonts w:ascii="Times New Roman" w:hAnsi="Times New Roman"/>
                <w:highlight w:val="yellow"/>
              </w:rPr>
            </w:pPr>
          </w:p>
        </w:tc>
        <w:tc>
          <w:tcPr>
            <w:tcW w:w="0" w:type="auto"/>
            <w:shd w:val="clear" w:color="auto" w:fill="auto"/>
          </w:tcPr>
          <w:p w14:paraId="055CCB3A" w14:textId="77777777" w:rsidR="00061852" w:rsidRPr="006A013F" w:rsidRDefault="00061852" w:rsidP="00B7362E">
            <w:pPr>
              <w:spacing w:after="60"/>
              <w:jc w:val="center"/>
              <w:rPr>
                <w:rFonts w:ascii="Times New Roman" w:hAnsi="Times New Roman"/>
                <w:highlight w:val="yellow"/>
              </w:rPr>
            </w:pPr>
            <w:r w:rsidRPr="006A013F">
              <w:rPr>
                <w:rFonts w:ascii="Times New Roman" w:hAnsi="Times New Roman"/>
              </w:rPr>
              <w:t>5</w:t>
            </w:r>
          </w:p>
        </w:tc>
        <w:tc>
          <w:tcPr>
            <w:tcW w:w="0" w:type="auto"/>
            <w:shd w:val="clear" w:color="auto" w:fill="auto"/>
          </w:tcPr>
          <w:p w14:paraId="53ED3288" w14:textId="77777777" w:rsidR="00061852" w:rsidRPr="006A013F" w:rsidRDefault="00061852" w:rsidP="00B7362E">
            <w:pPr>
              <w:spacing w:after="60"/>
              <w:jc w:val="center"/>
              <w:rPr>
                <w:rFonts w:ascii="Times New Roman" w:hAnsi="Times New Roman"/>
                <w:highlight w:val="yellow"/>
              </w:rPr>
            </w:pPr>
            <w:r w:rsidRPr="006A013F">
              <w:rPr>
                <w:rFonts w:ascii="Times New Roman" w:hAnsi="Times New Roman"/>
              </w:rPr>
              <w:t>5</w:t>
            </w:r>
          </w:p>
        </w:tc>
        <w:tc>
          <w:tcPr>
            <w:tcW w:w="0" w:type="auto"/>
            <w:shd w:val="clear" w:color="auto" w:fill="auto"/>
          </w:tcPr>
          <w:p w14:paraId="4DB869AA" w14:textId="77777777" w:rsidR="00061852" w:rsidRPr="006A013F" w:rsidRDefault="00061852" w:rsidP="00B7362E">
            <w:pPr>
              <w:spacing w:after="60"/>
              <w:jc w:val="center"/>
              <w:rPr>
                <w:rFonts w:ascii="Times New Roman" w:hAnsi="Times New Roman"/>
                <w:highlight w:val="yellow"/>
              </w:rPr>
            </w:pPr>
            <w:r w:rsidRPr="006A013F">
              <w:rPr>
                <w:rFonts w:ascii="Times New Roman" w:hAnsi="Times New Roman"/>
              </w:rPr>
              <w:t>10</w:t>
            </w:r>
          </w:p>
        </w:tc>
        <w:tc>
          <w:tcPr>
            <w:tcW w:w="0" w:type="auto"/>
            <w:shd w:val="clear" w:color="auto" w:fill="auto"/>
          </w:tcPr>
          <w:p w14:paraId="36BA8BEE" w14:textId="77777777" w:rsidR="00061852" w:rsidRPr="006A013F" w:rsidRDefault="00061852" w:rsidP="00B7362E">
            <w:pPr>
              <w:spacing w:after="60"/>
              <w:jc w:val="center"/>
              <w:rPr>
                <w:rFonts w:ascii="Times New Roman" w:hAnsi="Times New Roman"/>
                <w:highlight w:val="yellow"/>
              </w:rPr>
            </w:pPr>
            <w:r w:rsidRPr="006A013F">
              <w:rPr>
                <w:rFonts w:ascii="Times New Roman" w:hAnsi="Times New Roman"/>
              </w:rPr>
              <w:t>20</w:t>
            </w:r>
          </w:p>
        </w:tc>
      </w:tr>
      <w:tr w:rsidR="00061852" w:rsidRPr="006A013F" w14:paraId="1BA99A44" w14:textId="77777777" w:rsidTr="00B7362E">
        <w:trPr>
          <w:trHeight w:val="143"/>
        </w:trPr>
        <w:tc>
          <w:tcPr>
            <w:tcW w:w="0" w:type="auto"/>
            <w:vMerge/>
          </w:tcPr>
          <w:p w14:paraId="1363E9CC" w14:textId="77777777" w:rsidR="00061852" w:rsidRPr="00061268" w:rsidRDefault="00061852" w:rsidP="00B7362E">
            <w:pPr>
              <w:spacing w:after="60"/>
              <w:rPr>
                <w:rFonts w:ascii="Times New Roman" w:hAnsi="Times New Roman"/>
                <w:b/>
              </w:rPr>
            </w:pPr>
          </w:p>
        </w:tc>
        <w:tc>
          <w:tcPr>
            <w:tcW w:w="0" w:type="auto"/>
            <w:vMerge w:val="restart"/>
            <w:shd w:val="clear" w:color="auto" w:fill="auto"/>
          </w:tcPr>
          <w:p w14:paraId="7B0CF2E6" w14:textId="77777777" w:rsidR="00061852" w:rsidRPr="00061268" w:rsidRDefault="00061852" w:rsidP="00B7362E">
            <w:pPr>
              <w:spacing w:after="60"/>
              <w:rPr>
                <w:rFonts w:ascii="Times New Roman" w:hAnsi="Times New Roman"/>
              </w:rPr>
            </w:pPr>
            <w:r w:rsidRPr="00061268">
              <w:rPr>
                <w:rFonts w:ascii="Times New Roman" w:hAnsi="Times New Roman"/>
              </w:rPr>
              <w:t>Outcome-4 Increasing public awareness and uptake of hydrogen technologies</w:t>
            </w:r>
          </w:p>
          <w:p w14:paraId="3ACF5FCF" w14:textId="77777777" w:rsidR="00061852" w:rsidRPr="00061268" w:rsidRDefault="00061852" w:rsidP="00B7362E">
            <w:pPr>
              <w:spacing w:after="60"/>
              <w:rPr>
                <w:rFonts w:ascii="Times New Roman" w:hAnsi="Times New Roman"/>
              </w:rPr>
            </w:pPr>
          </w:p>
          <w:p w14:paraId="409B6496" w14:textId="77777777" w:rsidR="00061852" w:rsidRPr="00061268" w:rsidRDefault="00061852" w:rsidP="00B7362E">
            <w:pPr>
              <w:spacing w:after="60"/>
              <w:rPr>
                <w:rFonts w:ascii="Times New Roman" w:hAnsi="Times New Roman"/>
                <w:i/>
              </w:rPr>
            </w:pPr>
            <w:r w:rsidRPr="00061268">
              <w:rPr>
                <w:rFonts w:ascii="Times New Roman" w:hAnsi="Times New Roman"/>
                <w:i/>
              </w:rPr>
              <w:t>Link with SBA:</w:t>
            </w:r>
          </w:p>
          <w:p w14:paraId="246EA6E9" w14:textId="77777777" w:rsidR="00061852" w:rsidRPr="00061268" w:rsidRDefault="00061852" w:rsidP="00B7362E">
            <w:pPr>
              <w:spacing w:after="60"/>
              <w:rPr>
                <w:rFonts w:ascii="Times New Roman" w:hAnsi="Times New Roman"/>
                <w:i/>
              </w:rPr>
            </w:pPr>
            <w:r w:rsidRPr="00061268">
              <w:rPr>
                <w:rFonts w:ascii="Times New Roman" w:hAnsi="Times New Roman"/>
                <w:i/>
              </w:rPr>
              <w:t>GO (b), SO (c)/(d)</w:t>
            </w:r>
          </w:p>
          <w:p w14:paraId="4405F902" w14:textId="77777777" w:rsidR="00061852" w:rsidRPr="00061268" w:rsidRDefault="00061852" w:rsidP="00B7362E">
            <w:pPr>
              <w:spacing w:after="60"/>
              <w:rPr>
                <w:rFonts w:ascii="Times New Roman" w:hAnsi="Times New Roman"/>
                <w:i/>
              </w:rPr>
            </w:pPr>
          </w:p>
          <w:p w14:paraId="342E9CB1" w14:textId="77777777" w:rsidR="00061852" w:rsidRPr="00061268" w:rsidRDefault="00061852" w:rsidP="00B7362E">
            <w:pPr>
              <w:spacing w:after="60"/>
              <w:rPr>
                <w:rFonts w:ascii="Times New Roman" w:hAnsi="Times New Roman"/>
                <w:i/>
              </w:rPr>
            </w:pPr>
            <w:r w:rsidRPr="00061268">
              <w:rPr>
                <w:rFonts w:ascii="Times New Roman" w:hAnsi="Times New Roman"/>
                <w:i/>
              </w:rPr>
              <w:t>Link with Strategy Map:</w:t>
            </w:r>
          </w:p>
          <w:p w14:paraId="7B3DF968" w14:textId="77777777" w:rsidR="00061852" w:rsidRPr="00061268" w:rsidRDefault="00061852" w:rsidP="00B7362E">
            <w:pPr>
              <w:spacing w:after="60"/>
              <w:rPr>
                <w:rFonts w:ascii="Times New Roman" w:hAnsi="Times New Roman"/>
              </w:rPr>
            </w:pPr>
            <w:r w:rsidRPr="00061268">
              <w:rPr>
                <w:rFonts w:ascii="Times New Roman" w:hAnsi="Times New Roman"/>
                <w:i/>
              </w:rPr>
              <w:t>Impact-3</w:t>
            </w:r>
          </w:p>
          <w:p w14:paraId="1395F316" w14:textId="77777777" w:rsidR="00061852" w:rsidRPr="00061268" w:rsidRDefault="00061852" w:rsidP="00B7362E">
            <w:pPr>
              <w:spacing w:after="60"/>
              <w:rPr>
                <w:rFonts w:ascii="Times New Roman" w:hAnsi="Times New Roman"/>
              </w:rPr>
            </w:pPr>
          </w:p>
        </w:tc>
        <w:tc>
          <w:tcPr>
            <w:tcW w:w="0" w:type="auto"/>
            <w:shd w:val="clear" w:color="auto" w:fill="auto"/>
          </w:tcPr>
          <w:p w14:paraId="7A9B4078" w14:textId="77777777" w:rsidR="00061852" w:rsidRPr="00061268" w:rsidRDefault="00061852" w:rsidP="00B7362E">
            <w:pPr>
              <w:spacing w:after="60"/>
              <w:rPr>
                <w:rFonts w:ascii="Times New Roman" w:hAnsi="Times New Roman"/>
              </w:rPr>
            </w:pPr>
            <w:r w:rsidRPr="00061268">
              <w:rPr>
                <w:rFonts w:ascii="Times New Roman" w:hAnsi="Times New Roman"/>
              </w:rPr>
              <w:t>KPI-10 Public perception of hydrogen technologies</w:t>
            </w:r>
          </w:p>
          <w:p w14:paraId="3105459D" w14:textId="77777777" w:rsidR="00061852" w:rsidRPr="00061268" w:rsidRDefault="00061852" w:rsidP="00B7362E">
            <w:pPr>
              <w:spacing w:after="60"/>
              <w:rPr>
                <w:rFonts w:ascii="Times New Roman" w:hAnsi="Times New Roman"/>
              </w:rPr>
            </w:pPr>
          </w:p>
          <w:p w14:paraId="324C61FE" w14:textId="77777777" w:rsidR="00061852" w:rsidRPr="00061268" w:rsidRDefault="00061852" w:rsidP="00B7362E">
            <w:pPr>
              <w:spacing w:after="60"/>
              <w:rPr>
                <w:rFonts w:ascii="Times New Roman" w:hAnsi="Times New Roman"/>
                <w:i/>
                <w:iCs/>
              </w:rPr>
            </w:pPr>
            <w:r w:rsidRPr="00061268">
              <w:rPr>
                <w:rFonts w:ascii="Times New Roman" w:hAnsi="Times New Roman"/>
                <w:i/>
                <w:iCs/>
              </w:rPr>
              <w:t>Qualitative indicator based on a public opinion on hydrogen technologies and associated aspects.</w:t>
            </w:r>
          </w:p>
          <w:p w14:paraId="37580B77" w14:textId="77777777" w:rsidR="00061852" w:rsidRPr="00061268" w:rsidRDefault="00061852" w:rsidP="00B7362E">
            <w:pPr>
              <w:spacing w:after="60"/>
              <w:rPr>
                <w:rFonts w:ascii="Times New Roman" w:hAnsi="Times New Roman"/>
              </w:rPr>
            </w:pPr>
          </w:p>
        </w:tc>
        <w:tc>
          <w:tcPr>
            <w:tcW w:w="0" w:type="auto"/>
          </w:tcPr>
          <w:p w14:paraId="47BCA4EE" w14:textId="77777777" w:rsidR="00061852" w:rsidRPr="00061268" w:rsidRDefault="00061852" w:rsidP="00B7362E">
            <w:pPr>
              <w:spacing w:after="60"/>
              <w:rPr>
                <w:rFonts w:ascii="Times New Roman" w:hAnsi="Times New Roman"/>
              </w:rPr>
            </w:pPr>
            <w:r w:rsidRPr="00061268">
              <w:rPr>
                <w:rFonts w:ascii="Times New Roman" w:hAnsi="Times New Roman"/>
              </w:rPr>
              <w:t xml:space="preserve">Data Source: Periodic Public Opinion Survey </w:t>
            </w:r>
          </w:p>
          <w:p w14:paraId="2B1009FE" w14:textId="77777777" w:rsidR="00061852" w:rsidRPr="00061268" w:rsidRDefault="00061852" w:rsidP="00B7362E">
            <w:pPr>
              <w:spacing w:after="60"/>
              <w:rPr>
                <w:rFonts w:ascii="Times New Roman" w:hAnsi="Times New Roman"/>
              </w:rPr>
            </w:pPr>
            <w:r w:rsidRPr="00061268">
              <w:rPr>
                <w:rFonts w:ascii="Times New Roman" w:hAnsi="Times New Roman"/>
              </w:rPr>
              <w:t>Methodology: The JU will conduct a periodic survey gaining insights into the public opinion concerning these aspects.</w:t>
            </w:r>
          </w:p>
          <w:p w14:paraId="215C0C59" w14:textId="77777777" w:rsidR="00061852" w:rsidRPr="00061268" w:rsidRDefault="00061852" w:rsidP="00B7362E">
            <w:pPr>
              <w:spacing w:after="60"/>
              <w:rPr>
                <w:rFonts w:ascii="Times New Roman" w:hAnsi="Times New Roman"/>
              </w:rPr>
            </w:pPr>
            <w:r w:rsidRPr="00061268">
              <w:rPr>
                <w:rFonts w:ascii="Times New Roman" w:hAnsi="Times New Roman"/>
              </w:rPr>
              <w:t>Measurement Unit: -</w:t>
            </w:r>
          </w:p>
        </w:tc>
        <w:tc>
          <w:tcPr>
            <w:tcW w:w="0" w:type="auto"/>
            <w:shd w:val="clear" w:color="auto" w:fill="auto"/>
          </w:tcPr>
          <w:p w14:paraId="63527936" w14:textId="77777777" w:rsidR="00061852" w:rsidRPr="006A013F" w:rsidRDefault="00061852" w:rsidP="00B7362E">
            <w:pPr>
              <w:spacing w:after="60"/>
              <w:jc w:val="center"/>
              <w:rPr>
                <w:rFonts w:ascii="Times New Roman" w:hAnsi="Times New Roman"/>
                <w:highlight w:val="yellow"/>
              </w:rPr>
            </w:pPr>
            <w:r w:rsidRPr="006A013F">
              <w:rPr>
                <w:rFonts w:ascii="Times New Roman" w:hAnsi="Times New Roman"/>
              </w:rPr>
              <w:t>N/A</w:t>
            </w:r>
          </w:p>
        </w:tc>
        <w:tc>
          <w:tcPr>
            <w:tcW w:w="0" w:type="auto"/>
            <w:shd w:val="clear" w:color="auto" w:fill="auto"/>
          </w:tcPr>
          <w:p w14:paraId="6E010660" w14:textId="77777777" w:rsidR="00061852" w:rsidRPr="006A013F" w:rsidRDefault="00061852" w:rsidP="00B7362E">
            <w:pPr>
              <w:spacing w:after="60"/>
              <w:jc w:val="center"/>
              <w:rPr>
                <w:rFonts w:ascii="Times New Roman" w:hAnsi="Times New Roman"/>
                <w:highlight w:val="yellow"/>
              </w:rPr>
            </w:pPr>
            <w:r w:rsidRPr="006A013F">
              <w:rPr>
                <w:rFonts w:ascii="Times New Roman" w:hAnsi="Times New Roman"/>
              </w:rPr>
              <w:t>N/A</w:t>
            </w:r>
          </w:p>
        </w:tc>
        <w:tc>
          <w:tcPr>
            <w:tcW w:w="0" w:type="auto"/>
            <w:shd w:val="clear" w:color="auto" w:fill="auto"/>
          </w:tcPr>
          <w:p w14:paraId="385E7115" w14:textId="77777777" w:rsidR="00061852" w:rsidRPr="006A013F" w:rsidRDefault="00061852" w:rsidP="00B7362E">
            <w:pPr>
              <w:spacing w:after="60"/>
              <w:jc w:val="center"/>
              <w:rPr>
                <w:rFonts w:ascii="Times New Roman" w:hAnsi="Times New Roman"/>
                <w:highlight w:val="yellow"/>
              </w:rPr>
            </w:pPr>
            <w:r w:rsidRPr="006A013F">
              <w:rPr>
                <w:rFonts w:ascii="Times New Roman" w:hAnsi="Times New Roman"/>
              </w:rPr>
              <w:t>N/A</w:t>
            </w:r>
          </w:p>
        </w:tc>
        <w:tc>
          <w:tcPr>
            <w:tcW w:w="0" w:type="auto"/>
            <w:shd w:val="clear" w:color="auto" w:fill="auto"/>
          </w:tcPr>
          <w:p w14:paraId="1A25152A" w14:textId="77777777" w:rsidR="00061852" w:rsidRPr="006A013F" w:rsidRDefault="00061852" w:rsidP="00B7362E">
            <w:pPr>
              <w:spacing w:after="60"/>
              <w:jc w:val="center"/>
              <w:rPr>
                <w:rFonts w:ascii="Times New Roman" w:hAnsi="Times New Roman"/>
                <w:highlight w:val="yellow"/>
              </w:rPr>
            </w:pPr>
            <w:r w:rsidRPr="006A013F">
              <w:rPr>
                <w:rFonts w:ascii="Times New Roman" w:hAnsi="Times New Roman"/>
              </w:rPr>
              <w:t>N/A</w:t>
            </w:r>
          </w:p>
        </w:tc>
      </w:tr>
      <w:tr w:rsidR="00061852" w:rsidRPr="006A013F" w14:paraId="69630B1E" w14:textId="77777777" w:rsidTr="00B7362E">
        <w:trPr>
          <w:trHeight w:val="143"/>
        </w:trPr>
        <w:tc>
          <w:tcPr>
            <w:tcW w:w="0" w:type="auto"/>
            <w:vMerge/>
          </w:tcPr>
          <w:p w14:paraId="548FEA69" w14:textId="77777777" w:rsidR="00061852" w:rsidRPr="00061268" w:rsidRDefault="00061852" w:rsidP="00B7362E">
            <w:pPr>
              <w:spacing w:after="60"/>
              <w:rPr>
                <w:rFonts w:ascii="Times New Roman" w:hAnsi="Times New Roman"/>
                <w:b/>
              </w:rPr>
            </w:pPr>
          </w:p>
        </w:tc>
        <w:tc>
          <w:tcPr>
            <w:tcW w:w="0" w:type="auto"/>
            <w:vMerge/>
            <w:shd w:val="clear" w:color="auto" w:fill="auto"/>
          </w:tcPr>
          <w:p w14:paraId="30209177" w14:textId="77777777" w:rsidR="00061852" w:rsidRPr="00061268" w:rsidRDefault="00061852" w:rsidP="00B7362E">
            <w:pPr>
              <w:spacing w:after="60"/>
              <w:rPr>
                <w:rFonts w:ascii="Times New Roman" w:hAnsi="Times New Roman"/>
              </w:rPr>
            </w:pPr>
          </w:p>
        </w:tc>
        <w:tc>
          <w:tcPr>
            <w:tcW w:w="0" w:type="auto"/>
            <w:shd w:val="clear" w:color="auto" w:fill="auto"/>
          </w:tcPr>
          <w:p w14:paraId="6C795B78" w14:textId="77777777" w:rsidR="00061852" w:rsidRPr="00061268" w:rsidRDefault="00061852" w:rsidP="00B7362E">
            <w:pPr>
              <w:spacing w:after="60"/>
              <w:rPr>
                <w:rFonts w:ascii="Times New Roman" w:hAnsi="Times New Roman"/>
              </w:rPr>
            </w:pPr>
            <w:r w:rsidRPr="00061268">
              <w:rPr>
                <w:rFonts w:ascii="Times New Roman" w:hAnsi="Times New Roman"/>
              </w:rPr>
              <w:t xml:space="preserve">KPI-11 Total persons trained </w:t>
            </w:r>
          </w:p>
          <w:p w14:paraId="06B6F140" w14:textId="77777777" w:rsidR="00061852" w:rsidRPr="00061268" w:rsidRDefault="00061852" w:rsidP="00B7362E">
            <w:pPr>
              <w:spacing w:after="60"/>
              <w:rPr>
                <w:rFonts w:ascii="Times New Roman" w:hAnsi="Times New Roman"/>
              </w:rPr>
            </w:pPr>
          </w:p>
          <w:p w14:paraId="3351D208" w14:textId="77777777" w:rsidR="00061852" w:rsidRPr="00061268" w:rsidRDefault="00061852" w:rsidP="00B7362E">
            <w:pPr>
              <w:spacing w:after="60"/>
              <w:rPr>
                <w:rFonts w:ascii="Times New Roman" w:hAnsi="Times New Roman"/>
                <w:i/>
                <w:iCs/>
              </w:rPr>
            </w:pPr>
            <w:r w:rsidRPr="00061268">
              <w:rPr>
                <w:rFonts w:ascii="Times New Roman" w:hAnsi="Times New Roman"/>
                <w:i/>
                <w:iCs/>
              </w:rPr>
              <w:t>Number of persons trained from projects funded by the JU.</w:t>
            </w:r>
          </w:p>
          <w:p w14:paraId="0458B31C" w14:textId="67611369" w:rsidR="003415F0" w:rsidRDefault="003415F0" w:rsidP="00B7362E">
            <w:pPr>
              <w:spacing w:after="60"/>
              <w:rPr>
                <w:rFonts w:ascii="Times New Roman" w:hAnsi="Times New Roman"/>
              </w:rPr>
            </w:pPr>
          </w:p>
          <w:p w14:paraId="123286CD" w14:textId="2B5855E5" w:rsidR="003415F0" w:rsidRDefault="003415F0" w:rsidP="00B7362E">
            <w:pPr>
              <w:spacing w:after="60"/>
              <w:rPr>
                <w:rFonts w:ascii="Times New Roman" w:hAnsi="Times New Roman"/>
              </w:rPr>
            </w:pPr>
          </w:p>
          <w:p w14:paraId="76E3F8C6" w14:textId="1DADE0F2" w:rsidR="003415F0" w:rsidRDefault="003415F0" w:rsidP="00B7362E">
            <w:pPr>
              <w:spacing w:after="60"/>
              <w:rPr>
                <w:rFonts w:ascii="Times New Roman" w:hAnsi="Times New Roman"/>
              </w:rPr>
            </w:pPr>
          </w:p>
          <w:p w14:paraId="329B6840" w14:textId="4A911E0A" w:rsidR="003415F0" w:rsidRDefault="003415F0" w:rsidP="00B7362E">
            <w:pPr>
              <w:spacing w:after="60"/>
              <w:rPr>
                <w:rFonts w:ascii="Times New Roman" w:hAnsi="Times New Roman"/>
              </w:rPr>
            </w:pPr>
          </w:p>
          <w:p w14:paraId="3C3A319C" w14:textId="77777777" w:rsidR="003415F0" w:rsidRDefault="003415F0" w:rsidP="00B7362E">
            <w:pPr>
              <w:spacing w:after="60"/>
              <w:rPr>
                <w:rFonts w:ascii="Times New Roman" w:hAnsi="Times New Roman"/>
              </w:rPr>
            </w:pPr>
          </w:p>
          <w:p w14:paraId="6639D038" w14:textId="7628552E" w:rsidR="003415F0" w:rsidRPr="00061268" w:rsidRDefault="003415F0" w:rsidP="00B7362E">
            <w:pPr>
              <w:spacing w:after="60"/>
              <w:rPr>
                <w:rFonts w:ascii="Times New Roman" w:hAnsi="Times New Roman"/>
              </w:rPr>
            </w:pPr>
          </w:p>
        </w:tc>
        <w:tc>
          <w:tcPr>
            <w:tcW w:w="0" w:type="auto"/>
          </w:tcPr>
          <w:p w14:paraId="52F5F2D2" w14:textId="77777777" w:rsidR="00061852" w:rsidRPr="00061268" w:rsidRDefault="00061852" w:rsidP="00B7362E">
            <w:pPr>
              <w:spacing w:after="60"/>
              <w:rPr>
                <w:rFonts w:ascii="Times New Roman" w:hAnsi="Times New Roman"/>
              </w:rPr>
            </w:pPr>
            <w:r w:rsidRPr="00061268">
              <w:rPr>
                <w:rFonts w:ascii="Times New Roman" w:hAnsi="Times New Roman"/>
              </w:rPr>
              <w:t>Data Source: Project data</w:t>
            </w:r>
          </w:p>
          <w:p w14:paraId="40715382" w14:textId="77777777" w:rsidR="00061852" w:rsidRPr="00061268" w:rsidRDefault="00061852" w:rsidP="00B7362E">
            <w:pPr>
              <w:spacing w:after="60"/>
              <w:rPr>
                <w:rFonts w:ascii="Times New Roman" w:hAnsi="Times New Roman"/>
              </w:rPr>
            </w:pPr>
            <w:r w:rsidRPr="00061268">
              <w:rPr>
                <w:rFonts w:ascii="Times New Roman" w:hAnsi="Times New Roman"/>
              </w:rPr>
              <w:t>Methodology: Cumulative number of persons.</w:t>
            </w:r>
          </w:p>
          <w:p w14:paraId="569D674F" w14:textId="77777777" w:rsidR="00061852" w:rsidRPr="00061268" w:rsidRDefault="00061852" w:rsidP="00B7362E">
            <w:pPr>
              <w:spacing w:after="60"/>
              <w:rPr>
                <w:rFonts w:ascii="Times New Roman" w:hAnsi="Times New Roman"/>
              </w:rPr>
            </w:pPr>
            <w:r w:rsidRPr="00061268">
              <w:rPr>
                <w:rFonts w:ascii="Times New Roman" w:hAnsi="Times New Roman"/>
              </w:rPr>
              <w:t>Measurement Unit: Number of persons</w:t>
            </w:r>
          </w:p>
          <w:p w14:paraId="6F912DAB" w14:textId="77777777" w:rsidR="00061852" w:rsidRPr="00061268" w:rsidRDefault="00061852" w:rsidP="00B7362E">
            <w:pPr>
              <w:spacing w:after="60"/>
              <w:rPr>
                <w:rFonts w:ascii="Times New Roman" w:hAnsi="Times New Roman"/>
              </w:rPr>
            </w:pPr>
          </w:p>
        </w:tc>
        <w:tc>
          <w:tcPr>
            <w:tcW w:w="0" w:type="auto"/>
            <w:shd w:val="clear" w:color="auto" w:fill="auto"/>
          </w:tcPr>
          <w:p w14:paraId="2F91EF82" w14:textId="77777777" w:rsidR="00061852" w:rsidRPr="006A013F" w:rsidRDefault="00061852" w:rsidP="00B7362E">
            <w:pPr>
              <w:spacing w:after="60"/>
              <w:jc w:val="center"/>
              <w:rPr>
                <w:rFonts w:ascii="Times New Roman" w:hAnsi="Times New Roman"/>
              </w:rPr>
            </w:pPr>
            <w:r w:rsidRPr="006A013F">
              <w:rPr>
                <w:rFonts w:ascii="Times New Roman" w:hAnsi="Times New Roman"/>
              </w:rPr>
              <w:t>4,163</w:t>
            </w:r>
          </w:p>
        </w:tc>
        <w:tc>
          <w:tcPr>
            <w:tcW w:w="0" w:type="auto"/>
            <w:shd w:val="clear" w:color="auto" w:fill="auto"/>
          </w:tcPr>
          <w:p w14:paraId="0C9E27C5" w14:textId="77777777" w:rsidR="00061852" w:rsidRPr="006A013F" w:rsidRDefault="00061852" w:rsidP="00B7362E">
            <w:pPr>
              <w:spacing w:after="60"/>
              <w:jc w:val="center"/>
              <w:rPr>
                <w:rFonts w:ascii="Times New Roman" w:hAnsi="Times New Roman"/>
              </w:rPr>
            </w:pPr>
            <w:r w:rsidRPr="006A013F">
              <w:rPr>
                <w:rFonts w:ascii="Times New Roman" w:hAnsi="Times New Roman"/>
              </w:rPr>
              <w:t>1,000</w:t>
            </w:r>
          </w:p>
        </w:tc>
        <w:tc>
          <w:tcPr>
            <w:tcW w:w="0" w:type="auto"/>
            <w:shd w:val="clear" w:color="auto" w:fill="auto"/>
          </w:tcPr>
          <w:p w14:paraId="2A68665E" w14:textId="77777777" w:rsidR="00061852" w:rsidRPr="006A013F" w:rsidRDefault="00061852" w:rsidP="00B7362E">
            <w:pPr>
              <w:spacing w:after="60"/>
              <w:jc w:val="center"/>
              <w:rPr>
                <w:rFonts w:ascii="Times New Roman" w:hAnsi="Times New Roman"/>
              </w:rPr>
            </w:pPr>
            <w:r w:rsidRPr="006A013F">
              <w:rPr>
                <w:rFonts w:ascii="Times New Roman" w:hAnsi="Times New Roman"/>
              </w:rPr>
              <w:t>3,000</w:t>
            </w:r>
          </w:p>
        </w:tc>
        <w:tc>
          <w:tcPr>
            <w:tcW w:w="0" w:type="auto"/>
            <w:shd w:val="clear" w:color="auto" w:fill="auto"/>
          </w:tcPr>
          <w:p w14:paraId="022BE7AA" w14:textId="77777777" w:rsidR="00061852" w:rsidRPr="006A013F" w:rsidRDefault="00061852" w:rsidP="00B7362E">
            <w:pPr>
              <w:spacing w:after="60"/>
              <w:jc w:val="center"/>
              <w:rPr>
                <w:rFonts w:ascii="Times New Roman" w:hAnsi="Times New Roman"/>
              </w:rPr>
            </w:pPr>
            <w:r w:rsidRPr="006A013F">
              <w:rPr>
                <w:rFonts w:ascii="Times New Roman" w:hAnsi="Times New Roman"/>
              </w:rPr>
              <w:t>6,000</w:t>
            </w:r>
          </w:p>
        </w:tc>
      </w:tr>
      <w:tr w:rsidR="00061852" w:rsidRPr="006A013F" w14:paraId="052645B5" w14:textId="77777777" w:rsidTr="00B7362E">
        <w:trPr>
          <w:trHeight w:val="143"/>
        </w:trPr>
        <w:tc>
          <w:tcPr>
            <w:tcW w:w="0" w:type="auto"/>
            <w:vMerge/>
          </w:tcPr>
          <w:p w14:paraId="17AE7E1B" w14:textId="77777777" w:rsidR="00061852" w:rsidRPr="00061268" w:rsidRDefault="00061852" w:rsidP="00B7362E">
            <w:pPr>
              <w:spacing w:after="60"/>
              <w:rPr>
                <w:rFonts w:ascii="Times New Roman" w:hAnsi="Times New Roman"/>
                <w:b/>
              </w:rPr>
            </w:pPr>
          </w:p>
        </w:tc>
        <w:tc>
          <w:tcPr>
            <w:tcW w:w="0" w:type="auto"/>
            <w:vMerge w:val="restart"/>
            <w:shd w:val="clear" w:color="auto" w:fill="auto"/>
          </w:tcPr>
          <w:p w14:paraId="1C28941F" w14:textId="77777777" w:rsidR="00061852" w:rsidRPr="00061268" w:rsidRDefault="00061852" w:rsidP="00B7362E">
            <w:pPr>
              <w:spacing w:after="60"/>
              <w:rPr>
                <w:rFonts w:ascii="Times New Roman" w:hAnsi="Times New Roman"/>
              </w:rPr>
            </w:pPr>
            <w:r w:rsidRPr="00061268">
              <w:rPr>
                <w:rFonts w:ascii="Times New Roman" w:hAnsi="Times New Roman"/>
              </w:rPr>
              <w:t>Outcome-5 Reinforcing EU scientific and industrial ecosystem, including SMEs</w:t>
            </w:r>
          </w:p>
          <w:p w14:paraId="5BC73995" w14:textId="77777777" w:rsidR="00061852" w:rsidRPr="00061268" w:rsidRDefault="00061852" w:rsidP="00B7362E">
            <w:pPr>
              <w:spacing w:after="60"/>
              <w:rPr>
                <w:rFonts w:ascii="Times New Roman" w:hAnsi="Times New Roman"/>
                <w:i/>
              </w:rPr>
            </w:pPr>
          </w:p>
          <w:p w14:paraId="04F8FE8C" w14:textId="77777777" w:rsidR="00061852" w:rsidRPr="00061268" w:rsidRDefault="00061852" w:rsidP="00B7362E">
            <w:pPr>
              <w:spacing w:after="60"/>
              <w:rPr>
                <w:rFonts w:ascii="Times New Roman" w:hAnsi="Times New Roman"/>
                <w:i/>
              </w:rPr>
            </w:pPr>
            <w:r w:rsidRPr="00061268">
              <w:rPr>
                <w:rFonts w:ascii="Times New Roman" w:hAnsi="Times New Roman"/>
                <w:i/>
              </w:rPr>
              <w:t>Link with SBA:</w:t>
            </w:r>
          </w:p>
          <w:p w14:paraId="5F49E62C" w14:textId="77777777" w:rsidR="00061852" w:rsidRPr="00061268" w:rsidRDefault="00061852" w:rsidP="00B7362E">
            <w:pPr>
              <w:spacing w:after="60"/>
              <w:rPr>
                <w:rFonts w:ascii="Times New Roman" w:hAnsi="Times New Roman"/>
                <w:i/>
              </w:rPr>
            </w:pPr>
            <w:r w:rsidRPr="00061268">
              <w:rPr>
                <w:rFonts w:ascii="Times New Roman" w:hAnsi="Times New Roman"/>
                <w:i/>
              </w:rPr>
              <w:t>GO (b)/(c)/(d), SO (b)/(c)</w:t>
            </w:r>
          </w:p>
          <w:p w14:paraId="3110115C" w14:textId="77777777" w:rsidR="00061852" w:rsidRPr="00061268" w:rsidRDefault="00061852" w:rsidP="00B7362E">
            <w:pPr>
              <w:spacing w:after="60"/>
              <w:rPr>
                <w:rFonts w:ascii="Times New Roman" w:hAnsi="Times New Roman"/>
                <w:i/>
              </w:rPr>
            </w:pPr>
          </w:p>
          <w:p w14:paraId="5076B510" w14:textId="77777777" w:rsidR="00061852" w:rsidRPr="00061268" w:rsidRDefault="00061852" w:rsidP="00B7362E">
            <w:pPr>
              <w:spacing w:after="60"/>
              <w:rPr>
                <w:rFonts w:ascii="Times New Roman" w:hAnsi="Times New Roman"/>
                <w:i/>
              </w:rPr>
            </w:pPr>
            <w:r w:rsidRPr="00061268">
              <w:rPr>
                <w:rFonts w:ascii="Times New Roman" w:hAnsi="Times New Roman"/>
                <w:i/>
              </w:rPr>
              <w:t>Link with Strategy Map:</w:t>
            </w:r>
          </w:p>
          <w:p w14:paraId="750CFAF4" w14:textId="77777777" w:rsidR="00061852" w:rsidRPr="00061268" w:rsidRDefault="00061852" w:rsidP="00B7362E">
            <w:pPr>
              <w:spacing w:after="60"/>
              <w:rPr>
                <w:rFonts w:ascii="Times New Roman" w:hAnsi="Times New Roman"/>
              </w:rPr>
            </w:pPr>
            <w:r w:rsidRPr="00061268">
              <w:rPr>
                <w:rFonts w:ascii="Times New Roman" w:hAnsi="Times New Roman"/>
                <w:i/>
              </w:rPr>
              <w:t>Impact-3</w:t>
            </w:r>
          </w:p>
          <w:p w14:paraId="0E04622C" w14:textId="77777777" w:rsidR="00061852" w:rsidRPr="00061268" w:rsidRDefault="00061852" w:rsidP="00B7362E">
            <w:pPr>
              <w:spacing w:after="60"/>
              <w:rPr>
                <w:rFonts w:ascii="Times New Roman" w:hAnsi="Times New Roman"/>
              </w:rPr>
            </w:pPr>
          </w:p>
        </w:tc>
        <w:tc>
          <w:tcPr>
            <w:tcW w:w="0" w:type="auto"/>
            <w:shd w:val="clear" w:color="auto" w:fill="auto"/>
          </w:tcPr>
          <w:p w14:paraId="5936EB74" w14:textId="77777777" w:rsidR="00061852" w:rsidRPr="00061268" w:rsidRDefault="00061852" w:rsidP="00B7362E">
            <w:pPr>
              <w:spacing w:after="60"/>
              <w:rPr>
                <w:rFonts w:ascii="Times New Roman" w:hAnsi="Times New Roman"/>
              </w:rPr>
            </w:pPr>
            <w:r w:rsidRPr="00061268">
              <w:rPr>
                <w:rFonts w:ascii="Times New Roman" w:hAnsi="Times New Roman"/>
              </w:rPr>
              <w:t xml:space="preserve">KPI-12 Patents and publications </w:t>
            </w:r>
          </w:p>
          <w:p w14:paraId="2AF3A732" w14:textId="77777777" w:rsidR="00061852" w:rsidRPr="00061268" w:rsidRDefault="00061852" w:rsidP="00B7362E">
            <w:pPr>
              <w:spacing w:after="60"/>
              <w:rPr>
                <w:rFonts w:ascii="Times New Roman" w:hAnsi="Times New Roman"/>
              </w:rPr>
            </w:pPr>
          </w:p>
          <w:p w14:paraId="6061EBC6" w14:textId="77777777" w:rsidR="00061852" w:rsidRPr="00061268" w:rsidRDefault="00061852" w:rsidP="00B7362E">
            <w:pPr>
              <w:spacing w:after="60"/>
              <w:rPr>
                <w:rFonts w:ascii="Times New Roman" w:hAnsi="Times New Roman"/>
                <w:i/>
                <w:iCs/>
              </w:rPr>
            </w:pPr>
            <w:r w:rsidRPr="00061268">
              <w:rPr>
                <w:rFonts w:ascii="Times New Roman" w:hAnsi="Times New Roman"/>
                <w:i/>
                <w:iCs/>
              </w:rPr>
              <w:t xml:space="preserve">Cumulative number generated by projects funded by the JU. </w:t>
            </w:r>
          </w:p>
          <w:p w14:paraId="279EF721" w14:textId="77777777" w:rsidR="00061852" w:rsidRPr="00061268" w:rsidRDefault="00061852" w:rsidP="00B7362E">
            <w:pPr>
              <w:spacing w:after="60"/>
              <w:rPr>
                <w:rFonts w:ascii="Times New Roman" w:hAnsi="Times New Roman"/>
                <w:i/>
                <w:iCs/>
              </w:rPr>
            </w:pPr>
            <w:r w:rsidRPr="00061268">
              <w:rPr>
                <w:rFonts w:ascii="Times New Roman" w:hAnsi="Times New Roman"/>
                <w:i/>
                <w:iCs/>
              </w:rPr>
              <w:t>For patents, due to the long time required for their approval, they will also include FCH JU projects.</w:t>
            </w:r>
          </w:p>
          <w:p w14:paraId="187B6B8E" w14:textId="77777777" w:rsidR="00061852" w:rsidRPr="00061268" w:rsidRDefault="00061852" w:rsidP="00B7362E">
            <w:pPr>
              <w:spacing w:after="60"/>
              <w:rPr>
                <w:rFonts w:ascii="Times New Roman" w:hAnsi="Times New Roman"/>
                <w:i/>
                <w:iCs/>
              </w:rPr>
            </w:pPr>
            <w:r w:rsidRPr="00061268">
              <w:rPr>
                <w:rFonts w:ascii="Times New Roman" w:hAnsi="Times New Roman"/>
                <w:i/>
                <w:iCs/>
              </w:rPr>
              <w:t xml:space="preserve">For publications they will be reported cumulatively as of 2022, with the initial publications stemming from FCH JU projects. </w:t>
            </w:r>
          </w:p>
        </w:tc>
        <w:tc>
          <w:tcPr>
            <w:tcW w:w="0" w:type="auto"/>
          </w:tcPr>
          <w:p w14:paraId="51D9F3C3" w14:textId="77777777" w:rsidR="00061852" w:rsidRPr="009D23C2" w:rsidRDefault="00061852" w:rsidP="00B7362E">
            <w:pPr>
              <w:spacing w:after="60"/>
              <w:rPr>
                <w:rFonts w:ascii="Times New Roman" w:hAnsi="Times New Roman"/>
                <w:lang w:val="pt-PT"/>
              </w:rPr>
            </w:pPr>
            <w:r w:rsidRPr="009D23C2">
              <w:rPr>
                <w:rFonts w:ascii="Times New Roman" w:hAnsi="Times New Roman"/>
                <w:lang w:val="pt-PT"/>
              </w:rPr>
              <w:t xml:space="preserve">Data Source: JRC (TIM), e-CORDA, CORTEX, FCHO, European Patent database, Project data </w:t>
            </w:r>
          </w:p>
          <w:p w14:paraId="31695D20" w14:textId="77777777" w:rsidR="00061852" w:rsidRPr="00061268" w:rsidRDefault="00061852" w:rsidP="00B7362E">
            <w:pPr>
              <w:spacing w:after="60"/>
              <w:rPr>
                <w:rFonts w:ascii="Times New Roman" w:hAnsi="Times New Roman"/>
              </w:rPr>
            </w:pPr>
            <w:r w:rsidRPr="00061268">
              <w:rPr>
                <w:rFonts w:ascii="Times New Roman" w:hAnsi="Times New Roman"/>
              </w:rPr>
              <w:t xml:space="preserve">Methodology: There is an inherent difficulty to collect all relevant data and associate them with specific JU projects. Therefore, these indicators will be reporting to the extent possible what can be identified in the sources above as linked to JU projects (which in many cases may not be possible). </w:t>
            </w:r>
          </w:p>
          <w:p w14:paraId="322673EF" w14:textId="77777777" w:rsidR="00061852" w:rsidRPr="00061268" w:rsidRDefault="00061852" w:rsidP="00B7362E">
            <w:pPr>
              <w:spacing w:after="60"/>
              <w:rPr>
                <w:rFonts w:ascii="Times New Roman" w:hAnsi="Times New Roman"/>
              </w:rPr>
            </w:pPr>
          </w:p>
        </w:tc>
        <w:tc>
          <w:tcPr>
            <w:tcW w:w="0" w:type="auto"/>
            <w:shd w:val="clear" w:color="auto" w:fill="auto"/>
          </w:tcPr>
          <w:p w14:paraId="083A7377" w14:textId="77777777" w:rsidR="00061852" w:rsidRPr="006A013F" w:rsidRDefault="00061852" w:rsidP="00B7362E">
            <w:pPr>
              <w:spacing w:after="60"/>
              <w:jc w:val="center"/>
              <w:rPr>
                <w:rFonts w:ascii="Times New Roman" w:hAnsi="Times New Roman"/>
              </w:rPr>
            </w:pPr>
            <w:r w:rsidRPr="006A013F">
              <w:rPr>
                <w:rFonts w:ascii="Times New Roman" w:hAnsi="Times New Roman"/>
              </w:rPr>
              <w:t>12 /</w:t>
            </w:r>
          </w:p>
          <w:p w14:paraId="456C5553" w14:textId="77777777" w:rsidR="00061852" w:rsidRPr="006A013F" w:rsidRDefault="00061852" w:rsidP="00B7362E">
            <w:pPr>
              <w:spacing w:after="60"/>
              <w:jc w:val="center"/>
              <w:rPr>
                <w:rFonts w:ascii="Times New Roman" w:hAnsi="Times New Roman"/>
              </w:rPr>
            </w:pPr>
            <w:r w:rsidRPr="006A013F">
              <w:rPr>
                <w:rFonts w:ascii="Times New Roman" w:hAnsi="Times New Roman"/>
              </w:rPr>
              <w:t>289</w:t>
            </w:r>
          </w:p>
        </w:tc>
        <w:tc>
          <w:tcPr>
            <w:tcW w:w="0" w:type="auto"/>
            <w:shd w:val="clear" w:color="auto" w:fill="auto"/>
          </w:tcPr>
          <w:p w14:paraId="68123AB9" w14:textId="77777777" w:rsidR="00061852" w:rsidRPr="006A013F" w:rsidRDefault="00061852" w:rsidP="00B7362E">
            <w:pPr>
              <w:spacing w:after="60"/>
              <w:jc w:val="center"/>
              <w:rPr>
                <w:rFonts w:ascii="Times New Roman" w:hAnsi="Times New Roman"/>
              </w:rPr>
            </w:pPr>
            <w:r w:rsidRPr="006A013F">
              <w:rPr>
                <w:rFonts w:ascii="Times New Roman" w:hAnsi="Times New Roman"/>
              </w:rPr>
              <w:t>17 /</w:t>
            </w:r>
          </w:p>
          <w:p w14:paraId="1E63C8CA" w14:textId="77777777" w:rsidR="00061852" w:rsidRPr="006A013F" w:rsidRDefault="00061852" w:rsidP="00B7362E">
            <w:pPr>
              <w:spacing w:after="60"/>
              <w:jc w:val="center"/>
              <w:rPr>
                <w:rFonts w:ascii="Times New Roman" w:hAnsi="Times New Roman"/>
              </w:rPr>
            </w:pPr>
            <w:r w:rsidRPr="006A013F">
              <w:rPr>
                <w:rFonts w:ascii="Times New Roman" w:hAnsi="Times New Roman"/>
              </w:rPr>
              <w:t>100</w:t>
            </w:r>
          </w:p>
        </w:tc>
        <w:tc>
          <w:tcPr>
            <w:tcW w:w="0" w:type="auto"/>
            <w:shd w:val="clear" w:color="auto" w:fill="auto"/>
          </w:tcPr>
          <w:p w14:paraId="751AB157" w14:textId="77777777" w:rsidR="00061852" w:rsidRPr="006A013F" w:rsidRDefault="00061852" w:rsidP="00B7362E">
            <w:pPr>
              <w:spacing w:after="60"/>
              <w:jc w:val="center"/>
              <w:rPr>
                <w:rFonts w:ascii="Times New Roman" w:hAnsi="Times New Roman"/>
              </w:rPr>
            </w:pPr>
            <w:r w:rsidRPr="006A013F">
              <w:rPr>
                <w:rFonts w:ascii="Times New Roman" w:hAnsi="Times New Roman"/>
              </w:rPr>
              <w:t>20 / 250</w:t>
            </w:r>
          </w:p>
        </w:tc>
        <w:tc>
          <w:tcPr>
            <w:tcW w:w="0" w:type="auto"/>
            <w:shd w:val="clear" w:color="auto" w:fill="auto"/>
          </w:tcPr>
          <w:p w14:paraId="1C124D25" w14:textId="77777777" w:rsidR="00061852" w:rsidRPr="006A013F" w:rsidRDefault="00061852" w:rsidP="00B7362E">
            <w:pPr>
              <w:spacing w:after="60"/>
              <w:jc w:val="center"/>
              <w:rPr>
                <w:rFonts w:ascii="Times New Roman" w:hAnsi="Times New Roman"/>
              </w:rPr>
            </w:pPr>
            <w:r w:rsidRPr="006A013F">
              <w:rPr>
                <w:rFonts w:ascii="Times New Roman" w:hAnsi="Times New Roman"/>
              </w:rPr>
              <w:t>25/ 450</w:t>
            </w:r>
          </w:p>
        </w:tc>
      </w:tr>
      <w:tr w:rsidR="00061852" w:rsidRPr="006A013F" w14:paraId="687E3E95" w14:textId="77777777" w:rsidTr="00B7362E">
        <w:trPr>
          <w:trHeight w:val="2793"/>
        </w:trPr>
        <w:tc>
          <w:tcPr>
            <w:tcW w:w="0" w:type="auto"/>
            <w:vMerge/>
          </w:tcPr>
          <w:p w14:paraId="284CEC40" w14:textId="77777777" w:rsidR="00061852" w:rsidRPr="00061268" w:rsidRDefault="00061852" w:rsidP="00B7362E">
            <w:pPr>
              <w:spacing w:after="60"/>
              <w:rPr>
                <w:rFonts w:ascii="Times New Roman" w:hAnsi="Times New Roman"/>
                <w:b/>
              </w:rPr>
            </w:pPr>
          </w:p>
        </w:tc>
        <w:tc>
          <w:tcPr>
            <w:tcW w:w="0" w:type="auto"/>
            <w:vMerge/>
            <w:shd w:val="clear" w:color="auto" w:fill="auto"/>
          </w:tcPr>
          <w:p w14:paraId="2A100F45" w14:textId="77777777" w:rsidR="00061852" w:rsidRPr="00061268" w:rsidRDefault="00061852" w:rsidP="00B7362E">
            <w:pPr>
              <w:spacing w:after="60"/>
              <w:rPr>
                <w:rFonts w:ascii="Times New Roman" w:hAnsi="Times New Roman"/>
                <w:highlight w:val="yellow"/>
              </w:rPr>
            </w:pPr>
          </w:p>
        </w:tc>
        <w:tc>
          <w:tcPr>
            <w:tcW w:w="0" w:type="auto"/>
            <w:shd w:val="clear" w:color="auto" w:fill="auto"/>
          </w:tcPr>
          <w:p w14:paraId="45269080" w14:textId="77777777" w:rsidR="00061852" w:rsidRPr="00061268" w:rsidRDefault="00061852" w:rsidP="00B7362E">
            <w:pPr>
              <w:spacing w:after="60"/>
              <w:rPr>
                <w:rFonts w:ascii="Times New Roman" w:hAnsi="Times New Roman"/>
              </w:rPr>
            </w:pPr>
            <w:r w:rsidRPr="00061268">
              <w:rPr>
                <w:rFonts w:ascii="Times New Roman" w:hAnsi="Times New Roman"/>
              </w:rPr>
              <w:t>KPI-13 Promoting cross-sectoral solutions</w:t>
            </w:r>
          </w:p>
          <w:p w14:paraId="73824E72" w14:textId="77777777" w:rsidR="00061852" w:rsidRPr="00061268" w:rsidRDefault="00061852" w:rsidP="00B7362E">
            <w:pPr>
              <w:spacing w:after="60"/>
              <w:rPr>
                <w:rFonts w:ascii="Times New Roman" w:hAnsi="Times New Roman"/>
              </w:rPr>
            </w:pPr>
          </w:p>
          <w:p w14:paraId="69086459" w14:textId="77777777" w:rsidR="00061852" w:rsidRPr="00061268" w:rsidRDefault="00061852" w:rsidP="00B7362E">
            <w:pPr>
              <w:spacing w:after="60"/>
              <w:rPr>
                <w:rFonts w:ascii="Times New Roman" w:hAnsi="Times New Roman"/>
              </w:rPr>
            </w:pPr>
            <w:r w:rsidRPr="00061268">
              <w:rPr>
                <w:rFonts w:ascii="Times New Roman" w:hAnsi="Times New Roman"/>
                <w:i/>
                <w:iCs/>
              </w:rPr>
              <w:t>Share of JU budget supporting projects covering more than one area of the hydrogen value chain</w:t>
            </w:r>
          </w:p>
        </w:tc>
        <w:tc>
          <w:tcPr>
            <w:tcW w:w="0" w:type="auto"/>
          </w:tcPr>
          <w:p w14:paraId="01FE8AC5" w14:textId="77777777" w:rsidR="00061852" w:rsidRPr="00061268" w:rsidRDefault="00061852" w:rsidP="00B7362E">
            <w:pPr>
              <w:spacing w:after="60"/>
              <w:rPr>
                <w:rFonts w:ascii="Times New Roman" w:hAnsi="Times New Roman"/>
              </w:rPr>
            </w:pPr>
            <w:r w:rsidRPr="00061268">
              <w:rPr>
                <w:rFonts w:ascii="Times New Roman" w:hAnsi="Times New Roman"/>
              </w:rPr>
              <w:t>Data Source: Project data</w:t>
            </w:r>
          </w:p>
          <w:p w14:paraId="1D1E5247" w14:textId="77777777" w:rsidR="00061852" w:rsidRPr="00061268" w:rsidRDefault="00061852" w:rsidP="00B7362E">
            <w:pPr>
              <w:spacing w:after="60"/>
              <w:rPr>
                <w:rFonts w:ascii="Times New Roman" w:hAnsi="Times New Roman"/>
              </w:rPr>
            </w:pPr>
            <w:r w:rsidRPr="00061268">
              <w:rPr>
                <w:rFonts w:ascii="Times New Roman" w:hAnsi="Times New Roman"/>
              </w:rPr>
              <w:t>Methodology: Cumulative JU funding for relevant projects over total JU funding up to the reference year</w:t>
            </w:r>
            <w:r>
              <w:rPr>
                <w:rFonts w:ascii="Times New Roman" w:hAnsi="Times New Roman"/>
              </w:rPr>
              <w:t>.</w:t>
            </w:r>
          </w:p>
          <w:p w14:paraId="2F4735CE" w14:textId="77777777" w:rsidR="00061852" w:rsidRPr="00061268" w:rsidRDefault="00061852" w:rsidP="00B7362E">
            <w:pPr>
              <w:spacing w:after="60"/>
              <w:rPr>
                <w:rFonts w:ascii="Times New Roman" w:hAnsi="Times New Roman"/>
              </w:rPr>
            </w:pPr>
            <w:r w:rsidRPr="00061268">
              <w:rPr>
                <w:rFonts w:ascii="Times New Roman" w:hAnsi="Times New Roman"/>
              </w:rPr>
              <w:t>Measurement Unit: % of JU budget</w:t>
            </w:r>
          </w:p>
          <w:p w14:paraId="59E7D94E" w14:textId="77777777" w:rsidR="00061852" w:rsidRPr="00061268" w:rsidRDefault="00061852" w:rsidP="00B7362E">
            <w:pPr>
              <w:spacing w:after="60"/>
              <w:rPr>
                <w:rFonts w:ascii="Times New Roman" w:hAnsi="Times New Roman"/>
              </w:rPr>
            </w:pPr>
          </w:p>
        </w:tc>
        <w:tc>
          <w:tcPr>
            <w:tcW w:w="0" w:type="auto"/>
            <w:shd w:val="clear" w:color="auto" w:fill="auto"/>
          </w:tcPr>
          <w:p w14:paraId="2E886B64" w14:textId="77777777" w:rsidR="00061852" w:rsidRPr="006A013F" w:rsidRDefault="00061852" w:rsidP="00B7362E">
            <w:pPr>
              <w:spacing w:after="60"/>
              <w:jc w:val="center"/>
              <w:rPr>
                <w:rFonts w:ascii="Times New Roman" w:hAnsi="Times New Roman"/>
              </w:rPr>
            </w:pPr>
            <w:r w:rsidRPr="006A013F">
              <w:rPr>
                <w:rFonts w:ascii="Times New Roman" w:hAnsi="Times New Roman"/>
              </w:rPr>
              <w:t>15</w:t>
            </w:r>
          </w:p>
        </w:tc>
        <w:tc>
          <w:tcPr>
            <w:tcW w:w="0" w:type="auto"/>
            <w:shd w:val="clear" w:color="auto" w:fill="auto"/>
          </w:tcPr>
          <w:p w14:paraId="428C9DF1" w14:textId="77777777" w:rsidR="00061852" w:rsidRPr="006A013F" w:rsidRDefault="00061852" w:rsidP="00B7362E">
            <w:pPr>
              <w:spacing w:after="60"/>
              <w:jc w:val="center"/>
              <w:rPr>
                <w:rFonts w:ascii="Times New Roman" w:hAnsi="Times New Roman"/>
              </w:rPr>
            </w:pPr>
            <w:r w:rsidRPr="006A013F">
              <w:rPr>
                <w:rFonts w:ascii="Times New Roman" w:hAnsi="Times New Roman"/>
              </w:rPr>
              <w:t>10</w:t>
            </w:r>
          </w:p>
        </w:tc>
        <w:tc>
          <w:tcPr>
            <w:tcW w:w="0" w:type="auto"/>
            <w:shd w:val="clear" w:color="auto" w:fill="auto"/>
          </w:tcPr>
          <w:p w14:paraId="2793EC63" w14:textId="77777777" w:rsidR="00061852" w:rsidRPr="006A013F" w:rsidRDefault="00061852" w:rsidP="00B7362E">
            <w:pPr>
              <w:spacing w:after="60"/>
              <w:jc w:val="center"/>
              <w:rPr>
                <w:rFonts w:ascii="Times New Roman" w:hAnsi="Times New Roman"/>
              </w:rPr>
            </w:pPr>
            <w:r w:rsidRPr="006A013F">
              <w:rPr>
                <w:rFonts w:ascii="Times New Roman" w:hAnsi="Times New Roman"/>
              </w:rPr>
              <w:t>15</w:t>
            </w:r>
          </w:p>
        </w:tc>
        <w:tc>
          <w:tcPr>
            <w:tcW w:w="0" w:type="auto"/>
            <w:shd w:val="clear" w:color="auto" w:fill="auto"/>
          </w:tcPr>
          <w:p w14:paraId="70E05087" w14:textId="77777777" w:rsidR="00061852" w:rsidRPr="006A013F" w:rsidRDefault="00061852" w:rsidP="00B7362E">
            <w:pPr>
              <w:spacing w:after="60"/>
              <w:jc w:val="center"/>
              <w:rPr>
                <w:rFonts w:ascii="Times New Roman" w:hAnsi="Times New Roman"/>
              </w:rPr>
            </w:pPr>
            <w:r w:rsidRPr="006A013F">
              <w:rPr>
                <w:rFonts w:ascii="Times New Roman" w:hAnsi="Times New Roman"/>
              </w:rPr>
              <w:t>25</w:t>
            </w:r>
          </w:p>
        </w:tc>
      </w:tr>
      <w:tr w:rsidR="00061852" w:rsidRPr="006A013F" w14:paraId="09C1AD9D" w14:textId="77777777" w:rsidTr="00B7362E">
        <w:trPr>
          <w:trHeight w:val="5021"/>
        </w:trPr>
        <w:tc>
          <w:tcPr>
            <w:tcW w:w="0" w:type="auto"/>
            <w:vMerge w:val="restart"/>
          </w:tcPr>
          <w:p w14:paraId="4E33B790" w14:textId="77777777" w:rsidR="00061852" w:rsidRPr="00061268" w:rsidRDefault="00061852" w:rsidP="00B7362E">
            <w:pPr>
              <w:spacing w:after="60"/>
              <w:rPr>
                <w:rFonts w:ascii="Times New Roman" w:hAnsi="Times New Roman"/>
                <w:b/>
              </w:rPr>
            </w:pPr>
            <w:r w:rsidRPr="00061268">
              <w:rPr>
                <w:rFonts w:ascii="Times New Roman" w:hAnsi="Times New Roman"/>
                <w:b/>
              </w:rPr>
              <w:lastRenderedPageBreak/>
              <w:t>General Level Impacts</w:t>
            </w:r>
          </w:p>
          <w:p w14:paraId="3115FC8F" w14:textId="77777777" w:rsidR="00061852" w:rsidRPr="00061268" w:rsidRDefault="00061852" w:rsidP="00B7362E">
            <w:pPr>
              <w:spacing w:after="60"/>
              <w:rPr>
                <w:rFonts w:ascii="Times New Roman" w:hAnsi="Times New Roman"/>
                <w:b/>
              </w:rPr>
            </w:pPr>
            <w:r w:rsidRPr="00061268">
              <w:rPr>
                <w:rFonts w:ascii="Times New Roman" w:hAnsi="Times New Roman"/>
              </w:rPr>
              <w:t>(Linked to the general objectives in the SBA specific to the JU, the</w:t>
            </w:r>
            <w:r>
              <w:rPr>
                <w:rFonts w:ascii="Times New Roman" w:hAnsi="Times New Roman"/>
              </w:rPr>
              <w:t xml:space="preserve"> </w:t>
            </w:r>
            <w:r w:rsidRPr="00061268">
              <w:rPr>
                <w:rFonts w:ascii="Times New Roman" w:hAnsi="Times New Roman"/>
              </w:rPr>
              <w:t>priorities of the Union</w:t>
            </w:r>
            <w:r>
              <w:rPr>
                <w:rStyle w:val="FootnoteReference"/>
                <w:rFonts w:ascii="Times New Roman" w:eastAsia="Arial" w:hAnsi="Times New Roman"/>
              </w:rPr>
              <w:footnoteReference w:id="280"/>
            </w:r>
            <w:r w:rsidRPr="00061268">
              <w:rPr>
                <w:rFonts w:ascii="Times New Roman" w:hAnsi="Times New Roman"/>
              </w:rPr>
              <w:t xml:space="preserve"> and the strategy map of the JU)</w:t>
            </w:r>
          </w:p>
        </w:tc>
        <w:tc>
          <w:tcPr>
            <w:tcW w:w="0" w:type="auto"/>
          </w:tcPr>
          <w:p w14:paraId="3386CD58" w14:textId="53003F3E" w:rsidR="00061852" w:rsidRPr="001F6656" w:rsidRDefault="00061852" w:rsidP="00B7362E">
            <w:pPr>
              <w:spacing w:after="60"/>
              <w:rPr>
                <w:rFonts w:ascii="Times New Roman" w:hAnsi="Times New Roman"/>
              </w:rPr>
            </w:pPr>
            <w:r w:rsidRPr="001F6656">
              <w:rPr>
                <w:rFonts w:ascii="Times New Roman" w:hAnsi="Times New Roman"/>
              </w:rPr>
              <w:t xml:space="preserve">Impact-1 </w:t>
            </w:r>
            <w:r>
              <w:rPr>
                <w:rFonts w:ascii="Times New Roman" w:hAnsi="Times New Roman"/>
              </w:rPr>
              <w:t>Act</w:t>
            </w:r>
            <w:r w:rsidR="004D3871">
              <w:rPr>
                <w:rFonts w:ascii="Times New Roman" w:hAnsi="Times New Roman"/>
              </w:rPr>
              <w:t>ion</w:t>
            </w:r>
            <w:r>
              <w:rPr>
                <w:rFonts w:ascii="Times New Roman" w:hAnsi="Times New Roman"/>
              </w:rPr>
              <w:t xml:space="preserve"> against</w:t>
            </w:r>
            <w:r w:rsidRPr="001F6656">
              <w:rPr>
                <w:rFonts w:ascii="Times New Roman" w:hAnsi="Times New Roman"/>
              </w:rPr>
              <w:t xml:space="preserve"> climate change by drastically reducing greenhouse gas emissions </w:t>
            </w:r>
          </w:p>
          <w:p w14:paraId="5580892D" w14:textId="77777777" w:rsidR="00061852" w:rsidRPr="001F6656" w:rsidRDefault="00061852" w:rsidP="00B7362E">
            <w:pPr>
              <w:spacing w:after="60"/>
              <w:rPr>
                <w:rFonts w:ascii="Times New Roman" w:hAnsi="Times New Roman"/>
                <w:i/>
              </w:rPr>
            </w:pPr>
          </w:p>
          <w:p w14:paraId="3F1B65E1" w14:textId="77777777" w:rsidR="00061852" w:rsidRPr="001F6656" w:rsidRDefault="00061852" w:rsidP="00B7362E">
            <w:pPr>
              <w:spacing w:after="60"/>
              <w:rPr>
                <w:rFonts w:ascii="Times New Roman" w:hAnsi="Times New Roman"/>
                <w:i/>
              </w:rPr>
            </w:pPr>
            <w:r w:rsidRPr="001F6656">
              <w:rPr>
                <w:rFonts w:ascii="Times New Roman" w:hAnsi="Times New Roman"/>
                <w:i/>
              </w:rPr>
              <w:t>Link with SBA: GO (a)</w:t>
            </w:r>
          </w:p>
          <w:p w14:paraId="19203D1C" w14:textId="77777777" w:rsidR="00061852" w:rsidRPr="001F6656" w:rsidRDefault="00061852" w:rsidP="00B7362E">
            <w:pPr>
              <w:spacing w:after="60"/>
              <w:rPr>
                <w:rFonts w:ascii="Times New Roman" w:hAnsi="Times New Roman"/>
                <w:i/>
              </w:rPr>
            </w:pPr>
            <w:r w:rsidRPr="001F6656">
              <w:rPr>
                <w:rFonts w:ascii="Times New Roman" w:hAnsi="Times New Roman"/>
                <w:i/>
              </w:rPr>
              <w:t>Link with SDG: (1</w:t>
            </w:r>
            <w:r>
              <w:rPr>
                <w:rFonts w:ascii="Times New Roman" w:hAnsi="Times New Roman"/>
                <w:i/>
              </w:rPr>
              <w:t>2</w:t>
            </w:r>
            <w:r w:rsidRPr="001F6656">
              <w:rPr>
                <w:rFonts w:ascii="Times New Roman" w:hAnsi="Times New Roman"/>
                <w:i/>
              </w:rPr>
              <w:t>)</w:t>
            </w:r>
            <w:r>
              <w:rPr>
                <w:rFonts w:ascii="Times New Roman" w:hAnsi="Times New Roman"/>
                <w:i/>
              </w:rPr>
              <w:t>/(13)</w:t>
            </w:r>
          </w:p>
          <w:p w14:paraId="04D522E2" w14:textId="77777777" w:rsidR="00061852" w:rsidRPr="001F6656" w:rsidRDefault="00061852" w:rsidP="00B7362E">
            <w:pPr>
              <w:spacing w:after="60"/>
              <w:rPr>
                <w:rFonts w:ascii="Times New Roman" w:hAnsi="Times New Roman"/>
                <w:i/>
              </w:rPr>
            </w:pPr>
            <w:r w:rsidRPr="001F6656">
              <w:rPr>
                <w:rFonts w:ascii="Times New Roman" w:hAnsi="Times New Roman"/>
                <w:i/>
              </w:rPr>
              <w:t xml:space="preserve">Link with KSO: </w:t>
            </w:r>
          </w:p>
          <w:p w14:paraId="7FA7E50E" w14:textId="77777777" w:rsidR="00061852" w:rsidRPr="001F6656" w:rsidRDefault="00061852" w:rsidP="00B7362E">
            <w:pPr>
              <w:spacing w:after="60"/>
              <w:rPr>
                <w:rFonts w:ascii="Times New Roman" w:hAnsi="Times New Roman"/>
                <w:i/>
              </w:rPr>
            </w:pPr>
            <w:r w:rsidRPr="001F6656">
              <w:rPr>
                <w:rFonts w:ascii="Times New Roman" w:hAnsi="Times New Roman"/>
                <w:i/>
              </w:rPr>
              <w:t>Expected Impact (22)</w:t>
            </w:r>
          </w:p>
          <w:p w14:paraId="670B49B0" w14:textId="77777777" w:rsidR="00061852" w:rsidRPr="001F6656" w:rsidRDefault="00061852" w:rsidP="00B7362E">
            <w:pPr>
              <w:spacing w:after="60"/>
              <w:rPr>
                <w:rFonts w:ascii="Times New Roman" w:hAnsi="Times New Roman"/>
                <w:i/>
              </w:rPr>
            </w:pPr>
            <w:r w:rsidRPr="001F6656">
              <w:rPr>
                <w:rFonts w:ascii="Times New Roman" w:hAnsi="Times New Roman"/>
                <w:i/>
              </w:rPr>
              <w:t xml:space="preserve">Link with KIP: </w:t>
            </w:r>
          </w:p>
          <w:p w14:paraId="3716CBAA" w14:textId="77777777" w:rsidR="00061852" w:rsidRDefault="00061852" w:rsidP="00B7362E">
            <w:pPr>
              <w:spacing w:after="60"/>
              <w:rPr>
                <w:rFonts w:ascii="Times New Roman" w:hAnsi="Times New Roman"/>
                <w:i/>
              </w:rPr>
            </w:pPr>
            <w:r w:rsidRPr="001F6656">
              <w:rPr>
                <w:rFonts w:ascii="Times New Roman" w:hAnsi="Times New Roman"/>
                <w:i/>
              </w:rPr>
              <w:t>Societal Impact (4)</w:t>
            </w:r>
          </w:p>
          <w:p w14:paraId="009013BA" w14:textId="77777777" w:rsidR="00061852" w:rsidRPr="00061268" w:rsidRDefault="00061852" w:rsidP="00B7362E">
            <w:pPr>
              <w:spacing w:after="60"/>
              <w:rPr>
                <w:rFonts w:ascii="Times New Roman" w:hAnsi="Times New Roman"/>
                <w:highlight w:val="yellow"/>
              </w:rPr>
            </w:pPr>
          </w:p>
        </w:tc>
        <w:tc>
          <w:tcPr>
            <w:tcW w:w="0" w:type="auto"/>
            <w:shd w:val="clear" w:color="auto" w:fill="auto"/>
          </w:tcPr>
          <w:p w14:paraId="32516751" w14:textId="77777777" w:rsidR="00061852" w:rsidRPr="00061268" w:rsidRDefault="00061852" w:rsidP="00B7362E">
            <w:pPr>
              <w:spacing w:after="60"/>
              <w:rPr>
                <w:rFonts w:ascii="Times New Roman" w:hAnsi="Times New Roman"/>
              </w:rPr>
            </w:pPr>
            <w:r w:rsidRPr="00061268">
              <w:rPr>
                <w:rFonts w:ascii="Times New Roman" w:hAnsi="Times New Roman"/>
              </w:rPr>
              <w:t>KPI-1</w:t>
            </w:r>
            <w:r>
              <w:rPr>
                <w:rFonts w:ascii="Times New Roman" w:hAnsi="Times New Roman"/>
              </w:rPr>
              <w:t>4</w:t>
            </w:r>
            <w:r w:rsidRPr="00061268">
              <w:rPr>
                <w:rFonts w:ascii="Times New Roman" w:hAnsi="Times New Roman"/>
              </w:rPr>
              <w:t xml:space="preserve"> Expected avoided emissions </w:t>
            </w:r>
          </w:p>
          <w:p w14:paraId="77F5505C" w14:textId="77777777" w:rsidR="00061852" w:rsidRPr="00061268" w:rsidRDefault="00061852" w:rsidP="00B7362E">
            <w:pPr>
              <w:spacing w:after="60"/>
              <w:rPr>
                <w:rFonts w:ascii="Times New Roman" w:hAnsi="Times New Roman"/>
                <w:i/>
                <w:iCs/>
              </w:rPr>
            </w:pPr>
          </w:p>
          <w:p w14:paraId="1918DF22" w14:textId="77777777" w:rsidR="00061852" w:rsidRPr="00061268" w:rsidRDefault="00061852" w:rsidP="00B7362E">
            <w:pPr>
              <w:spacing w:after="60"/>
              <w:rPr>
                <w:rFonts w:ascii="Times New Roman" w:hAnsi="Times New Roman"/>
                <w:i/>
                <w:iCs/>
              </w:rPr>
            </w:pPr>
            <w:r w:rsidRPr="00061268">
              <w:rPr>
                <w:rFonts w:ascii="Times New Roman" w:hAnsi="Times New Roman"/>
                <w:i/>
                <w:iCs/>
              </w:rPr>
              <w:t>For 2030 and 2050 based on the expected replacement of fossil fuels or fossil hydrogen feedstock by clean hydrogen in the sectors targeted by the JU.</w:t>
            </w:r>
          </w:p>
        </w:tc>
        <w:tc>
          <w:tcPr>
            <w:tcW w:w="0" w:type="auto"/>
          </w:tcPr>
          <w:p w14:paraId="6A34E767" w14:textId="77777777" w:rsidR="00061852" w:rsidRPr="00061268" w:rsidRDefault="00061852" w:rsidP="00B7362E">
            <w:pPr>
              <w:spacing w:after="60"/>
              <w:rPr>
                <w:rFonts w:ascii="Times New Roman" w:hAnsi="Times New Roman"/>
              </w:rPr>
            </w:pPr>
            <w:r w:rsidRPr="00061268">
              <w:rPr>
                <w:rFonts w:ascii="Times New Roman" w:hAnsi="Times New Roman"/>
              </w:rPr>
              <w:t>Data Source: Fuel Cell and Hydrogen Observatory (FCHO)</w:t>
            </w:r>
            <w:r w:rsidRPr="00061268">
              <w:rPr>
                <w:rStyle w:val="FootnoteReference"/>
                <w:rFonts w:ascii="Times New Roman" w:eastAsia="Arial" w:hAnsi="Times New Roman"/>
              </w:rPr>
              <w:footnoteReference w:id="281"/>
            </w:r>
            <w:r>
              <w:rPr>
                <w:rFonts w:ascii="Times New Roman" w:hAnsi="Times New Roman"/>
              </w:rPr>
              <w:t xml:space="preserve"> or s</w:t>
            </w:r>
            <w:r w:rsidRPr="00061268">
              <w:rPr>
                <w:rFonts w:ascii="Times New Roman" w:hAnsi="Times New Roman"/>
              </w:rPr>
              <w:t xml:space="preserve">tudy or desk research of existing studies </w:t>
            </w:r>
          </w:p>
          <w:p w14:paraId="0A9E4246" w14:textId="77777777" w:rsidR="00061852" w:rsidRPr="00061268" w:rsidRDefault="00061852" w:rsidP="00B7362E">
            <w:pPr>
              <w:spacing w:after="60"/>
              <w:rPr>
                <w:rFonts w:ascii="Times New Roman" w:hAnsi="Times New Roman"/>
              </w:rPr>
            </w:pPr>
            <w:r w:rsidRPr="00061268">
              <w:rPr>
                <w:rFonts w:ascii="Times New Roman" w:hAnsi="Times New Roman"/>
              </w:rPr>
              <w:t>Methodology: Economic analysis of emissions in the specific sectors, comparing prolongation of current technologies and fuels versus scenarios where the technologies developed by the JU projects can be scaled up and achieve their targets, replacing conventional technologies and fuels whe</w:t>
            </w:r>
            <w:r>
              <w:rPr>
                <w:rFonts w:ascii="Times New Roman" w:hAnsi="Times New Roman"/>
              </w:rPr>
              <w:t>n</w:t>
            </w:r>
            <w:r w:rsidRPr="00061268">
              <w:rPr>
                <w:rFonts w:ascii="Times New Roman" w:hAnsi="Times New Roman"/>
              </w:rPr>
              <w:t xml:space="preserve"> it is economic to do so. </w:t>
            </w:r>
          </w:p>
          <w:p w14:paraId="74612176" w14:textId="77777777" w:rsidR="00061852" w:rsidRDefault="00061852" w:rsidP="00B7362E">
            <w:pPr>
              <w:spacing w:after="60"/>
              <w:rPr>
                <w:rFonts w:ascii="Times New Roman" w:hAnsi="Times New Roman"/>
                <w:i/>
                <w:iCs/>
              </w:rPr>
            </w:pPr>
            <w:r w:rsidRPr="001F6656">
              <w:rPr>
                <w:rFonts w:ascii="Times New Roman" w:hAnsi="Times New Roman"/>
                <w:i/>
                <w:iCs/>
              </w:rPr>
              <w:t>Note: The aim will be to assess the development of low carbon solutions and not to compare them versus other competing low carbon solutions.</w:t>
            </w:r>
          </w:p>
          <w:p w14:paraId="4D4DA83F" w14:textId="77777777" w:rsidR="00061852" w:rsidRPr="001F6656" w:rsidRDefault="00061852" w:rsidP="00B7362E">
            <w:pPr>
              <w:spacing w:after="60"/>
              <w:rPr>
                <w:rFonts w:ascii="Times New Roman" w:hAnsi="Times New Roman"/>
              </w:rPr>
            </w:pPr>
            <w:r w:rsidRPr="00061268">
              <w:rPr>
                <w:rFonts w:ascii="Times New Roman" w:hAnsi="Times New Roman"/>
              </w:rPr>
              <w:t>Measurement Unit: % of JU budget</w:t>
            </w:r>
          </w:p>
        </w:tc>
        <w:tc>
          <w:tcPr>
            <w:tcW w:w="0" w:type="auto"/>
            <w:shd w:val="clear" w:color="auto" w:fill="auto"/>
          </w:tcPr>
          <w:p w14:paraId="373C66CF" w14:textId="77777777" w:rsidR="00061852" w:rsidRPr="006A013F" w:rsidRDefault="00061852" w:rsidP="00B7362E">
            <w:pPr>
              <w:spacing w:after="60"/>
              <w:jc w:val="center"/>
              <w:rPr>
                <w:rFonts w:ascii="Times New Roman" w:hAnsi="Times New Roman"/>
              </w:rPr>
            </w:pPr>
            <w:r w:rsidRPr="006A013F">
              <w:rPr>
                <w:rFonts w:ascii="Times New Roman" w:hAnsi="Times New Roman"/>
              </w:rPr>
              <w:t>TBD</w:t>
            </w:r>
            <w:r w:rsidRPr="006A013F">
              <w:rPr>
                <w:rFonts w:ascii="Times New Roman" w:hAnsi="Times New Roman"/>
                <w:vertAlign w:val="superscript"/>
              </w:rPr>
              <w:fldChar w:fldCharType="begin"/>
            </w:r>
            <w:r w:rsidRPr="006A013F">
              <w:rPr>
                <w:rFonts w:ascii="Times New Roman" w:hAnsi="Times New Roman"/>
                <w:vertAlign w:val="superscript"/>
              </w:rPr>
              <w:instrText xml:space="preserve"> NOTEREF _Ref90884814 \h  \* MERGEFORMAT </w:instrText>
            </w:r>
            <w:r w:rsidRPr="006A013F">
              <w:rPr>
                <w:rFonts w:ascii="Times New Roman" w:hAnsi="Times New Roman"/>
                <w:vertAlign w:val="superscript"/>
              </w:rPr>
            </w:r>
            <w:r w:rsidRPr="006A013F">
              <w:rPr>
                <w:rFonts w:ascii="Times New Roman" w:hAnsi="Times New Roman"/>
                <w:vertAlign w:val="superscript"/>
              </w:rPr>
              <w:fldChar w:fldCharType="separate"/>
            </w:r>
            <w:r>
              <w:rPr>
                <w:rFonts w:ascii="Times New Roman" w:hAnsi="Times New Roman"/>
                <w:vertAlign w:val="superscript"/>
              </w:rPr>
              <w:t>5</w:t>
            </w:r>
            <w:r w:rsidRPr="006A013F">
              <w:rPr>
                <w:rFonts w:ascii="Times New Roman" w:hAnsi="Times New Roman"/>
                <w:vertAlign w:val="superscript"/>
              </w:rPr>
              <w:fldChar w:fldCharType="end"/>
            </w:r>
          </w:p>
        </w:tc>
        <w:tc>
          <w:tcPr>
            <w:tcW w:w="0" w:type="auto"/>
            <w:gridSpan w:val="3"/>
            <w:shd w:val="clear" w:color="auto" w:fill="auto"/>
          </w:tcPr>
          <w:p w14:paraId="2340D896" w14:textId="77777777" w:rsidR="00061852" w:rsidRPr="006A013F" w:rsidRDefault="00061852" w:rsidP="00B7362E">
            <w:pPr>
              <w:spacing w:after="60"/>
              <w:jc w:val="center"/>
              <w:rPr>
                <w:rFonts w:ascii="Times New Roman" w:hAnsi="Times New Roman"/>
              </w:rPr>
            </w:pPr>
            <w:r w:rsidRPr="006A013F">
              <w:rPr>
                <w:rFonts w:ascii="Times New Roman" w:hAnsi="Times New Roman"/>
              </w:rPr>
              <w:t>Targets, to be determined, will be set for 2030 and 2050.</w:t>
            </w:r>
          </w:p>
        </w:tc>
      </w:tr>
      <w:tr w:rsidR="00061852" w:rsidRPr="006A013F" w14:paraId="3C141071" w14:textId="77777777" w:rsidTr="00B7362E">
        <w:trPr>
          <w:trHeight w:val="2880"/>
        </w:trPr>
        <w:tc>
          <w:tcPr>
            <w:tcW w:w="0" w:type="auto"/>
            <w:vMerge/>
          </w:tcPr>
          <w:p w14:paraId="662E1F93" w14:textId="77777777" w:rsidR="00061852" w:rsidRPr="00061268" w:rsidRDefault="00061852" w:rsidP="00B7362E">
            <w:pPr>
              <w:spacing w:after="60"/>
              <w:rPr>
                <w:rFonts w:ascii="Times New Roman" w:hAnsi="Times New Roman"/>
                <w:b/>
              </w:rPr>
            </w:pPr>
          </w:p>
        </w:tc>
        <w:tc>
          <w:tcPr>
            <w:tcW w:w="0" w:type="auto"/>
            <w:vMerge w:val="restart"/>
          </w:tcPr>
          <w:p w14:paraId="127E2571" w14:textId="77777777" w:rsidR="00061852" w:rsidRPr="00CA0229" w:rsidRDefault="00061852" w:rsidP="00B7362E">
            <w:pPr>
              <w:spacing w:after="60"/>
              <w:rPr>
                <w:rFonts w:ascii="Times New Roman" w:hAnsi="Times New Roman"/>
              </w:rPr>
            </w:pPr>
            <w:r w:rsidRPr="00CA0229">
              <w:rPr>
                <w:rFonts w:ascii="Times New Roman" w:hAnsi="Times New Roman"/>
              </w:rPr>
              <w:t>Impact-2 Transition to a clean energy system with renewable hydrogen as one of its main pillars</w:t>
            </w:r>
          </w:p>
          <w:p w14:paraId="0C6F2E21" w14:textId="77777777" w:rsidR="00061852" w:rsidRPr="00CA0229" w:rsidRDefault="00061852" w:rsidP="00B7362E">
            <w:pPr>
              <w:spacing w:after="60"/>
              <w:rPr>
                <w:rFonts w:ascii="Times New Roman" w:hAnsi="Times New Roman"/>
              </w:rPr>
            </w:pPr>
          </w:p>
          <w:p w14:paraId="204965CE" w14:textId="77777777" w:rsidR="00061852" w:rsidRPr="00CA0229" w:rsidRDefault="00061852" w:rsidP="00B7362E">
            <w:pPr>
              <w:spacing w:after="60"/>
              <w:rPr>
                <w:rFonts w:ascii="Times New Roman" w:hAnsi="Times New Roman"/>
                <w:i/>
              </w:rPr>
            </w:pPr>
            <w:r w:rsidRPr="00CA0229">
              <w:rPr>
                <w:rFonts w:ascii="Times New Roman" w:hAnsi="Times New Roman"/>
                <w:i/>
              </w:rPr>
              <w:t>Link with SBA: GO (a)/(b)/(c)/(d)</w:t>
            </w:r>
          </w:p>
          <w:p w14:paraId="3AD3640E" w14:textId="77777777" w:rsidR="00061852" w:rsidRPr="00CA0229" w:rsidRDefault="00061852" w:rsidP="00B7362E">
            <w:pPr>
              <w:spacing w:after="60"/>
              <w:rPr>
                <w:rFonts w:ascii="Times New Roman" w:hAnsi="Times New Roman"/>
                <w:i/>
              </w:rPr>
            </w:pPr>
            <w:r w:rsidRPr="00CA0229">
              <w:rPr>
                <w:rFonts w:ascii="Times New Roman" w:hAnsi="Times New Roman"/>
                <w:i/>
              </w:rPr>
              <w:t>Link with SDG: (7)/(11)</w:t>
            </w:r>
          </w:p>
          <w:p w14:paraId="5AB24D38" w14:textId="77777777" w:rsidR="00061852" w:rsidRPr="001F6656" w:rsidRDefault="00061852" w:rsidP="00B7362E">
            <w:pPr>
              <w:spacing w:after="60"/>
              <w:rPr>
                <w:rFonts w:ascii="Times New Roman" w:hAnsi="Times New Roman"/>
                <w:i/>
              </w:rPr>
            </w:pPr>
            <w:r w:rsidRPr="00CA0229">
              <w:rPr>
                <w:rFonts w:ascii="Times New Roman" w:hAnsi="Times New Roman"/>
                <w:i/>
              </w:rPr>
              <w:t>Link with KSO</w:t>
            </w:r>
            <w:r w:rsidRPr="001F6656">
              <w:rPr>
                <w:rFonts w:ascii="Times New Roman" w:hAnsi="Times New Roman"/>
                <w:i/>
              </w:rPr>
              <w:t xml:space="preserve">: </w:t>
            </w:r>
          </w:p>
          <w:p w14:paraId="054938E9" w14:textId="77777777" w:rsidR="00061852" w:rsidRPr="001F6656" w:rsidRDefault="00061852" w:rsidP="00B7362E">
            <w:pPr>
              <w:spacing w:after="60"/>
              <w:rPr>
                <w:rFonts w:ascii="Times New Roman" w:hAnsi="Times New Roman"/>
                <w:i/>
              </w:rPr>
            </w:pPr>
            <w:r w:rsidRPr="001F6656">
              <w:rPr>
                <w:rFonts w:ascii="Times New Roman" w:hAnsi="Times New Roman"/>
                <w:i/>
              </w:rPr>
              <w:t xml:space="preserve">Expected Impact </w:t>
            </w:r>
            <w:r>
              <w:rPr>
                <w:rFonts w:ascii="Times New Roman" w:hAnsi="Times New Roman"/>
                <w:i/>
              </w:rPr>
              <w:t>(22)/(23)/(24)</w:t>
            </w:r>
          </w:p>
          <w:p w14:paraId="6518F4C5" w14:textId="77777777" w:rsidR="00061852" w:rsidRPr="001F6656" w:rsidRDefault="00061852" w:rsidP="00B7362E">
            <w:pPr>
              <w:spacing w:after="60"/>
              <w:rPr>
                <w:rFonts w:ascii="Times New Roman" w:hAnsi="Times New Roman"/>
                <w:i/>
              </w:rPr>
            </w:pPr>
            <w:r w:rsidRPr="001F6656">
              <w:rPr>
                <w:rFonts w:ascii="Times New Roman" w:hAnsi="Times New Roman"/>
                <w:i/>
              </w:rPr>
              <w:t xml:space="preserve">Link with KIP: </w:t>
            </w:r>
          </w:p>
          <w:p w14:paraId="09731744" w14:textId="77777777" w:rsidR="00061852" w:rsidRDefault="00061852" w:rsidP="00B7362E">
            <w:pPr>
              <w:spacing w:after="60"/>
              <w:rPr>
                <w:rFonts w:ascii="Times New Roman" w:hAnsi="Times New Roman"/>
                <w:i/>
              </w:rPr>
            </w:pPr>
            <w:r w:rsidRPr="001F6656">
              <w:rPr>
                <w:rFonts w:ascii="Times New Roman" w:hAnsi="Times New Roman"/>
                <w:i/>
              </w:rPr>
              <w:t>Societal Impact (</w:t>
            </w:r>
            <w:r>
              <w:rPr>
                <w:rFonts w:ascii="Times New Roman" w:hAnsi="Times New Roman"/>
                <w:i/>
              </w:rPr>
              <w:t>4</w:t>
            </w:r>
            <w:r w:rsidRPr="001F6656">
              <w:rPr>
                <w:rFonts w:ascii="Times New Roman" w:hAnsi="Times New Roman"/>
                <w:i/>
              </w:rPr>
              <w:t>)</w:t>
            </w:r>
            <w:r>
              <w:rPr>
                <w:rFonts w:ascii="Times New Roman" w:hAnsi="Times New Roman"/>
                <w:i/>
              </w:rPr>
              <w:t>/(5)</w:t>
            </w:r>
          </w:p>
          <w:p w14:paraId="1F503C2F" w14:textId="77777777" w:rsidR="00061852" w:rsidRDefault="00061852" w:rsidP="00B7362E">
            <w:pPr>
              <w:spacing w:after="60"/>
              <w:rPr>
                <w:rFonts w:ascii="Times New Roman" w:hAnsi="Times New Roman"/>
                <w:i/>
              </w:rPr>
            </w:pPr>
            <w:r>
              <w:rPr>
                <w:rFonts w:ascii="Times New Roman" w:hAnsi="Times New Roman"/>
                <w:i/>
              </w:rPr>
              <w:t>Technological/Economic (7)</w:t>
            </w:r>
          </w:p>
          <w:p w14:paraId="64219E8E" w14:textId="77777777" w:rsidR="00061852" w:rsidRPr="00061268" w:rsidRDefault="00061852" w:rsidP="00B7362E">
            <w:pPr>
              <w:spacing w:after="60"/>
              <w:rPr>
                <w:rFonts w:ascii="Times New Roman" w:hAnsi="Times New Roman"/>
                <w:highlight w:val="yellow"/>
              </w:rPr>
            </w:pPr>
          </w:p>
        </w:tc>
        <w:tc>
          <w:tcPr>
            <w:tcW w:w="0" w:type="auto"/>
            <w:shd w:val="clear" w:color="auto" w:fill="auto"/>
          </w:tcPr>
          <w:p w14:paraId="78CC925D" w14:textId="77777777" w:rsidR="00061852" w:rsidRPr="00061268" w:rsidRDefault="00061852" w:rsidP="00B7362E">
            <w:pPr>
              <w:spacing w:after="60"/>
              <w:rPr>
                <w:rFonts w:ascii="Times New Roman" w:hAnsi="Times New Roman"/>
              </w:rPr>
            </w:pPr>
            <w:r w:rsidRPr="00061268">
              <w:rPr>
                <w:rFonts w:ascii="Times New Roman" w:hAnsi="Times New Roman"/>
              </w:rPr>
              <w:t>KPI-</w:t>
            </w:r>
            <w:r>
              <w:rPr>
                <w:rFonts w:ascii="Times New Roman" w:hAnsi="Times New Roman"/>
              </w:rPr>
              <w:t>15</w:t>
            </w:r>
            <w:r w:rsidRPr="00061268">
              <w:rPr>
                <w:rFonts w:ascii="Times New Roman" w:hAnsi="Times New Roman"/>
              </w:rPr>
              <w:t xml:space="preserve"> Deployment of electrolysers </w:t>
            </w:r>
          </w:p>
          <w:p w14:paraId="5B17DF63" w14:textId="77777777" w:rsidR="00061852" w:rsidRPr="00061268" w:rsidRDefault="00061852" w:rsidP="00B7362E">
            <w:pPr>
              <w:spacing w:after="60"/>
              <w:rPr>
                <w:rFonts w:ascii="Times New Roman" w:hAnsi="Times New Roman"/>
              </w:rPr>
            </w:pPr>
          </w:p>
          <w:p w14:paraId="3DE1BE7E" w14:textId="77777777" w:rsidR="00061852" w:rsidRPr="00061268" w:rsidRDefault="00061852" w:rsidP="00B7362E">
            <w:pPr>
              <w:spacing w:after="60"/>
              <w:rPr>
                <w:rFonts w:ascii="Times New Roman" w:hAnsi="Times New Roman"/>
                <w:i/>
                <w:iCs/>
              </w:rPr>
            </w:pPr>
            <w:r w:rsidRPr="00061268">
              <w:rPr>
                <w:rFonts w:ascii="Times New Roman" w:hAnsi="Times New Roman"/>
                <w:i/>
                <w:iCs/>
              </w:rPr>
              <w:t>Total capacity of electrolysers deployed in the EU</w:t>
            </w:r>
          </w:p>
        </w:tc>
        <w:tc>
          <w:tcPr>
            <w:tcW w:w="0" w:type="auto"/>
          </w:tcPr>
          <w:p w14:paraId="1855C656" w14:textId="77777777" w:rsidR="00061852" w:rsidRPr="00061268" w:rsidRDefault="00061852" w:rsidP="00B7362E">
            <w:pPr>
              <w:spacing w:after="60"/>
              <w:rPr>
                <w:rFonts w:ascii="Times New Roman" w:hAnsi="Times New Roman"/>
              </w:rPr>
            </w:pPr>
            <w:r w:rsidRPr="00061268">
              <w:rPr>
                <w:rFonts w:ascii="Times New Roman" w:hAnsi="Times New Roman"/>
              </w:rPr>
              <w:t>Data Source:</w:t>
            </w:r>
            <w:r>
              <w:rPr>
                <w:rFonts w:ascii="Times New Roman" w:hAnsi="Times New Roman"/>
              </w:rPr>
              <w:t xml:space="preserve"> FCHO</w:t>
            </w:r>
            <w:r w:rsidRPr="00061268">
              <w:rPr>
                <w:rFonts w:ascii="Times New Roman" w:hAnsi="Times New Roman"/>
              </w:rPr>
              <w:t>, Project data</w:t>
            </w:r>
          </w:p>
          <w:p w14:paraId="2DA68D90" w14:textId="77777777" w:rsidR="00061852" w:rsidRDefault="00061852" w:rsidP="00B7362E">
            <w:pPr>
              <w:spacing w:after="60"/>
              <w:rPr>
                <w:rFonts w:ascii="Times New Roman" w:hAnsi="Times New Roman"/>
              </w:rPr>
            </w:pPr>
            <w:r w:rsidRPr="00061268">
              <w:rPr>
                <w:rFonts w:ascii="Times New Roman" w:hAnsi="Times New Roman"/>
              </w:rPr>
              <w:t xml:space="preserve">Methodology: Aggregate the capacity of electrolysers deployed in EU, reporting also the ones that were funded by the JU. Depending on data availability, report if possible </w:t>
            </w:r>
            <w:r>
              <w:rPr>
                <w:rFonts w:ascii="Times New Roman" w:hAnsi="Times New Roman"/>
              </w:rPr>
              <w:t xml:space="preserve">separately </w:t>
            </w:r>
            <w:r w:rsidRPr="00061268">
              <w:rPr>
                <w:rFonts w:ascii="Times New Roman" w:hAnsi="Times New Roman"/>
              </w:rPr>
              <w:t>renewable hydrogen production.</w:t>
            </w:r>
          </w:p>
          <w:p w14:paraId="69918941" w14:textId="77777777" w:rsidR="00061852" w:rsidRPr="00061268" w:rsidRDefault="00061852" w:rsidP="00B7362E">
            <w:pPr>
              <w:spacing w:after="60"/>
              <w:rPr>
                <w:rFonts w:ascii="Times New Roman" w:hAnsi="Times New Roman"/>
              </w:rPr>
            </w:pPr>
            <w:r w:rsidRPr="00061268">
              <w:rPr>
                <w:rFonts w:ascii="Times New Roman" w:hAnsi="Times New Roman"/>
              </w:rPr>
              <w:t xml:space="preserve">Measurement Unit: </w:t>
            </w:r>
            <w:r>
              <w:rPr>
                <w:rFonts w:ascii="Times New Roman" w:hAnsi="Times New Roman"/>
              </w:rPr>
              <w:t>GW</w:t>
            </w:r>
          </w:p>
        </w:tc>
        <w:tc>
          <w:tcPr>
            <w:tcW w:w="0" w:type="auto"/>
            <w:shd w:val="clear" w:color="auto" w:fill="auto"/>
          </w:tcPr>
          <w:p w14:paraId="0F4B6872" w14:textId="77777777" w:rsidR="00061852" w:rsidRPr="006A013F" w:rsidRDefault="00061852" w:rsidP="00B7362E">
            <w:pPr>
              <w:spacing w:after="60"/>
              <w:jc w:val="center"/>
              <w:rPr>
                <w:rFonts w:ascii="Times New Roman" w:hAnsi="Times New Roman"/>
              </w:rPr>
            </w:pPr>
            <w:r w:rsidRPr="006A013F">
              <w:rPr>
                <w:rFonts w:ascii="Times New Roman" w:hAnsi="Times New Roman"/>
              </w:rPr>
              <w:t>1</w:t>
            </w:r>
          </w:p>
        </w:tc>
        <w:tc>
          <w:tcPr>
            <w:tcW w:w="0" w:type="auto"/>
            <w:shd w:val="clear" w:color="auto" w:fill="auto"/>
          </w:tcPr>
          <w:p w14:paraId="5AF28B1E" w14:textId="77777777" w:rsidR="00061852" w:rsidRPr="006A013F" w:rsidRDefault="00061852" w:rsidP="00B7362E">
            <w:pPr>
              <w:spacing w:after="60"/>
              <w:jc w:val="center"/>
              <w:rPr>
                <w:rFonts w:ascii="Times New Roman" w:hAnsi="Times New Roman"/>
              </w:rPr>
            </w:pPr>
            <w:r w:rsidRPr="006A013F">
              <w:rPr>
                <w:rFonts w:ascii="Times New Roman" w:hAnsi="Times New Roman"/>
              </w:rPr>
              <w:t>4</w:t>
            </w:r>
            <w:bookmarkStart w:id="305" w:name="_Ref90918183"/>
            <w:r w:rsidRPr="006A013F">
              <w:rPr>
                <w:rStyle w:val="FootnoteReference"/>
                <w:rFonts w:ascii="Times New Roman" w:eastAsia="Arial" w:hAnsi="Times New Roman"/>
              </w:rPr>
              <w:footnoteReference w:id="282"/>
            </w:r>
            <w:bookmarkEnd w:id="305"/>
          </w:p>
        </w:tc>
        <w:tc>
          <w:tcPr>
            <w:tcW w:w="0" w:type="auto"/>
            <w:shd w:val="clear" w:color="auto" w:fill="auto"/>
          </w:tcPr>
          <w:p w14:paraId="25CFF676" w14:textId="77777777" w:rsidR="00061852" w:rsidRPr="006A013F" w:rsidRDefault="00061852" w:rsidP="00B7362E">
            <w:pPr>
              <w:spacing w:after="60"/>
              <w:jc w:val="center"/>
              <w:rPr>
                <w:rFonts w:ascii="Times New Roman" w:hAnsi="Times New Roman"/>
              </w:rPr>
            </w:pPr>
            <w:r w:rsidRPr="006A013F">
              <w:rPr>
                <w:rFonts w:ascii="Times New Roman" w:hAnsi="Times New Roman"/>
              </w:rPr>
              <w:t>6</w:t>
            </w:r>
          </w:p>
        </w:tc>
        <w:tc>
          <w:tcPr>
            <w:tcW w:w="0" w:type="auto"/>
            <w:shd w:val="clear" w:color="auto" w:fill="auto"/>
          </w:tcPr>
          <w:p w14:paraId="362ECA4F" w14:textId="77777777" w:rsidR="00061852" w:rsidRPr="006A013F" w:rsidRDefault="00061852" w:rsidP="00B7362E">
            <w:pPr>
              <w:spacing w:after="60"/>
              <w:jc w:val="center"/>
              <w:rPr>
                <w:rFonts w:ascii="Times New Roman" w:hAnsi="Times New Roman"/>
              </w:rPr>
            </w:pPr>
            <w:r w:rsidRPr="006A013F">
              <w:rPr>
                <w:rFonts w:ascii="Times New Roman" w:hAnsi="Times New Roman"/>
              </w:rPr>
              <w:t>10</w:t>
            </w:r>
          </w:p>
        </w:tc>
      </w:tr>
      <w:tr w:rsidR="00061852" w:rsidRPr="006A013F" w14:paraId="29301BF7" w14:textId="77777777" w:rsidTr="00B7362E">
        <w:trPr>
          <w:trHeight w:val="734"/>
        </w:trPr>
        <w:tc>
          <w:tcPr>
            <w:tcW w:w="0" w:type="auto"/>
            <w:vMerge/>
          </w:tcPr>
          <w:p w14:paraId="68C78D6C" w14:textId="77777777" w:rsidR="00061852" w:rsidRPr="00061268" w:rsidRDefault="00061852" w:rsidP="00B7362E">
            <w:pPr>
              <w:spacing w:after="60"/>
              <w:rPr>
                <w:rFonts w:ascii="Times New Roman" w:hAnsi="Times New Roman"/>
                <w:b/>
              </w:rPr>
            </w:pPr>
          </w:p>
        </w:tc>
        <w:tc>
          <w:tcPr>
            <w:tcW w:w="0" w:type="auto"/>
            <w:vMerge/>
          </w:tcPr>
          <w:p w14:paraId="4A896849" w14:textId="77777777" w:rsidR="00061852" w:rsidRPr="00061268" w:rsidRDefault="00061852" w:rsidP="00B7362E">
            <w:pPr>
              <w:spacing w:after="60"/>
              <w:rPr>
                <w:rFonts w:ascii="Times New Roman" w:hAnsi="Times New Roman"/>
                <w:highlight w:val="yellow"/>
              </w:rPr>
            </w:pPr>
          </w:p>
        </w:tc>
        <w:tc>
          <w:tcPr>
            <w:tcW w:w="0" w:type="auto"/>
            <w:shd w:val="clear" w:color="auto" w:fill="auto"/>
          </w:tcPr>
          <w:p w14:paraId="1472A29F" w14:textId="77777777" w:rsidR="00061852" w:rsidRPr="00061268" w:rsidRDefault="00061852" w:rsidP="00B7362E">
            <w:pPr>
              <w:spacing w:after="60"/>
              <w:rPr>
                <w:rFonts w:ascii="Times New Roman" w:hAnsi="Times New Roman"/>
              </w:rPr>
            </w:pPr>
            <w:r w:rsidRPr="00061268">
              <w:rPr>
                <w:rFonts w:ascii="Times New Roman" w:hAnsi="Times New Roman"/>
              </w:rPr>
              <w:t>KPI-</w:t>
            </w:r>
            <w:r>
              <w:rPr>
                <w:rFonts w:ascii="Times New Roman" w:hAnsi="Times New Roman"/>
              </w:rPr>
              <w:t>16</w:t>
            </w:r>
            <w:r w:rsidRPr="00061268">
              <w:rPr>
                <w:rFonts w:ascii="Times New Roman" w:hAnsi="Times New Roman"/>
              </w:rPr>
              <w:t xml:space="preserve"> Market uptake of clean hydrogen </w:t>
            </w:r>
          </w:p>
          <w:p w14:paraId="0CD56909" w14:textId="77777777" w:rsidR="00061852" w:rsidRPr="00061268" w:rsidRDefault="00061852" w:rsidP="00B7362E">
            <w:pPr>
              <w:spacing w:after="60"/>
              <w:rPr>
                <w:rFonts w:ascii="Times New Roman" w:hAnsi="Times New Roman"/>
                <w:i/>
                <w:iCs/>
              </w:rPr>
            </w:pPr>
          </w:p>
          <w:p w14:paraId="722B2561" w14:textId="46824B85" w:rsidR="003415F0" w:rsidRPr="00061268" w:rsidRDefault="00061852" w:rsidP="003415F0">
            <w:pPr>
              <w:spacing w:after="60"/>
              <w:rPr>
                <w:rFonts w:ascii="Times New Roman" w:hAnsi="Times New Roman"/>
              </w:rPr>
            </w:pPr>
            <w:r w:rsidRPr="00061268">
              <w:rPr>
                <w:rFonts w:ascii="Times New Roman" w:hAnsi="Times New Roman"/>
                <w:i/>
                <w:iCs/>
              </w:rPr>
              <w:t>Quantity of clean hydrogen consumed in EU.</w:t>
            </w:r>
          </w:p>
        </w:tc>
        <w:tc>
          <w:tcPr>
            <w:tcW w:w="0" w:type="auto"/>
          </w:tcPr>
          <w:p w14:paraId="7C45F365" w14:textId="77777777" w:rsidR="00061852" w:rsidRPr="00061268" w:rsidRDefault="00061852" w:rsidP="00B7362E">
            <w:pPr>
              <w:spacing w:after="60"/>
              <w:rPr>
                <w:rFonts w:ascii="Times New Roman" w:hAnsi="Times New Roman"/>
              </w:rPr>
            </w:pPr>
            <w:r w:rsidRPr="00061268">
              <w:rPr>
                <w:rFonts w:ascii="Times New Roman" w:hAnsi="Times New Roman"/>
              </w:rPr>
              <w:t>Data Source: FCHO</w:t>
            </w:r>
          </w:p>
          <w:p w14:paraId="22975EF5" w14:textId="77777777" w:rsidR="00061852" w:rsidRDefault="00061852" w:rsidP="00B7362E">
            <w:pPr>
              <w:spacing w:after="60"/>
              <w:rPr>
                <w:rFonts w:ascii="Times New Roman" w:hAnsi="Times New Roman"/>
              </w:rPr>
            </w:pPr>
            <w:r w:rsidRPr="00061268">
              <w:rPr>
                <w:rFonts w:ascii="Times New Roman" w:hAnsi="Times New Roman"/>
              </w:rPr>
              <w:t>Methodology: Total clean hydrogen consumed in the EU in the end-use sectors or used as feedstock.</w:t>
            </w:r>
          </w:p>
          <w:p w14:paraId="24229AD2" w14:textId="77777777" w:rsidR="00061852" w:rsidRPr="00061268" w:rsidRDefault="00061852" w:rsidP="00B7362E">
            <w:pPr>
              <w:spacing w:after="60"/>
              <w:rPr>
                <w:rFonts w:ascii="Times New Roman" w:hAnsi="Times New Roman"/>
              </w:rPr>
            </w:pPr>
            <w:r w:rsidRPr="00061268">
              <w:rPr>
                <w:rFonts w:ascii="Times New Roman" w:hAnsi="Times New Roman"/>
              </w:rPr>
              <w:t xml:space="preserve">Measurement Unit: </w:t>
            </w:r>
            <w:r w:rsidRPr="00C85D5E">
              <w:rPr>
                <w:rFonts w:ascii="Times New Roman" w:hAnsi="Times New Roman"/>
              </w:rPr>
              <w:t>Mt of clean hydrogen consumed</w:t>
            </w:r>
          </w:p>
        </w:tc>
        <w:tc>
          <w:tcPr>
            <w:tcW w:w="0" w:type="auto"/>
            <w:shd w:val="clear" w:color="auto" w:fill="auto"/>
          </w:tcPr>
          <w:p w14:paraId="5E9A3E82" w14:textId="77777777" w:rsidR="00061852" w:rsidRPr="006A013F" w:rsidRDefault="00061852" w:rsidP="00B7362E">
            <w:pPr>
              <w:spacing w:after="60"/>
              <w:jc w:val="center"/>
              <w:rPr>
                <w:rFonts w:ascii="Times New Roman" w:hAnsi="Times New Roman"/>
              </w:rPr>
            </w:pPr>
            <w:r w:rsidRPr="006A013F">
              <w:rPr>
                <w:rFonts w:ascii="Times New Roman" w:hAnsi="Times New Roman"/>
              </w:rPr>
              <w:t>0.155</w:t>
            </w:r>
          </w:p>
        </w:tc>
        <w:tc>
          <w:tcPr>
            <w:tcW w:w="0" w:type="auto"/>
            <w:shd w:val="clear" w:color="auto" w:fill="auto"/>
          </w:tcPr>
          <w:p w14:paraId="5E5CE15C" w14:textId="77777777" w:rsidR="00061852" w:rsidRPr="006A013F" w:rsidRDefault="00061852" w:rsidP="00B7362E">
            <w:pPr>
              <w:spacing w:after="60"/>
              <w:jc w:val="center"/>
              <w:rPr>
                <w:rFonts w:ascii="Times New Roman" w:hAnsi="Times New Roman"/>
              </w:rPr>
            </w:pPr>
            <w:r w:rsidRPr="006A013F">
              <w:rPr>
                <w:rFonts w:ascii="Times New Roman" w:hAnsi="Times New Roman"/>
              </w:rPr>
              <w:t>0.7</w:t>
            </w:r>
            <w:r w:rsidRPr="006A013F">
              <w:rPr>
                <w:rFonts w:ascii="Times New Roman" w:hAnsi="Times New Roman"/>
                <w:vertAlign w:val="superscript"/>
              </w:rPr>
              <w:fldChar w:fldCharType="begin"/>
            </w:r>
            <w:r w:rsidRPr="006A013F">
              <w:rPr>
                <w:rFonts w:ascii="Times New Roman" w:hAnsi="Times New Roman"/>
                <w:vertAlign w:val="superscript"/>
              </w:rPr>
              <w:instrText xml:space="preserve"> NOTEREF _Ref90918183 \h  \* MERGEFORMAT </w:instrText>
            </w:r>
            <w:r w:rsidRPr="006A013F">
              <w:rPr>
                <w:rFonts w:ascii="Times New Roman" w:hAnsi="Times New Roman"/>
                <w:vertAlign w:val="superscript"/>
              </w:rPr>
            </w:r>
            <w:r w:rsidRPr="006A013F">
              <w:rPr>
                <w:rFonts w:ascii="Times New Roman" w:hAnsi="Times New Roman"/>
                <w:vertAlign w:val="superscript"/>
              </w:rPr>
              <w:fldChar w:fldCharType="separate"/>
            </w:r>
            <w:r>
              <w:rPr>
                <w:rFonts w:ascii="Times New Roman" w:hAnsi="Times New Roman"/>
                <w:vertAlign w:val="superscript"/>
              </w:rPr>
              <w:t>8</w:t>
            </w:r>
            <w:r w:rsidRPr="006A013F">
              <w:rPr>
                <w:rFonts w:ascii="Times New Roman" w:hAnsi="Times New Roman"/>
                <w:vertAlign w:val="superscript"/>
              </w:rPr>
              <w:fldChar w:fldCharType="end"/>
            </w:r>
          </w:p>
        </w:tc>
        <w:tc>
          <w:tcPr>
            <w:tcW w:w="0" w:type="auto"/>
            <w:shd w:val="clear" w:color="auto" w:fill="auto"/>
          </w:tcPr>
          <w:p w14:paraId="2C3E61FC" w14:textId="77777777" w:rsidR="00061852" w:rsidRPr="006A013F" w:rsidRDefault="00061852" w:rsidP="00B7362E">
            <w:pPr>
              <w:spacing w:after="60"/>
              <w:jc w:val="center"/>
              <w:rPr>
                <w:rFonts w:ascii="Times New Roman" w:hAnsi="Times New Roman"/>
              </w:rPr>
            </w:pPr>
            <w:r w:rsidRPr="006A013F">
              <w:rPr>
                <w:rFonts w:ascii="Times New Roman" w:hAnsi="Times New Roman"/>
              </w:rPr>
              <w:t>1</w:t>
            </w:r>
          </w:p>
        </w:tc>
        <w:tc>
          <w:tcPr>
            <w:tcW w:w="0" w:type="auto"/>
            <w:shd w:val="clear" w:color="auto" w:fill="auto"/>
          </w:tcPr>
          <w:p w14:paraId="7041D909" w14:textId="77777777" w:rsidR="00061852" w:rsidRPr="006A013F" w:rsidRDefault="00061852" w:rsidP="00B7362E">
            <w:pPr>
              <w:spacing w:after="60"/>
              <w:jc w:val="center"/>
              <w:rPr>
                <w:rFonts w:ascii="Times New Roman" w:hAnsi="Times New Roman"/>
              </w:rPr>
            </w:pPr>
            <w:r w:rsidRPr="006A013F">
              <w:rPr>
                <w:rFonts w:ascii="Times New Roman" w:hAnsi="Times New Roman"/>
              </w:rPr>
              <w:t>2</w:t>
            </w:r>
          </w:p>
        </w:tc>
      </w:tr>
      <w:tr w:rsidR="00061852" w:rsidRPr="006A013F" w14:paraId="133B1167" w14:textId="77777777" w:rsidTr="003415F0">
        <w:trPr>
          <w:trHeight w:val="564"/>
        </w:trPr>
        <w:tc>
          <w:tcPr>
            <w:tcW w:w="0" w:type="auto"/>
            <w:vMerge/>
          </w:tcPr>
          <w:p w14:paraId="35ADA993" w14:textId="77777777" w:rsidR="00061852" w:rsidRPr="00061268" w:rsidRDefault="00061852" w:rsidP="00B7362E">
            <w:pPr>
              <w:spacing w:after="60"/>
              <w:rPr>
                <w:rFonts w:ascii="Times New Roman" w:hAnsi="Times New Roman"/>
                <w:b/>
              </w:rPr>
            </w:pPr>
          </w:p>
        </w:tc>
        <w:tc>
          <w:tcPr>
            <w:tcW w:w="0" w:type="auto"/>
            <w:vMerge w:val="restart"/>
          </w:tcPr>
          <w:p w14:paraId="624F33E2" w14:textId="77777777" w:rsidR="00061852" w:rsidRPr="001B7392" w:rsidRDefault="00061852" w:rsidP="00B7362E">
            <w:pPr>
              <w:spacing w:after="60"/>
              <w:rPr>
                <w:rFonts w:ascii="Times New Roman" w:hAnsi="Times New Roman"/>
              </w:rPr>
            </w:pPr>
            <w:r w:rsidRPr="001B7392">
              <w:rPr>
                <w:rFonts w:ascii="Times New Roman" w:hAnsi="Times New Roman"/>
              </w:rPr>
              <w:t>Impact-3 Emergence of a competitive and innovative European hydrogen value chain</w:t>
            </w:r>
          </w:p>
          <w:p w14:paraId="21CD2258" w14:textId="3AEA1220" w:rsidR="00061852" w:rsidRPr="00CA0229" w:rsidRDefault="00061852" w:rsidP="00B7362E">
            <w:pPr>
              <w:spacing w:after="60"/>
              <w:rPr>
                <w:rFonts w:ascii="Times New Roman" w:hAnsi="Times New Roman"/>
                <w:i/>
              </w:rPr>
            </w:pPr>
            <w:r w:rsidRPr="00CA0229">
              <w:rPr>
                <w:rFonts w:ascii="Times New Roman" w:hAnsi="Times New Roman"/>
                <w:i/>
              </w:rPr>
              <w:t>Link with SBA:</w:t>
            </w:r>
            <w:r w:rsidR="003415F0">
              <w:rPr>
                <w:rFonts w:ascii="Times New Roman" w:hAnsi="Times New Roman"/>
                <w:i/>
              </w:rPr>
              <w:t>G</w:t>
            </w:r>
            <w:r w:rsidRPr="00CA0229">
              <w:rPr>
                <w:rFonts w:ascii="Times New Roman" w:hAnsi="Times New Roman"/>
                <w:i/>
              </w:rPr>
              <w:t>O</w:t>
            </w:r>
            <w:r w:rsidR="003415F0">
              <w:rPr>
                <w:rFonts w:ascii="Times New Roman" w:hAnsi="Times New Roman"/>
                <w:i/>
              </w:rPr>
              <w:t xml:space="preserve"> (</w:t>
            </w:r>
            <w:r w:rsidRPr="00CA0229">
              <w:rPr>
                <w:rFonts w:ascii="Times New Roman" w:hAnsi="Times New Roman"/>
                <w:i/>
              </w:rPr>
              <w:t>b)/(c)/(d)</w:t>
            </w:r>
          </w:p>
          <w:p w14:paraId="55AB4922" w14:textId="77777777" w:rsidR="00061852" w:rsidRPr="00CA0229" w:rsidRDefault="00061852" w:rsidP="00B7362E">
            <w:pPr>
              <w:spacing w:after="60"/>
              <w:rPr>
                <w:rFonts w:ascii="Times New Roman" w:hAnsi="Times New Roman"/>
                <w:i/>
              </w:rPr>
            </w:pPr>
            <w:r w:rsidRPr="00CA0229">
              <w:rPr>
                <w:rFonts w:ascii="Times New Roman" w:hAnsi="Times New Roman"/>
                <w:i/>
              </w:rPr>
              <w:t>Link with SDG: (</w:t>
            </w:r>
            <w:r>
              <w:rPr>
                <w:rFonts w:ascii="Times New Roman" w:hAnsi="Times New Roman"/>
                <w:i/>
              </w:rPr>
              <w:t>9)</w:t>
            </w:r>
          </w:p>
          <w:p w14:paraId="4A9B7C53" w14:textId="52898339" w:rsidR="00061852" w:rsidRPr="001F6656" w:rsidRDefault="00061852" w:rsidP="00B7362E">
            <w:pPr>
              <w:spacing w:after="60"/>
              <w:rPr>
                <w:rFonts w:ascii="Times New Roman" w:hAnsi="Times New Roman"/>
                <w:i/>
              </w:rPr>
            </w:pPr>
            <w:r w:rsidRPr="00CA0229">
              <w:rPr>
                <w:rFonts w:ascii="Times New Roman" w:hAnsi="Times New Roman"/>
                <w:i/>
              </w:rPr>
              <w:t>Link with KSO</w:t>
            </w:r>
            <w:r w:rsidRPr="001F6656">
              <w:rPr>
                <w:rFonts w:ascii="Times New Roman" w:hAnsi="Times New Roman"/>
                <w:i/>
              </w:rPr>
              <w:t>: Expected Impact</w:t>
            </w:r>
            <w:r>
              <w:rPr>
                <w:rFonts w:ascii="Times New Roman" w:hAnsi="Times New Roman"/>
                <w:i/>
              </w:rPr>
              <w:t xml:space="preserve"> (15)/(22)/(23)/(24)</w:t>
            </w:r>
          </w:p>
          <w:p w14:paraId="49FD5E75" w14:textId="77777777" w:rsidR="00061852" w:rsidRDefault="00061852" w:rsidP="00B7362E">
            <w:pPr>
              <w:spacing w:after="60"/>
              <w:rPr>
                <w:rFonts w:ascii="Times New Roman" w:hAnsi="Times New Roman"/>
                <w:i/>
              </w:rPr>
            </w:pPr>
            <w:r w:rsidRPr="001F6656">
              <w:rPr>
                <w:rFonts w:ascii="Times New Roman" w:hAnsi="Times New Roman"/>
                <w:i/>
              </w:rPr>
              <w:t xml:space="preserve">Link with KIP: </w:t>
            </w:r>
          </w:p>
          <w:p w14:paraId="181D9456" w14:textId="77777777" w:rsidR="00061852" w:rsidRPr="001F6656" w:rsidRDefault="00061852" w:rsidP="00B7362E">
            <w:pPr>
              <w:spacing w:after="60"/>
              <w:rPr>
                <w:rFonts w:ascii="Times New Roman" w:hAnsi="Times New Roman"/>
                <w:i/>
              </w:rPr>
            </w:pPr>
            <w:r>
              <w:rPr>
                <w:rFonts w:ascii="Times New Roman" w:hAnsi="Times New Roman"/>
                <w:i/>
              </w:rPr>
              <w:t>Scientific (1)/(2)</w:t>
            </w:r>
          </w:p>
          <w:p w14:paraId="41D054F3" w14:textId="77777777" w:rsidR="00061852" w:rsidRDefault="00061852" w:rsidP="00B7362E">
            <w:pPr>
              <w:spacing w:after="60"/>
              <w:rPr>
                <w:rFonts w:ascii="Times New Roman" w:hAnsi="Times New Roman"/>
                <w:i/>
              </w:rPr>
            </w:pPr>
            <w:r w:rsidRPr="001F6656">
              <w:rPr>
                <w:rFonts w:ascii="Times New Roman" w:hAnsi="Times New Roman"/>
                <w:i/>
              </w:rPr>
              <w:t xml:space="preserve">Societal Impact </w:t>
            </w:r>
            <w:r>
              <w:rPr>
                <w:rFonts w:ascii="Times New Roman" w:hAnsi="Times New Roman"/>
                <w:i/>
              </w:rPr>
              <w:t>(6)</w:t>
            </w:r>
          </w:p>
          <w:p w14:paraId="7057C079" w14:textId="77777777" w:rsidR="00061852" w:rsidRPr="00061268" w:rsidRDefault="00061852" w:rsidP="00B7362E">
            <w:pPr>
              <w:spacing w:after="60"/>
              <w:rPr>
                <w:rFonts w:ascii="Times New Roman" w:hAnsi="Times New Roman"/>
                <w:highlight w:val="yellow"/>
              </w:rPr>
            </w:pPr>
            <w:r>
              <w:rPr>
                <w:rFonts w:ascii="Times New Roman" w:hAnsi="Times New Roman"/>
                <w:i/>
              </w:rPr>
              <w:t>Technological/Economic (7)/(8)</w:t>
            </w:r>
          </w:p>
        </w:tc>
        <w:tc>
          <w:tcPr>
            <w:tcW w:w="0" w:type="auto"/>
            <w:shd w:val="clear" w:color="auto" w:fill="auto"/>
          </w:tcPr>
          <w:p w14:paraId="717FC5C2" w14:textId="77777777" w:rsidR="00061852" w:rsidRPr="00061268" w:rsidRDefault="00061852" w:rsidP="00B7362E">
            <w:pPr>
              <w:spacing w:after="60"/>
              <w:rPr>
                <w:rFonts w:ascii="Times New Roman" w:hAnsi="Times New Roman"/>
              </w:rPr>
            </w:pPr>
            <w:r w:rsidRPr="00061268">
              <w:rPr>
                <w:rFonts w:ascii="Times New Roman" w:hAnsi="Times New Roman"/>
              </w:rPr>
              <w:t>KPI-</w:t>
            </w:r>
            <w:r>
              <w:rPr>
                <w:rFonts w:ascii="Times New Roman" w:hAnsi="Times New Roman"/>
              </w:rPr>
              <w:t xml:space="preserve">17 </w:t>
            </w:r>
            <w:r w:rsidRPr="00061268">
              <w:rPr>
                <w:rFonts w:ascii="Times New Roman" w:hAnsi="Times New Roman"/>
              </w:rPr>
              <w:t>Total cost of hydrogen at end-use</w:t>
            </w:r>
          </w:p>
          <w:p w14:paraId="421BB38B" w14:textId="77777777" w:rsidR="003415F0" w:rsidRDefault="003415F0" w:rsidP="00B7362E">
            <w:pPr>
              <w:spacing w:after="60"/>
              <w:rPr>
                <w:rFonts w:ascii="Times New Roman" w:hAnsi="Times New Roman"/>
                <w:i/>
                <w:iCs/>
              </w:rPr>
            </w:pPr>
          </w:p>
          <w:p w14:paraId="6C886FC3" w14:textId="396DBDEB" w:rsidR="00061852" w:rsidRDefault="00061852" w:rsidP="00B7362E">
            <w:pPr>
              <w:spacing w:after="60"/>
              <w:rPr>
                <w:rFonts w:ascii="Times New Roman" w:hAnsi="Times New Roman"/>
                <w:i/>
                <w:iCs/>
              </w:rPr>
            </w:pPr>
            <w:r w:rsidRPr="00061268">
              <w:rPr>
                <w:rFonts w:ascii="Times New Roman" w:hAnsi="Times New Roman"/>
                <w:i/>
                <w:iCs/>
              </w:rPr>
              <w:t>Final cost at end-use, including production and distribution.</w:t>
            </w:r>
          </w:p>
          <w:p w14:paraId="248D9F95" w14:textId="15909A28" w:rsidR="003415F0" w:rsidRPr="00061268" w:rsidRDefault="003415F0" w:rsidP="00B7362E">
            <w:pPr>
              <w:spacing w:after="60"/>
              <w:rPr>
                <w:rFonts w:ascii="Times New Roman" w:hAnsi="Times New Roman"/>
              </w:rPr>
            </w:pPr>
          </w:p>
        </w:tc>
        <w:tc>
          <w:tcPr>
            <w:tcW w:w="0" w:type="auto"/>
          </w:tcPr>
          <w:p w14:paraId="682FD16C" w14:textId="77777777" w:rsidR="00061852" w:rsidRPr="00061268" w:rsidRDefault="00061852" w:rsidP="00B7362E">
            <w:pPr>
              <w:spacing w:after="60"/>
              <w:rPr>
                <w:rFonts w:ascii="Times New Roman" w:hAnsi="Times New Roman"/>
              </w:rPr>
            </w:pPr>
            <w:r w:rsidRPr="00061268">
              <w:rPr>
                <w:rFonts w:ascii="Times New Roman" w:hAnsi="Times New Roman"/>
              </w:rPr>
              <w:t xml:space="preserve">Data Source: FCHO </w:t>
            </w:r>
          </w:p>
          <w:p w14:paraId="0D820237" w14:textId="77777777" w:rsidR="00061852" w:rsidRDefault="00061852" w:rsidP="00B7362E">
            <w:pPr>
              <w:spacing w:after="60"/>
              <w:rPr>
                <w:rFonts w:ascii="Times New Roman" w:hAnsi="Times New Roman"/>
              </w:rPr>
            </w:pPr>
            <w:r w:rsidRPr="00061268">
              <w:rPr>
                <w:rFonts w:ascii="Times New Roman" w:hAnsi="Times New Roman"/>
              </w:rPr>
              <w:t xml:space="preserve">Methodology: </w:t>
            </w:r>
            <w:r>
              <w:rPr>
                <w:rFonts w:ascii="Times New Roman" w:hAnsi="Times New Roman"/>
              </w:rPr>
              <w:t xml:space="preserve">Calculation of final </w:t>
            </w:r>
            <w:r w:rsidRPr="00061268">
              <w:rPr>
                <w:rFonts w:ascii="Times New Roman" w:hAnsi="Times New Roman"/>
              </w:rPr>
              <w:t xml:space="preserve">cost </w:t>
            </w:r>
            <w:r>
              <w:rPr>
                <w:rFonts w:ascii="Times New Roman" w:hAnsi="Times New Roman"/>
              </w:rPr>
              <w:t>at end-use, ideally for different applications, based on a transparent methodology.</w:t>
            </w:r>
          </w:p>
          <w:p w14:paraId="4F9BB39F" w14:textId="77777777" w:rsidR="00061852" w:rsidRDefault="00061852" w:rsidP="00B7362E">
            <w:pPr>
              <w:spacing w:after="60"/>
              <w:rPr>
                <w:rFonts w:ascii="Times New Roman" w:hAnsi="Times New Roman"/>
              </w:rPr>
            </w:pPr>
            <w:r w:rsidRPr="00061268">
              <w:rPr>
                <w:rFonts w:ascii="Times New Roman" w:hAnsi="Times New Roman"/>
              </w:rPr>
              <w:t xml:space="preserve">Measurement Unit: </w:t>
            </w:r>
            <w:r w:rsidRPr="00C85D5E">
              <w:rPr>
                <w:rFonts w:ascii="Times New Roman" w:hAnsi="Times New Roman"/>
              </w:rPr>
              <w:t>€/kg</w:t>
            </w:r>
          </w:p>
          <w:p w14:paraId="2346CB15" w14:textId="77777777" w:rsidR="00061852" w:rsidRPr="00061268" w:rsidRDefault="00061852" w:rsidP="00B7362E">
            <w:pPr>
              <w:spacing w:after="60"/>
              <w:rPr>
                <w:rFonts w:ascii="Times New Roman" w:hAnsi="Times New Roman"/>
              </w:rPr>
            </w:pPr>
          </w:p>
        </w:tc>
        <w:tc>
          <w:tcPr>
            <w:tcW w:w="0" w:type="auto"/>
            <w:shd w:val="clear" w:color="auto" w:fill="auto"/>
          </w:tcPr>
          <w:p w14:paraId="6DE9A2D1" w14:textId="77777777" w:rsidR="00061852" w:rsidRPr="006A013F" w:rsidRDefault="00061852" w:rsidP="00B7362E">
            <w:pPr>
              <w:spacing w:after="60"/>
              <w:jc w:val="center"/>
              <w:rPr>
                <w:rFonts w:ascii="Times New Roman" w:hAnsi="Times New Roman"/>
              </w:rPr>
            </w:pPr>
            <w:r>
              <w:rPr>
                <w:rFonts w:ascii="Times New Roman" w:hAnsi="Times New Roman"/>
              </w:rPr>
              <w:t>8</w:t>
            </w:r>
          </w:p>
        </w:tc>
        <w:tc>
          <w:tcPr>
            <w:tcW w:w="0" w:type="auto"/>
            <w:shd w:val="clear" w:color="auto" w:fill="auto"/>
          </w:tcPr>
          <w:p w14:paraId="371822FD" w14:textId="77777777" w:rsidR="00061852" w:rsidRPr="006A013F" w:rsidRDefault="00061852" w:rsidP="00B7362E">
            <w:pPr>
              <w:spacing w:after="60"/>
              <w:jc w:val="center"/>
              <w:rPr>
                <w:rFonts w:ascii="Times New Roman" w:hAnsi="Times New Roman"/>
              </w:rPr>
            </w:pPr>
            <w:r>
              <w:rPr>
                <w:rFonts w:ascii="Times New Roman" w:hAnsi="Times New Roman"/>
              </w:rPr>
              <w:t>6.5</w:t>
            </w:r>
            <w:r w:rsidRPr="006A013F">
              <w:rPr>
                <w:rFonts w:ascii="Times New Roman" w:hAnsi="Times New Roman"/>
                <w:vertAlign w:val="superscript"/>
              </w:rPr>
              <w:fldChar w:fldCharType="begin"/>
            </w:r>
            <w:r w:rsidRPr="006A013F">
              <w:rPr>
                <w:rFonts w:ascii="Times New Roman" w:hAnsi="Times New Roman"/>
                <w:vertAlign w:val="superscript"/>
              </w:rPr>
              <w:instrText xml:space="preserve"> NOTEREF _Ref90918183 \h  \* MERGEFORMAT </w:instrText>
            </w:r>
            <w:r w:rsidRPr="006A013F">
              <w:rPr>
                <w:rFonts w:ascii="Times New Roman" w:hAnsi="Times New Roman"/>
                <w:vertAlign w:val="superscript"/>
              </w:rPr>
            </w:r>
            <w:r w:rsidRPr="006A013F">
              <w:rPr>
                <w:rFonts w:ascii="Times New Roman" w:hAnsi="Times New Roman"/>
                <w:vertAlign w:val="superscript"/>
              </w:rPr>
              <w:fldChar w:fldCharType="separate"/>
            </w:r>
            <w:r>
              <w:rPr>
                <w:rFonts w:ascii="Times New Roman" w:hAnsi="Times New Roman"/>
                <w:vertAlign w:val="superscript"/>
              </w:rPr>
              <w:t>8</w:t>
            </w:r>
            <w:r w:rsidRPr="006A013F">
              <w:rPr>
                <w:rFonts w:ascii="Times New Roman" w:hAnsi="Times New Roman"/>
                <w:vertAlign w:val="superscript"/>
              </w:rPr>
              <w:fldChar w:fldCharType="end"/>
            </w:r>
          </w:p>
        </w:tc>
        <w:tc>
          <w:tcPr>
            <w:tcW w:w="0" w:type="auto"/>
            <w:shd w:val="clear" w:color="auto" w:fill="auto"/>
          </w:tcPr>
          <w:p w14:paraId="34030F84" w14:textId="77777777" w:rsidR="00061852" w:rsidRPr="006A013F" w:rsidRDefault="00061852" w:rsidP="00B7362E">
            <w:pPr>
              <w:spacing w:after="60"/>
              <w:jc w:val="center"/>
              <w:rPr>
                <w:rFonts w:ascii="Times New Roman" w:hAnsi="Times New Roman"/>
              </w:rPr>
            </w:pPr>
            <w:r>
              <w:rPr>
                <w:rFonts w:ascii="Times New Roman" w:hAnsi="Times New Roman"/>
              </w:rPr>
              <w:t>5.5</w:t>
            </w:r>
          </w:p>
        </w:tc>
        <w:tc>
          <w:tcPr>
            <w:tcW w:w="0" w:type="auto"/>
            <w:shd w:val="clear" w:color="auto" w:fill="auto"/>
          </w:tcPr>
          <w:p w14:paraId="7476F8FE" w14:textId="77777777" w:rsidR="00061852" w:rsidRPr="006A013F" w:rsidRDefault="00061852" w:rsidP="00B7362E">
            <w:pPr>
              <w:spacing w:after="60"/>
              <w:jc w:val="center"/>
              <w:rPr>
                <w:rFonts w:ascii="Times New Roman" w:hAnsi="Times New Roman"/>
              </w:rPr>
            </w:pPr>
            <w:r>
              <w:rPr>
                <w:rFonts w:ascii="Times New Roman" w:hAnsi="Times New Roman"/>
              </w:rPr>
              <w:t>4.5</w:t>
            </w:r>
          </w:p>
        </w:tc>
      </w:tr>
      <w:tr w:rsidR="00061852" w:rsidRPr="006A013F" w14:paraId="04757E5F" w14:textId="77777777" w:rsidTr="00B7362E">
        <w:trPr>
          <w:trHeight w:val="987"/>
        </w:trPr>
        <w:tc>
          <w:tcPr>
            <w:tcW w:w="0" w:type="auto"/>
            <w:vMerge/>
          </w:tcPr>
          <w:p w14:paraId="5C1749E6" w14:textId="77777777" w:rsidR="00061852" w:rsidRPr="00061268" w:rsidRDefault="00061852" w:rsidP="00B7362E">
            <w:pPr>
              <w:spacing w:after="60"/>
              <w:rPr>
                <w:rFonts w:ascii="Times New Roman" w:hAnsi="Times New Roman"/>
                <w:b/>
              </w:rPr>
            </w:pPr>
          </w:p>
        </w:tc>
        <w:tc>
          <w:tcPr>
            <w:tcW w:w="0" w:type="auto"/>
            <w:vMerge/>
            <w:tcBorders>
              <w:bottom w:val="single" w:sz="4" w:space="0" w:color="auto"/>
            </w:tcBorders>
          </w:tcPr>
          <w:p w14:paraId="047AE037" w14:textId="77777777" w:rsidR="00061852" w:rsidRPr="00061268" w:rsidRDefault="00061852" w:rsidP="00B7362E">
            <w:pPr>
              <w:spacing w:after="60"/>
              <w:rPr>
                <w:rFonts w:ascii="Times New Roman" w:hAnsi="Times New Roman"/>
              </w:rPr>
            </w:pPr>
          </w:p>
        </w:tc>
        <w:tc>
          <w:tcPr>
            <w:tcW w:w="0" w:type="auto"/>
            <w:tcBorders>
              <w:bottom w:val="single" w:sz="4" w:space="0" w:color="auto"/>
            </w:tcBorders>
          </w:tcPr>
          <w:p w14:paraId="78F8416B" w14:textId="77777777" w:rsidR="00061852" w:rsidRPr="00061268" w:rsidRDefault="00061852" w:rsidP="00B7362E">
            <w:pPr>
              <w:spacing w:after="60"/>
              <w:rPr>
                <w:rFonts w:ascii="Times New Roman" w:hAnsi="Times New Roman"/>
              </w:rPr>
            </w:pPr>
            <w:r w:rsidRPr="00061268">
              <w:rPr>
                <w:rFonts w:ascii="Times New Roman" w:hAnsi="Times New Roman"/>
              </w:rPr>
              <w:t>KPI-</w:t>
            </w:r>
            <w:r>
              <w:rPr>
                <w:rFonts w:ascii="Times New Roman" w:hAnsi="Times New Roman"/>
              </w:rPr>
              <w:t>18</w:t>
            </w:r>
            <w:r w:rsidRPr="00061268">
              <w:rPr>
                <w:rFonts w:ascii="Times New Roman" w:hAnsi="Times New Roman"/>
              </w:rPr>
              <w:t xml:space="preserve"> </w:t>
            </w:r>
            <w:r>
              <w:rPr>
                <w:rFonts w:ascii="Times New Roman" w:hAnsi="Times New Roman"/>
              </w:rPr>
              <w:t>Size</w:t>
            </w:r>
            <w:r w:rsidRPr="00061268">
              <w:rPr>
                <w:rFonts w:ascii="Times New Roman" w:hAnsi="Times New Roman"/>
              </w:rPr>
              <w:t xml:space="preserve"> of hydrogen technologies sector.</w:t>
            </w:r>
          </w:p>
          <w:p w14:paraId="104E2F7F" w14:textId="1DF32225" w:rsidR="00061852" w:rsidRPr="00061268" w:rsidRDefault="00061852" w:rsidP="003415F0">
            <w:pPr>
              <w:spacing w:after="60"/>
              <w:rPr>
                <w:rFonts w:ascii="Times New Roman" w:hAnsi="Times New Roman"/>
              </w:rPr>
            </w:pPr>
            <w:r w:rsidRPr="00061268">
              <w:rPr>
                <w:rFonts w:ascii="Times New Roman" w:hAnsi="Times New Roman"/>
                <w:i/>
                <w:iCs/>
              </w:rPr>
              <w:t>Quantitative indicator, describing the situation of private companies active in the hydrogen sector.</w:t>
            </w:r>
          </w:p>
        </w:tc>
        <w:tc>
          <w:tcPr>
            <w:tcW w:w="0" w:type="auto"/>
            <w:tcBorders>
              <w:bottom w:val="single" w:sz="4" w:space="0" w:color="auto"/>
            </w:tcBorders>
          </w:tcPr>
          <w:p w14:paraId="2280D941" w14:textId="77777777" w:rsidR="00061852" w:rsidRPr="00061268" w:rsidRDefault="00061852" w:rsidP="00B7362E">
            <w:pPr>
              <w:spacing w:after="60"/>
              <w:rPr>
                <w:rFonts w:ascii="Times New Roman" w:hAnsi="Times New Roman"/>
              </w:rPr>
            </w:pPr>
            <w:r w:rsidRPr="00061268">
              <w:rPr>
                <w:rFonts w:ascii="Times New Roman" w:hAnsi="Times New Roman"/>
              </w:rPr>
              <w:t>Data Source: FCHO</w:t>
            </w:r>
          </w:p>
          <w:p w14:paraId="68B26B9E" w14:textId="48EE4E0D" w:rsidR="00061852" w:rsidRPr="00061268" w:rsidRDefault="00061852" w:rsidP="003415F0">
            <w:pPr>
              <w:spacing w:after="60"/>
              <w:rPr>
                <w:rFonts w:ascii="Times New Roman" w:hAnsi="Times New Roman"/>
              </w:rPr>
            </w:pPr>
            <w:r w:rsidRPr="00061268">
              <w:rPr>
                <w:rFonts w:ascii="Times New Roman" w:hAnsi="Times New Roman"/>
              </w:rPr>
              <w:t xml:space="preserve">Methodology: </w:t>
            </w:r>
            <w:bookmarkStart w:id="306" w:name="_Hlk90996657"/>
            <w:r>
              <w:rPr>
                <w:rFonts w:ascii="Times New Roman" w:hAnsi="Times New Roman"/>
              </w:rPr>
              <w:t>Present the developments in the hydrogen technologies sector, in the context of number of companies, size, financial assets (depending on availability)</w:t>
            </w:r>
            <w:r w:rsidRPr="00061268">
              <w:rPr>
                <w:rFonts w:ascii="Times New Roman" w:hAnsi="Times New Roman"/>
              </w:rPr>
              <w:t xml:space="preserve"> </w:t>
            </w:r>
            <w:bookmarkEnd w:id="306"/>
          </w:p>
        </w:tc>
        <w:tc>
          <w:tcPr>
            <w:tcW w:w="0" w:type="auto"/>
            <w:tcBorders>
              <w:bottom w:val="single" w:sz="4" w:space="0" w:color="auto"/>
            </w:tcBorders>
            <w:shd w:val="clear" w:color="auto" w:fill="auto"/>
          </w:tcPr>
          <w:p w14:paraId="1FD76976" w14:textId="77777777" w:rsidR="00061852" w:rsidRPr="006A013F" w:rsidRDefault="00061852" w:rsidP="00B7362E">
            <w:pPr>
              <w:spacing w:after="60"/>
              <w:jc w:val="center"/>
              <w:rPr>
                <w:rFonts w:ascii="Times New Roman" w:hAnsi="Times New Roman"/>
              </w:rPr>
            </w:pPr>
            <w:r>
              <w:rPr>
                <w:rFonts w:ascii="Times New Roman" w:hAnsi="Times New Roman"/>
              </w:rPr>
              <w:t>N/A</w:t>
            </w:r>
          </w:p>
        </w:tc>
        <w:tc>
          <w:tcPr>
            <w:tcW w:w="0" w:type="auto"/>
            <w:tcBorders>
              <w:bottom w:val="single" w:sz="4" w:space="0" w:color="auto"/>
            </w:tcBorders>
            <w:shd w:val="clear" w:color="auto" w:fill="auto"/>
          </w:tcPr>
          <w:p w14:paraId="25F59E46" w14:textId="77777777" w:rsidR="00061852" w:rsidRPr="006A013F" w:rsidRDefault="00061852" w:rsidP="00B7362E">
            <w:pPr>
              <w:spacing w:after="60"/>
              <w:jc w:val="center"/>
              <w:rPr>
                <w:rFonts w:ascii="Times New Roman" w:hAnsi="Times New Roman"/>
              </w:rPr>
            </w:pPr>
            <w:r>
              <w:rPr>
                <w:rFonts w:ascii="Times New Roman" w:hAnsi="Times New Roman"/>
              </w:rPr>
              <w:t>N/A</w:t>
            </w:r>
          </w:p>
        </w:tc>
        <w:tc>
          <w:tcPr>
            <w:tcW w:w="0" w:type="auto"/>
            <w:tcBorders>
              <w:bottom w:val="single" w:sz="4" w:space="0" w:color="auto"/>
            </w:tcBorders>
            <w:shd w:val="clear" w:color="auto" w:fill="auto"/>
          </w:tcPr>
          <w:p w14:paraId="5AC5A511" w14:textId="77777777" w:rsidR="00061852" w:rsidRPr="006A013F" w:rsidRDefault="00061852" w:rsidP="00B7362E">
            <w:pPr>
              <w:spacing w:after="60"/>
              <w:jc w:val="center"/>
              <w:rPr>
                <w:rFonts w:ascii="Times New Roman" w:hAnsi="Times New Roman"/>
              </w:rPr>
            </w:pPr>
            <w:r>
              <w:rPr>
                <w:rFonts w:ascii="Times New Roman" w:hAnsi="Times New Roman"/>
              </w:rPr>
              <w:t>N/A</w:t>
            </w:r>
          </w:p>
        </w:tc>
        <w:tc>
          <w:tcPr>
            <w:tcW w:w="0" w:type="auto"/>
            <w:tcBorders>
              <w:bottom w:val="single" w:sz="4" w:space="0" w:color="auto"/>
            </w:tcBorders>
            <w:shd w:val="clear" w:color="auto" w:fill="auto"/>
          </w:tcPr>
          <w:p w14:paraId="6B5A5B82" w14:textId="77777777" w:rsidR="00061852" w:rsidRPr="006A013F" w:rsidRDefault="00061852" w:rsidP="00B7362E">
            <w:pPr>
              <w:spacing w:after="60"/>
              <w:jc w:val="center"/>
              <w:rPr>
                <w:rFonts w:ascii="Times New Roman" w:hAnsi="Times New Roman"/>
              </w:rPr>
            </w:pPr>
            <w:r>
              <w:rPr>
                <w:rFonts w:ascii="Times New Roman" w:hAnsi="Times New Roman"/>
              </w:rPr>
              <w:t>N/A</w:t>
            </w:r>
          </w:p>
        </w:tc>
      </w:tr>
    </w:tbl>
    <w:p w14:paraId="2CDB56A9" w14:textId="2F135F39" w:rsidR="00061852" w:rsidRPr="00E4788A" w:rsidRDefault="00061852" w:rsidP="000525AF">
      <w:pPr>
        <w:rPr>
          <w:lang w:eastAsia="sv-SE" w:bidi="sv-SE"/>
        </w:rPr>
        <w:sectPr w:rsidR="00061852" w:rsidRPr="00E4788A" w:rsidSect="00E4788A">
          <w:headerReference w:type="default" r:id="rId32"/>
          <w:footerReference w:type="even" r:id="rId33"/>
          <w:footerReference w:type="default" r:id="rId34"/>
          <w:headerReference w:type="first" r:id="rId35"/>
          <w:footerReference w:type="first" r:id="rId36"/>
          <w:pgSz w:w="16840" w:h="11900" w:orient="landscape"/>
          <w:pgMar w:top="1391" w:right="1347" w:bottom="1379" w:left="1425" w:header="0" w:footer="3" w:gutter="0"/>
          <w:cols w:space="720"/>
          <w:noEndnote/>
          <w:docGrid w:linePitch="360"/>
        </w:sectPr>
      </w:pPr>
    </w:p>
    <w:p w14:paraId="4E36166F" w14:textId="4BAE753D" w:rsidR="00266434" w:rsidRPr="002F048A" w:rsidRDefault="00266434" w:rsidP="008A42EF">
      <w:pPr>
        <w:pStyle w:val="Caption"/>
        <w:rPr>
          <w:sz w:val="24"/>
        </w:rPr>
      </w:pPr>
      <w:r w:rsidRPr="002F048A">
        <w:rPr>
          <w:sz w:val="24"/>
        </w:rPr>
        <w:lastRenderedPageBreak/>
        <w:t xml:space="preserve">Figure </w:t>
      </w:r>
      <w:r w:rsidR="00322A34">
        <w:rPr>
          <w:sz w:val="24"/>
        </w:rPr>
        <w:fldChar w:fldCharType="begin"/>
      </w:r>
      <w:r w:rsidR="00322A34">
        <w:rPr>
          <w:sz w:val="24"/>
        </w:rPr>
        <w:instrText xml:space="preserve"> SEQ Figure \* ARABIC </w:instrText>
      </w:r>
      <w:r w:rsidR="00322A34">
        <w:rPr>
          <w:sz w:val="24"/>
        </w:rPr>
        <w:fldChar w:fldCharType="separate"/>
      </w:r>
      <w:r w:rsidR="00F151EA">
        <w:rPr>
          <w:noProof/>
          <w:sz w:val="24"/>
        </w:rPr>
        <w:t>4</w:t>
      </w:r>
      <w:r w:rsidR="00322A34">
        <w:rPr>
          <w:sz w:val="24"/>
        </w:rPr>
        <w:fldChar w:fldCharType="end"/>
      </w:r>
      <w:r w:rsidRPr="002F048A">
        <w:rPr>
          <w:sz w:val="24"/>
        </w:rPr>
        <w:t xml:space="preserve"> KPIs used for the monitoring of Clean Hydrogen Joint Undertaking</w:t>
      </w:r>
    </w:p>
    <w:p w14:paraId="6A88CAF3" w14:textId="74128508" w:rsidR="008A42EF" w:rsidRDefault="002F048A" w:rsidP="002F048A">
      <w:pPr>
        <w:rPr>
          <w:rStyle w:val="MAWPTitle"/>
          <w:lang w:val="en-GB"/>
        </w:rPr>
      </w:pPr>
      <w:bookmarkStart w:id="307" w:name="_Toc70088063"/>
      <w:bookmarkEnd w:id="225"/>
      <w:r>
        <w:rPr>
          <w:noProof/>
          <w:lang w:eastAsia="en-GB" w:bidi="ar-SA"/>
        </w:rPr>
        <w:drawing>
          <wp:anchor distT="0" distB="0" distL="114300" distR="114300" simplePos="0" relativeHeight="251661312" behindDoc="0" locked="0" layoutInCell="1" allowOverlap="1" wp14:anchorId="7F285FA5" wp14:editId="2018D387">
            <wp:simplePos x="0" y="0"/>
            <wp:positionH relativeFrom="column">
              <wp:posOffset>-3810</wp:posOffset>
            </wp:positionH>
            <wp:positionV relativeFrom="paragraph">
              <wp:posOffset>-4445</wp:posOffset>
            </wp:positionV>
            <wp:extent cx="5102225" cy="2870200"/>
            <wp:effectExtent l="0" t="0" r="3175" b="635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5102225" cy="2870200"/>
                    </a:xfrm>
                    <a:prstGeom prst="rect">
                      <a:avLst/>
                    </a:prstGeom>
                  </pic:spPr>
                </pic:pic>
              </a:graphicData>
            </a:graphic>
            <wp14:sizeRelH relativeFrom="page">
              <wp14:pctWidth>0</wp14:pctWidth>
            </wp14:sizeRelH>
            <wp14:sizeRelV relativeFrom="page">
              <wp14:pctHeight>0</wp14:pctHeight>
            </wp14:sizeRelV>
          </wp:anchor>
        </w:drawing>
      </w:r>
    </w:p>
    <w:p w14:paraId="71F3B7AC" w14:textId="1A1D15A4" w:rsidR="002F048A" w:rsidRDefault="002F048A">
      <w:pPr>
        <w:rPr>
          <w:rStyle w:val="MAWPTitle"/>
          <w:lang w:val="en-GB"/>
        </w:rPr>
      </w:pPr>
    </w:p>
    <w:p w14:paraId="25327E4D" w14:textId="41B4FB88" w:rsidR="002F048A" w:rsidRDefault="002F048A">
      <w:pPr>
        <w:rPr>
          <w:rStyle w:val="MAWPTitle"/>
          <w:lang w:val="en-GB"/>
        </w:rPr>
      </w:pPr>
    </w:p>
    <w:p w14:paraId="3F7C2A61" w14:textId="77777777" w:rsidR="008A42EF" w:rsidRDefault="008A42EF">
      <w:pPr>
        <w:rPr>
          <w:rStyle w:val="MAWPTitle"/>
          <w:lang w:val="en-GB"/>
        </w:rPr>
      </w:pPr>
    </w:p>
    <w:p w14:paraId="5E8FBDCC" w14:textId="1A60C5FA" w:rsidR="008A42EF" w:rsidRDefault="008A42EF">
      <w:pPr>
        <w:rPr>
          <w:rStyle w:val="MAWPTitle"/>
          <w:lang w:val="en-GB"/>
        </w:rPr>
      </w:pPr>
    </w:p>
    <w:p w14:paraId="27120321" w14:textId="38C33C59" w:rsidR="008A42EF" w:rsidRDefault="008A42EF">
      <w:pPr>
        <w:rPr>
          <w:rStyle w:val="MAWPTitle"/>
          <w:lang w:val="en-GB"/>
        </w:rPr>
      </w:pPr>
    </w:p>
    <w:p w14:paraId="4A3ABB09" w14:textId="657713CC" w:rsidR="008A42EF" w:rsidRDefault="008A42EF">
      <w:pPr>
        <w:rPr>
          <w:rStyle w:val="MAWPTitle"/>
          <w:lang w:val="en-GB"/>
        </w:rPr>
      </w:pPr>
    </w:p>
    <w:p w14:paraId="3195F943" w14:textId="102E5988" w:rsidR="008A42EF" w:rsidRDefault="008A42EF">
      <w:pPr>
        <w:rPr>
          <w:rStyle w:val="MAWPTitle"/>
          <w:lang w:val="en-GB"/>
        </w:rPr>
      </w:pPr>
    </w:p>
    <w:p w14:paraId="45735B29" w14:textId="12E4F187" w:rsidR="008A42EF" w:rsidRDefault="008A42EF">
      <w:pPr>
        <w:rPr>
          <w:rStyle w:val="MAWPTitle"/>
          <w:lang w:val="en-GB"/>
        </w:rPr>
      </w:pPr>
    </w:p>
    <w:p w14:paraId="5A0EB0C3" w14:textId="44412239" w:rsidR="008A42EF" w:rsidRDefault="008A42EF">
      <w:pPr>
        <w:rPr>
          <w:rStyle w:val="MAWPTitle"/>
          <w:lang w:val="en-GB"/>
        </w:rPr>
      </w:pPr>
    </w:p>
    <w:p w14:paraId="14A229C0" w14:textId="6AC303C7" w:rsidR="008A42EF" w:rsidRDefault="008A42EF">
      <w:pPr>
        <w:rPr>
          <w:rStyle w:val="MAWPTitle"/>
          <w:lang w:val="en-GB"/>
        </w:rPr>
      </w:pPr>
    </w:p>
    <w:p w14:paraId="23C4F378" w14:textId="5674D111" w:rsidR="008A42EF" w:rsidRDefault="00F15427">
      <w:pPr>
        <w:rPr>
          <w:rStyle w:val="MAWPTitle"/>
          <w:lang w:val="en-GB"/>
        </w:rPr>
      </w:pPr>
      <w:r>
        <w:rPr>
          <w:noProof/>
          <w:lang w:eastAsia="en-GB" w:bidi="ar-SA"/>
        </w:rPr>
        <w:drawing>
          <wp:anchor distT="0" distB="0" distL="114300" distR="114300" simplePos="0" relativeHeight="251662336" behindDoc="1" locked="0" layoutInCell="1" allowOverlap="1" wp14:anchorId="1A2F0CBC" wp14:editId="791CC881">
            <wp:simplePos x="0" y="0"/>
            <wp:positionH relativeFrom="column">
              <wp:posOffset>-783</wp:posOffset>
            </wp:positionH>
            <wp:positionV relativeFrom="paragraph">
              <wp:posOffset>14413</wp:posOffset>
            </wp:positionV>
            <wp:extent cx="5231219" cy="2942440"/>
            <wp:effectExtent l="0" t="0" r="7620"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0"/>
                      <a:ext cx="5235437" cy="2944812"/>
                    </a:xfrm>
                    <a:prstGeom prst="rect">
                      <a:avLst/>
                    </a:prstGeom>
                  </pic:spPr>
                </pic:pic>
              </a:graphicData>
            </a:graphic>
            <wp14:sizeRelH relativeFrom="margin">
              <wp14:pctWidth>0</wp14:pctWidth>
            </wp14:sizeRelH>
            <wp14:sizeRelV relativeFrom="margin">
              <wp14:pctHeight>0</wp14:pctHeight>
            </wp14:sizeRelV>
          </wp:anchor>
        </w:drawing>
      </w:r>
    </w:p>
    <w:p w14:paraId="79933CC8" w14:textId="2F83B083" w:rsidR="008A42EF" w:rsidRDefault="008A42EF">
      <w:pPr>
        <w:rPr>
          <w:rStyle w:val="MAWPTitle"/>
          <w:lang w:val="en-GB"/>
        </w:rPr>
      </w:pPr>
    </w:p>
    <w:p w14:paraId="1599F3BB" w14:textId="480573D6" w:rsidR="008A42EF" w:rsidRDefault="008A42EF">
      <w:pPr>
        <w:rPr>
          <w:rStyle w:val="MAWPTitle"/>
          <w:lang w:val="en-GB"/>
        </w:rPr>
      </w:pPr>
    </w:p>
    <w:p w14:paraId="6E937A1A" w14:textId="088A8E25" w:rsidR="008A42EF" w:rsidRDefault="008A42EF">
      <w:pPr>
        <w:rPr>
          <w:rStyle w:val="MAWPTitle"/>
          <w:lang w:val="en-GB"/>
        </w:rPr>
      </w:pPr>
    </w:p>
    <w:p w14:paraId="7AA89822" w14:textId="5E662214" w:rsidR="008A42EF" w:rsidRDefault="002F048A">
      <w:pPr>
        <w:rPr>
          <w:rStyle w:val="MAWPTitle"/>
          <w:b/>
          <w:bCs w:val="0"/>
          <w:lang w:val="en-GB"/>
        </w:rPr>
      </w:pPr>
      <w:r>
        <w:rPr>
          <w:noProof/>
          <w:lang w:eastAsia="en-GB" w:bidi="ar-SA"/>
        </w:rPr>
        <w:drawing>
          <wp:anchor distT="0" distB="0" distL="114300" distR="114300" simplePos="0" relativeHeight="251663360" behindDoc="1" locked="0" layoutInCell="1" allowOverlap="1" wp14:anchorId="00E7BFCC" wp14:editId="2BFA7E6A">
            <wp:simplePos x="0" y="0"/>
            <wp:positionH relativeFrom="column">
              <wp:posOffset>-3810</wp:posOffset>
            </wp:positionH>
            <wp:positionV relativeFrom="paragraph">
              <wp:posOffset>1720215</wp:posOffset>
            </wp:positionV>
            <wp:extent cx="5168265" cy="2907030"/>
            <wp:effectExtent l="0" t="0" r="0" b="7620"/>
            <wp:wrapTight wrapText="bothSides">
              <wp:wrapPolygon edited="0">
                <wp:start x="0" y="0"/>
                <wp:lineTo x="0" y="21515"/>
                <wp:lineTo x="21496" y="21515"/>
                <wp:lineTo x="21496" y="0"/>
                <wp:lineTo x="0" y="0"/>
              </wp:wrapPolygon>
            </wp:wrapTight>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0" y="0"/>
                      <a:ext cx="5168265" cy="2907030"/>
                    </a:xfrm>
                    <a:prstGeom prst="rect">
                      <a:avLst/>
                    </a:prstGeom>
                  </pic:spPr>
                </pic:pic>
              </a:graphicData>
            </a:graphic>
            <wp14:sizeRelH relativeFrom="page">
              <wp14:pctWidth>0</wp14:pctWidth>
            </wp14:sizeRelH>
            <wp14:sizeRelV relativeFrom="page">
              <wp14:pctHeight>0</wp14:pctHeight>
            </wp14:sizeRelV>
          </wp:anchor>
        </w:drawing>
      </w:r>
      <w:r w:rsidR="008A42EF">
        <w:rPr>
          <w:rStyle w:val="MAWPTitle"/>
          <w:lang w:val="en-GB"/>
        </w:rPr>
        <w:br w:type="page"/>
      </w:r>
    </w:p>
    <w:p w14:paraId="67BE35FD" w14:textId="48C2F7C8" w:rsidR="000525AF" w:rsidRPr="001B5735" w:rsidRDefault="000525AF" w:rsidP="001B5735">
      <w:pPr>
        <w:pStyle w:val="Heading11"/>
        <w:keepNext/>
        <w:keepLines/>
        <w:shd w:val="clear" w:color="auto" w:fill="auto"/>
        <w:spacing w:line="276" w:lineRule="auto"/>
        <w:jc w:val="left"/>
        <w:rPr>
          <w:rStyle w:val="MAWPTitle"/>
          <w:lang w:val="en-GB"/>
        </w:rPr>
      </w:pPr>
      <w:bookmarkStart w:id="308" w:name="_Toc93907385"/>
      <w:r w:rsidRPr="00B364CB">
        <w:rPr>
          <w:rStyle w:val="MAWPTitle"/>
          <w:lang w:val="en-GB"/>
        </w:rPr>
        <w:lastRenderedPageBreak/>
        <w:t>Annex 2 - State-of-the-art and future targets – Renewable Hydrogen production</w:t>
      </w:r>
      <w:bookmarkStart w:id="309" w:name="_Ref44081188"/>
      <w:bookmarkEnd w:id="307"/>
      <w:bookmarkEnd w:id="308"/>
    </w:p>
    <w:p w14:paraId="4D64C060" w14:textId="77777777" w:rsidR="001B5735" w:rsidRDefault="001B5735" w:rsidP="009D0C2E">
      <w:pPr>
        <w:pStyle w:val="Caption"/>
        <w:rPr>
          <w:sz w:val="24"/>
        </w:rPr>
      </w:pPr>
      <w:bookmarkStart w:id="310" w:name="_Ref75968712"/>
      <w:bookmarkStart w:id="311" w:name="_Toc52184097"/>
      <w:bookmarkEnd w:id="309"/>
    </w:p>
    <w:p w14:paraId="53D8CA26" w14:textId="2F1F565B" w:rsidR="009D0C2E" w:rsidRPr="00B364CB" w:rsidRDefault="009D0C2E" w:rsidP="009D0C2E">
      <w:pPr>
        <w:pStyle w:val="Caption"/>
        <w:rPr>
          <w:sz w:val="24"/>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2</w:t>
      </w:r>
      <w:r w:rsidRPr="00B364CB">
        <w:rPr>
          <w:sz w:val="24"/>
        </w:rPr>
        <w:fldChar w:fldCharType="end"/>
      </w:r>
      <w:r w:rsidRPr="00B364CB">
        <w:rPr>
          <w:sz w:val="24"/>
        </w:rPr>
        <w:t>: KPIs for Alkaline Electrolysis (AEL)</w:t>
      </w:r>
      <w:bookmarkEnd w:id="310"/>
    </w:p>
    <w:tbl>
      <w:tblPr>
        <w:tblpPr w:leftFromText="180" w:rightFromText="180" w:vertAnchor="text"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4"/>
        <w:gridCol w:w="3311"/>
        <w:gridCol w:w="1377"/>
        <w:gridCol w:w="1008"/>
        <w:gridCol w:w="1213"/>
        <w:gridCol w:w="1217"/>
      </w:tblGrid>
      <w:tr w:rsidR="009D0C2E" w:rsidRPr="00B364CB" w14:paraId="3D76E278" w14:textId="77777777" w:rsidTr="00120F40">
        <w:trPr>
          <w:trHeight w:val="345"/>
        </w:trPr>
        <w:tc>
          <w:tcPr>
            <w:tcW w:w="540" w:type="pct"/>
            <w:vMerge w:val="restart"/>
            <w:shd w:val="clear" w:color="auto" w:fill="BFBFBF" w:themeFill="background1" w:themeFillShade="BF"/>
            <w:vAlign w:val="center"/>
            <w:hideMark/>
          </w:tcPr>
          <w:p w14:paraId="3ECFF5E3"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No</w:t>
            </w:r>
          </w:p>
        </w:tc>
        <w:tc>
          <w:tcPr>
            <w:tcW w:w="1817" w:type="pct"/>
            <w:vMerge w:val="restart"/>
            <w:shd w:val="clear" w:color="auto" w:fill="BFBFBF" w:themeFill="background1" w:themeFillShade="BF"/>
            <w:vAlign w:val="center"/>
            <w:hideMark/>
          </w:tcPr>
          <w:p w14:paraId="4B18D663"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Parameter</w:t>
            </w:r>
          </w:p>
        </w:tc>
        <w:tc>
          <w:tcPr>
            <w:tcW w:w="756" w:type="pct"/>
            <w:vMerge w:val="restart"/>
            <w:shd w:val="clear" w:color="auto" w:fill="BFBFBF" w:themeFill="background1" w:themeFillShade="BF"/>
            <w:vAlign w:val="center"/>
            <w:hideMark/>
          </w:tcPr>
          <w:p w14:paraId="12E57467"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Unit</w:t>
            </w:r>
          </w:p>
        </w:tc>
        <w:tc>
          <w:tcPr>
            <w:tcW w:w="553" w:type="pct"/>
            <w:shd w:val="clear" w:color="auto" w:fill="BFBFBF" w:themeFill="background1" w:themeFillShade="BF"/>
            <w:vAlign w:val="center"/>
            <w:hideMark/>
          </w:tcPr>
          <w:p w14:paraId="07AF3E22"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335" w:type="pct"/>
            <w:gridSpan w:val="2"/>
            <w:shd w:val="clear" w:color="auto" w:fill="BFBFBF" w:themeFill="background1" w:themeFillShade="BF"/>
            <w:vAlign w:val="center"/>
          </w:tcPr>
          <w:p w14:paraId="68EF3FFE"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51EE76DE" w14:textId="77777777" w:rsidTr="00120F40">
        <w:trPr>
          <w:trHeight w:val="449"/>
        </w:trPr>
        <w:tc>
          <w:tcPr>
            <w:tcW w:w="540" w:type="pct"/>
            <w:vMerge/>
            <w:shd w:val="clear" w:color="auto" w:fill="BFBFBF" w:themeFill="background1" w:themeFillShade="BF"/>
            <w:vAlign w:val="center"/>
            <w:hideMark/>
          </w:tcPr>
          <w:p w14:paraId="14DADE5A" w14:textId="77777777" w:rsidR="009D0C2E" w:rsidRPr="00B364CB" w:rsidRDefault="009D0C2E" w:rsidP="009D0C2E">
            <w:pPr>
              <w:widowControl/>
              <w:jc w:val="center"/>
              <w:rPr>
                <w:rFonts w:cs="Arial"/>
                <w:b/>
                <w:bCs/>
                <w:sz w:val="20"/>
                <w:szCs w:val="20"/>
                <w:lang w:eastAsia="en-GB" w:bidi="ar-SA"/>
              </w:rPr>
            </w:pPr>
          </w:p>
        </w:tc>
        <w:tc>
          <w:tcPr>
            <w:tcW w:w="1817" w:type="pct"/>
            <w:vMerge/>
            <w:shd w:val="clear" w:color="auto" w:fill="BFBFBF" w:themeFill="background1" w:themeFillShade="BF"/>
            <w:vAlign w:val="center"/>
            <w:hideMark/>
          </w:tcPr>
          <w:p w14:paraId="2B90E47C" w14:textId="77777777" w:rsidR="009D0C2E" w:rsidRPr="00B364CB" w:rsidRDefault="009D0C2E" w:rsidP="009D0C2E">
            <w:pPr>
              <w:widowControl/>
              <w:jc w:val="center"/>
              <w:rPr>
                <w:rFonts w:cs="Arial"/>
                <w:b/>
                <w:bCs/>
                <w:sz w:val="20"/>
                <w:szCs w:val="20"/>
                <w:lang w:eastAsia="en-GB" w:bidi="ar-SA"/>
              </w:rPr>
            </w:pPr>
          </w:p>
        </w:tc>
        <w:tc>
          <w:tcPr>
            <w:tcW w:w="756" w:type="pct"/>
            <w:vMerge/>
            <w:shd w:val="clear" w:color="auto" w:fill="BFBFBF" w:themeFill="background1" w:themeFillShade="BF"/>
            <w:vAlign w:val="center"/>
            <w:hideMark/>
          </w:tcPr>
          <w:p w14:paraId="709A2EF4" w14:textId="77777777" w:rsidR="009D0C2E" w:rsidRPr="00B364CB" w:rsidRDefault="009D0C2E" w:rsidP="009D0C2E">
            <w:pPr>
              <w:widowControl/>
              <w:jc w:val="center"/>
              <w:rPr>
                <w:rFonts w:cs="Arial"/>
                <w:b/>
                <w:bCs/>
                <w:sz w:val="20"/>
                <w:szCs w:val="20"/>
                <w:lang w:eastAsia="en-GB" w:bidi="ar-SA"/>
              </w:rPr>
            </w:pPr>
          </w:p>
        </w:tc>
        <w:tc>
          <w:tcPr>
            <w:tcW w:w="553" w:type="pct"/>
            <w:shd w:val="clear" w:color="auto" w:fill="BFBFBF" w:themeFill="background1" w:themeFillShade="BF"/>
            <w:vAlign w:val="center"/>
            <w:hideMark/>
          </w:tcPr>
          <w:p w14:paraId="66083289"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666" w:type="pct"/>
            <w:shd w:val="clear" w:color="auto" w:fill="BFBFBF" w:themeFill="background1" w:themeFillShade="BF"/>
            <w:vAlign w:val="center"/>
            <w:hideMark/>
          </w:tcPr>
          <w:p w14:paraId="6387A130"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669" w:type="pct"/>
            <w:shd w:val="clear" w:color="auto" w:fill="BFBFBF" w:themeFill="background1" w:themeFillShade="BF"/>
            <w:vAlign w:val="center"/>
            <w:hideMark/>
          </w:tcPr>
          <w:p w14:paraId="653F8C19"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5E7113CA" w14:textId="77777777" w:rsidTr="00120F40">
        <w:trPr>
          <w:trHeight w:val="487"/>
        </w:trPr>
        <w:tc>
          <w:tcPr>
            <w:tcW w:w="540" w:type="pct"/>
            <w:shd w:val="clear" w:color="auto" w:fill="auto"/>
            <w:vAlign w:val="center"/>
            <w:hideMark/>
          </w:tcPr>
          <w:p w14:paraId="4453100B"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1</w:t>
            </w:r>
          </w:p>
        </w:tc>
        <w:tc>
          <w:tcPr>
            <w:tcW w:w="1817" w:type="pct"/>
            <w:shd w:val="clear" w:color="auto" w:fill="auto"/>
            <w:vAlign w:val="center"/>
            <w:hideMark/>
          </w:tcPr>
          <w:p w14:paraId="419B575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Electricity consumption</w:t>
            </w:r>
          </w:p>
          <w:p w14:paraId="7F72097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nominal capacity</w:t>
            </w:r>
          </w:p>
        </w:tc>
        <w:tc>
          <w:tcPr>
            <w:tcW w:w="756" w:type="pct"/>
            <w:shd w:val="clear" w:color="auto" w:fill="auto"/>
            <w:vAlign w:val="center"/>
            <w:hideMark/>
          </w:tcPr>
          <w:p w14:paraId="54E296F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kWh/kg</w:t>
            </w:r>
          </w:p>
        </w:tc>
        <w:tc>
          <w:tcPr>
            <w:tcW w:w="553" w:type="pct"/>
            <w:shd w:val="clear" w:color="auto" w:fill="auto"/>
            <w:vAlign w:val="center"/>
            <w:hideMark/>
          </w:tcPr>
          <w:p w14:paraId="13C64F2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50</w:t>
            </w:r>
          </w:p>
        </w:tc>
        <w:tc>
          <w:tcPr>
            <w:tcW w:w="666" w:type="pct"/>
            <w:shd w:val="clear" w:color="auto" w:fill="auto"/>
            <w:vAlign w:val="center"/>
            <w:hideMark/>
          </w:tcPr>
          <w:p w14:paraId="39D6972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49</w:t>
            </w:r>
          </w:p>
        </w:tc>
        <w:tc>
          <w:tcPr>
            <w:tcW w:w="669" w:type="pct"/>
            <w:shd w:val="clear" w:color="auto" w:fill="auto"/>
            <w:vAlign w:val="center"/>
            <w:hideMark/>
          </w:tcPr>
          <w:p w14:paraId="787292A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48</w:t>
            </w:r>
          </w:p>
        </w:tc>
      </w:tr>
      <w:tr w:rsidR="009D0C2E" w:rsidRPr="00B364CB" w14:paraId="0978392A" w14:textId="77777777" w:rsidTr="00120F40">
        <w:trPr>
          <w:trHeight w:val="250"/>
        </w:trPr>
        <w:tc>
          <w:tcPr>
            <w:tcW w:w="540" w:type="pct"/>
            <w:vMerge w:val="restart"/>
            <w:shd w:val="clear" w:color="auto" w:fill="auto"/>
            <w:vAlign w:val="center"/>
            <w:hideMark/>
          </w:tcPr>
          <w:p w14:paraId="331127CA"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2</w:t>
            </w:r>
          </w:p>
        </w:tc>
        <w:tc>
          <w:tcPr>
            <w:tcW w:w="1817" w:type="pct"/>
            <w:vMerge w:val="restart"/>
            <w:shd w:val="clear" w:color="auto" w:fill="auto"/>
            <w:vAlign w:val="center"/>
            <w:hideMark/>
          </w:tcPr>
          <w:p w14:paraId="3430507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Capital cost</w:t>
            </w:r>
          </w:p>
        </w:tc>
        <w:tc>
          <w:tcPr>
            <w:tcW w:w="756" w:type="pct"/>
            <w:shd w:val="clear" w:color="auto" w:fill="auto"/>
            <w:vAlign w:val="center"/>
            <w:hideMark/>
          </w:tcPr>
          <w:p w14:paraId="3C8AD3A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€/(kg/d)</w:t>
            </w:r>
          </w:p>
        </w:tc>
        <w:tc>
          <w:tcPr>
            <w:tcW w:w="553" w:type="pct"/>
            <w:shd w:val="clear" w:color="auto" w:fill="auto"/>
            <w:vAlign w:val="center"/>
            <w:hideMark/>
          </w:tcPr>
          <w:p w14:paraId="34E63D8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1,250</w:t>
            </w:r>
          </w:p>
        </w:tc>
        <w:tc>
          <w:tcPr>
            <w:tcW w:w="666" w:type="pct"/>
            <w:shd w:val="clear" w:color="auto" w:fill="auto"/>
            <w:vAlign w:val="center"/>
            <w:hideMark/>
          </w:tcPr>
          <w:p w14:paraId="7FD4378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1,000</w:t>
            </w:r>
          </w:p>
        </w:tc>
        <w:tc>
          <w:tcPr>
            <w:tcW w:w="669" w:type="pct"/>
            <w:shd w:val="clear" w:color="auto" w:fill="auto"/>
            <w:vAlign w:val="center"/>
            <w:hideMark/>
          </w:tcPr>
          <w:p w14:paraId="0B63A9D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800</w:t>
            </w:r>
          </w:p>
        </w:tc>
      </w:tr>
      <w:tr w:rsidR="009D0C2E" w:rsidRPr="00B364CB" w14:paraId="382875F1" w14:textId="77777777" w:rsidTr="00120F40">
        <w:trPr>
          <w:trHeight w:val="292"/>
        </w:trPr>
        <w:tc>
          <w:tcPr>
            <w:tcW w:w="540" w:type="pct"/>
            <w:vMerge/>
            <w:vAlign w:val="center"/>
            <w:hideMark/>
          </w:tcPr>
          <w:p w14:paraId="6435A45F" w14:textId="77777777" w:rsidR="009D0C2E" w:rsidRPr="00B364CB" w:rsidRDefault="009D0C2E" w:rsidP="009D0C2E">
            <w:pPr>
              <w:widowControl/>
              <w:jc w:val="center"/>
              <w:rPr>
                <w:rFonts w:cs="Arial"/>
                <w:bCs/>
                <w:sz w:val="20"/>
                <w:szCs w:val="20"/>
                <w:lang w:eastAsia="en-GB" w:bidi="ar-SA"/>
              </w:rPr>
            </w:pPr>
          </w:p>
        </w:tc>
        <w:tc>
          <w:tcPr>
            <w:tcW w:w="1817" w:type="pct"/>
            <w:vMerge/>
            <w:vAlign w:val="center"/>
            <w:hideMark/>
          </w:tcPr>
          <w:p w14:paraId="78EFBF7A" w14:textId="77777777" w:rsidR="009D0C2E" w:rsidRPr="00B364CB" w:rsidRDefault="009D0C2E" w:rsidP="009D0C2E">
            <w:pPr>
              <w:widowControl/>
              <w:jc w:val="center"/>
              <w:rPr>
                <w:rFonts w:cs="Arial"/>
                <w:sz w:val="20"/>
                <w:szCs w:val="20"/>
                <w:lang w:eastAsia="en-GB" w:bidi="ar-SA"/>
              </w:rPr>
            </w:pPr>
          </w:p>
        </w:tc>
        <w:tc>
          <w:tcPr>
            <w:tcW w:w="756" w:type="pct"/>
            <w:shd w:val="clear" w:color="auto" w:fill="auto"/>
            <w:vAlign w:val="center"/>
            <w:hideMark/>
          </w:tcPr>
          <w:p w14:paraId="2091ABE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w:t>
            </w:r>
          </w:p>
        </w:tc>
        <w:tc>
          <w:tcPr>
            <w:tcW w:w="553" w:type="pct"/>
            <w:shd w:val="clear" w:color="auto" w:fill="auto"/>
            <w:vAlign w:val="center"/>
            <w:hideMark/>
          </w:tcPr>
          <w:p w14:paraId="0F7C64B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600</w:t>
            </w:r>
          </w:p>
        </w:tc>
        <w:tc>
          <w:tcPr>
            <w:tcW w:w="666" w:type="pct"/>
            <w:shd w:val="clear" w:color="auto" w:fill="auto"/>
            <w:vAlign w:val="center"/>
            <w:hideMark/>
          </w:tcPr>
          <w:p w14:paraId="3230388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480</w:t>
            </w:r>
          </w:p>
        </w:tc>
        <w:tc>
          <w:tcPr>
            <w:tcW w:w="669" w:type="pct"/>
            <w:shd w:val="clear" w:color="auto" w:fill="auto"/>
            <w:vAlign w:val="center"/>
            <w:hideMark/>
          </w:tcPr>
          <w:p w14:paraId="7EF5D63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400</w:t>
            </w:r>
          </w:p>
        </w:tc>
      </w:tr>
      <w:tr w:rsidR="009D0C2E" w:rsidRPr="00B364CB" w14:paraId="3974BD78" w14:textId="77777777" w:rsidTr="00120F40">
        <w:trPr>
          <w:trHeight w:val="529"/>
        </w:trPr>
        <w:tc>
          <w:tcPr>
            <w:tcW w:w="540" w:type="pct"/>
            <w:shd w:val="clear" w:color="auto" w:fill="auto"/>
            <w:vAlign w:val="center"/>
            <w:hideMark/>
          </w:tcPr>
          <w:p w14:paraId="03417698"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3</w:t>
            </w:r>
          </w:p>
        </w:tc>
        <w:tc>
          <w:tcPr>
            <w:tcW w:w="1817" w:type="pct"/>
            <w:shd w:val="clear" w:color="auto" w:fill="auto"/>
            <w:vAlign w:val="center"/>
            <w:hideMark/>
          </w:tcPr>
          <w:p w14:paraId="016F691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O&amp;M cost</w:t>
            </w:r>
          </w:p>
        </w:tc>
        <w:tc>
          <w:tcPr>
            <w:tcW w:w="756" w:type="pct"/>
            <w:shd w:val="clear" w:color="auto" w:fill="auto"/>
            <w:vAlign w:val="center"/>
            <w:hideMark/>
          </w:tcPr>
          <w:p w14:paraId="2A1FFA0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€/(kg/d)/y</w:t>
            </w:r>
          </w:p>
        </w:tc>
        <w:tc>
          <w:tcPr>
            <w:tcW w:w="553" w:type="pct"/>
            <w:shd w:val="clear" w:color="auto" w:fill="auto"/>
            <w:vAlign w:val="center"/>
            <w:hideMark/>
          </w:tcPr>
          <w:p w14:paraId="27C747B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50</w:t>
            </w:r>
          </w:p>
        </w:tc>
        <w:tc>
          <w:tcPr>
            <w:tcW w:w="666" w:type="pct"/>
            <w:shd w:val="clear" w:color="auto" w:fill="auto"/>
            <w:vAlign w:val="center"/>
            <w:hideMark/>
          </w:tcPr>
          <w:p w14:paraId="2315E24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43</w:t>
            </w:r>
          </w:p>
        </w:tc>
        <w:tc>
          <w:tcPr>
            <w:tcW w:w="669" w:type="pct"/>
            <w:shd w:val="clear" w:color="auto" w:fill="auto"/>
            <w:vAlign w:val="center"/>
            <w:hideMark/>
          </w:tcPr>
          <w:p w14:paraId="1996638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w:t>
            </w:r>
          </w:p>
        </w:tc>
      </w:tr>
      <w:tr w:rsidR="009D0C2E" w:rsidRPr="00B364CB" w14:paraId="16703F56" w14:textId="77777777" w:rsidTr="00120F40">
        <w:trPr>
          <w:trHeight w:val="408"/>
        </w:trPr>
        <w:tc>
          <w:tcPr>
            <w:tcW w:w="540" w:type="pct"/>
            <w:shd w:val="clear" w:color="auto" w:fill="auto"/>
            <w:vAlign w:val="center"/>
            <w:hideMark/>
          </w:tcPr>
          <w:p w14:paraId="4E95861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1817" w:type="pct"/>
            <w:shd w:val="clear" w:color="auto" w:fill="auto"/>
            <w:vAlign w:val="center"/>
            <w:hideMark/>
          </w:tcPr>
          <w:p w14:paraId="5946DCB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Hot idle ramp time</w:t>
            </w:r>
          </w:p>
        </w:tc>
        <w:tc>
          <w:tcPr>
            <w:tcW w:w="756" w:type="pct"/>
            <w:shd w:val="clear" w:color="auto" w:fill="auto"/>
            <w:vAlign w:val="center"/>
            <w:hideMark/>
          </w:tcPr>
          <w:p w14:paraId="0E8DBAE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sec</w:t>
            </w:r>
          </w:p>
        </w:tc>
        <w:tc>
          <w:tcPr>
            <w:tcW w:w="553" w:type="pct"/>
            <w:shd w:val="clear" w:color="auto" w:fill="auto"/>
            <w:vAlign w:val="center"/>
            <w:hideMark/>
          </w:tcPr>
          <w:p w14:paraId="6E47539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60</w:t>
            </w:r>
          </w:p>
        </w:tc>
        <w:tc>
          <w:tcPr>
            <w:tcW w:w="666" w:type="pct"/>
            <w:shd w:val="clear" w:color="auto" w:fill="auto"/>
            <w:vAlign w:val="center"/>
            <w:hideMark/>
          </w:tcPr>
          <w:p w14:paraId="415F438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30</w:t>
            </w:r>
          </w:p>
        </w:tc>
        <w:tc>
          <w:tcPr>
            <w:tcW w:w="669" w:type="pct"/>
            <w:shd w:val="clear" w:color="auto" w:fill="auto"/>
            <w:vAlign w:val="center"/>
            <w:hideMark/>
          </w:tcPr>
          <w:p w14:paraId="7EAEE41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10 </w:t>
            </w:r>
          </w:p>
        </w:tc>
      </w:tr>
      <w:tr w:rsidR="009D0C2E" w:rsidRPr="00B364CB" w14:paraId="4DD05052" w14:textId="77777777" w:rsidTr="00120F40">
        <w:trPr>
          <w:trHeight w:val="343"/>
        </w:trPr>
        <w:tc>
          <w:tcPr>
            <w:tcW w:w="540" w:type="pct"/>
            <w:shd w:val="clear" w:color="auto" w:fill="auto"/>
            <w:vAlign w:val="center"/>
            <w:hideMark/>
          </w:tcPr>
          <w:p w14:paraId="6B3A941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w:t>
            </w:r>
          </w:p>
        </w:tc>
        <w:tc>
          <w:tcPr>
            <w:tcW w:w="1817" w:type="pct"/>
            <w:shd w:val="clear" w:color="auto" w:fill="auto"/>
            <w:vAlign w:val="center"/>
            <w:hideMark/>
          </w:tcPr>
          <w:p w14:paraId="41502BF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Cold start ramp time</w:t>
            </w:r>
          </w:p>
        </w:tc>
        <w:tc>
          <w:tcPr>
            <w:tcW w:w="756" w:type="pct"/>
            <w:shd w:val="clear" w:color="auto" w:fill="auto"/>
            <w:vAlign w:val="center"/>
            <w:hideMark/>
          </w:tcPr>
          <w:p w14:paraId="3BB4900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sec</w:t>
            </w:r>
          </w:p>
        </w:tc>
        <w:tc>
          <w:tcPr>
            <w:tcW w:w="553" w:type="pct"/>
            <w:shd w:val="clear" w:color="auto" w:fill="auto"/>
            <w:vAlign w:val="center"/>
            <w:hideMark/>
          </w:tcPr>
          <w:p w14:paraId="1905635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3,600</w:t>
            </w:r>
          </w:p>
        </w:tc>
        <w:tc>
          <w:tcPr>
            <w:tcW w:w="666" w:type="pct"/>
            <w:shd w:val="clear" w:color="auto" w:fill="auto"/>
            <w:vAlign w:val="center"/>
            <w:hideMark/>
          </w:tcPr>
          <w:p w14:paraId="7EBFAB9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900</w:t>
            </w:r>
          </w:p>
        </w:tc>
        <w:tc>
          <w:tcPr>
            <w:tcW w:w="669" w:type="pct"/>
            <w:shd w:val="clear" w:color="auto" w:fill="auto"/>
            <w:vAlign w:val="center"/>
            <w:hideMark/>
          </w:tcPr>
          <w:p w14:paraId="1A2663D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300</w:t>
            </w:r>
          </w:p>
        </w:tc>
      </w:tr>
      <w:tr w:rsidR="009D0C2E" w:rsidRPr="00B364CB" w14:paraId="01F834BC" w14:textId="77777777" w:rsidTr="00120F40">
        <w:trPr>
          <w:trHeight w:val="292"/>
        </w:trPr>
        <w:tc>
          <w:tcPr>
            <w:tcW w:w="540" w:type="pct"/>
            <w:shd w:val="clear" w:color="auto" w:fill="auto"/>
            <w:vAlign w:val="center"/>
            <w:hideMark/>
          </w:tcPr>
          <w:p w14:paraId="4BA63C3F"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6</w:t>
            </w:r>
          </w:p>
        </w:tc>
        <w:tc>
          <w:tcPr>
            <w:tcW w:w="1817" w:type="pct"/>
            <w:shd w:val="clear" w:color="auto" w:fill="auto"/>
            <w:vAlign w:val="center"/>
            <w:hideMark/>
          </w:tcPr>
          <w:p w14:paraId="43620A4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Degradation</w:t>
            </w:r>
          </w:p>
        </w:tc>
        <w:tc>
          <w:tcPr>
            <w:tcW w:w="756" w:type="pct"/>
            <w:shd w:val="clear" w:color="auto" w:fill="auto"/>
            <w:vAlign w:val="center"/>
            <w:hideMark/>
          </w:tcPr>
          <w:p w14:paraId="233184B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%/1,000h</w:t>
            </w:r>
          </w:p>
        </w:tc>
        <w:tc>
          <w:tcPr>
            <w:tcW w:w="553" w:type="pct"/>
            <w:shd w:val="clear" w:color="auto" w:fill="auto"/>
            <w:vAlign w:val="center"/>
            <w:hideMark/>
          </w:tcPr>
          <w:p w14:paraId="3DBD0D1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0.12</w:t>
            </w:r>
          </w:p>
        </w:tc>
        <w:tc>
          <w:tcPr>
            <w:tcW w:w="666" w:type="pct"/>
            <w:shd w:val="clear" w:color="auto" w:fill="auto"/>
            <w:vAlign w:val="center"/>
            <w:hideMark/>
          </w:tcPr>
          <w:p w14:paraId="18AAFB9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0.11</w:t>
            </w:r>
          </w:p>
        </w:tc>
        <w:tc>
          <w:tcPr>
            <w:tcW w:w="669" w:type="pct"/>
            <w:shd w:val="clear" w:color="auto" w:fill="auto"/>
            <w:vAlign w:val="center"/>
            <w:hideMark/>
          </w:tcPr>
          <w:p w14:paraId="72820B4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0.1</w:t>
            </w:r>
          </w:p>
        </w:tc>
      </w:tr>
      <w:tr w:rsidR="009D0C2E" w:rsidRPr="00B364CB" w14:paraId="0208530C" w14:textId="77777777" w:rsidTr="00120F40">
        <w:trPr>
          <w:trHeight w:val="292"/>
        </w:trPr>
        <w:tc>
          <w:tcPr>
            <w:tcW w:w="540" w:type="pct"/>
            <w:shd w:val="clear" w:color="auto" w:fill="auto"/>
            <w:vAlign w:val="center"/>
            <w:hideMark/>
          </w:tcPr>
          <w:p w14:paraId="2A0BC6C5"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7</w:t>
            </w:r>
          </w:p>
        </w:tc>
        <w:tc>
          <w:tcPr>
            <w:tcW w:w="1817" w:type="pct"/>
            <w:shd w:val="clear" w:color="auto" w:fill="auto"/>
            <w:vAlign w:val="center"/>
            <w:hideMark/>
          </w:tcPr>
          <w:p w14:paraId="20D54F6F" w14:textId="359A7BDE"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Current density</w:t>
            </w:r>
          </w:p>
        </w:tc>
        <w:tc>
          <w:tcPr>
            <w:tcW w:w="756" w:type="pct"/>
            <w:shd w:val="clear" w:color="auto" w:fill="auto"/>
            <w:vAlign w:val="center"/>
            <w:hideMark/>
          </w:tcPr>
          <w:p w14:paraId="325513F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A/cm</w:t>
            </w:r>
            <w:r w:rsidRPr="00B364CB">
              <w:rPr>
                <w:rFonts w:cs="Arial"/>
                <w:sz w:val="20"/>
                <w:szCs w:val="20"/>
                <w:vertAlign w:val="superscript"/>
                <w:lang w:eastAsia="en-GB" w:bidi="ar-SA"/>
              </w:rPr>
              <w:t>2</w:t>
            </w:r>
          </w:p>
        </w:tc>
        <w:tc>
          <w:tcPr>
            <w:tcW w:w="553" w:type="pct"/>
            <w:shd w:val="clear" w:color="auto" w:fill="auto"/>
            <w:vAlign w:val="center"/>
            <w:hideMark/>
          </w:tcPr>
          <w:p w14:paraId="04EBBEE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0.6</w:t>
            </w:r>
          </w:p>
        </w:tc>
        <w:tc>
          <w:tcPr>
            <w:tcW w:w="666" w:type="pct"/>
            <w:shd w:val="clear" w:color="auto" w:fill="auto"/>
            <w:vAlign w:val="center"/>
            <w:hideMark/>
          </w:tcPr>
          <w:p w14:paraId="6306708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0.7</w:t>
            </w:r>
          </w:p>
        </w:tc>
        <w:tc>
          <w:tcPr>
            <w:tcW w:w="669" w:type="pct"/>
            <w:shd w:val="clear" w:color="auto" w:fill="auto"/>
            <w:vAlign w:val="center"/>
            <w:hideMark/>
          </w:tcPr>
          <w:p w14:paraId="09183DD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w:t>
            </w:r>
          </w:p>
        </w:tc>
      </w:tr>
      <w:tr w:rsidR="009D0C2E" w:rsidRPr="00B364CB" w14:paraId="133DEA7E" w14:textId="77777777" w:rsidTr="00120F40">
        <w:trPr>
          <w:trHeight w:val="418"/>
        </w:trPr>
        <w:tc>
          <w:tcPr>
            <w:tcW w:w="540" w:type="pct"/>
            <w:shd w:val="clear" w:color="auto" w:fill="auto"/>
            <w:vAlign w:val="center"/>
            <w:hideMark/>
          </w:tcPr>
          <w:p w14:paraId="146697DA"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8</w:t>
            </w:r>
          </w:p>
        </w:tc>
        <w:tc>
          <w:tcPr>
            <w:tcW w:w="1817" w:type="pct"/>
            <w:shd w:val="clear" w:color="auto" w:fill="auto"/>
            <w:vAlign w:val="center"/>
            <w:hideMark/>
          </w:tcPr>
          <w:p w14:paraId="3EDC4B4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Use of critical raw </w:t>
            </w:r>
          </w:p>
          <w:p w14:paraId="2440E5C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materials as catalysts</w:t>
            </w:r>
          </w:p>
        </w:tc>
        <w:tc>
          <w:tcPr>
            <w:tcW w:w="756" w:type="pct"/>
            <w:shd w:val="clear" w:color="auto" w:fill="auto"/>
            <w:vAlign w:val="center"/>
            <w:hideMark/>
          </w:tcPr>
          <w:p w14:paraId="68BB7D8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mg/W</w:t>
            </w:r>
          </w:p>
        </w:tc>
        <w:tc>
          <w:tcPr>
            <w:tcW w:w="553" w:type="pct"/>
            <w:shd w:val="clear" w:color="auto" w:fill="auto"/>
            <w:vAlign w:val="center"/>
            <w:hideMark/>
          </w:tcPr>
          <w:p w14:paraId="7BCB580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0.6</w:t>
            </w:r>
          </w:p>
        </w:tc>
        <w:tc>
          <w:tcPr>
            <w:tcW w:w="666" w:type="pct"/>
            <w:shd w:val="clear" w:color="auto" w:fill="auto"/>
            <w:vAlign w:val="center"/>
            <w:hideMark/>
          </w:tcPr>
          <w:p w14:paraId="42FD7A1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0.3</w:t>
            </w:r>
          </w:p>
        </w:tc>
        <w:tc>
          <w:tcPr>
            <w:tcW w:w="669" w:type="pct"/>
            <w:shd w:val="clear" w:color="auto" w:fill="auto"/>
            <w:vAlign w:val="center"/>
            <w:hideMark/>
          </w:tcPr>
          <w:p w14:paraId="11415A9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0.0</w:t>
            </w:r>
          </w:p>
        </w:tc>
      </w:tr>
    </w:tbl>
    <w:p w14:paraId="495992C1" w14:textId="77777777" w:rsidR="009D0C2E" w:rsidRPr="00B364CB" w:rsidRDefault="009D0C2E" w:rsidP="009D0C2E">
      <w:pPr>
        <w:tabs>
          <w:tab w:val="left" w:pos="1805"/>
        </w:tabs>
        <w:jc w:val="both"/>
        <w:rPr>
          <w:rFonts w:cstheme="minorHAnsi"/>
          <w:iCs/>
          <w:color w:val="auto"/>
          <w:sz w:val="16"/>
          <w:szCs w:val="16"/>
        </w:rPr>
      </w:pPr>
    </w:p>
    <w:p w14:paraId="7AA6E4CF"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6FA4C9D0" w14:textId="486013B1"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 xml:space="preserve">(General for system): Standard boundary conditions that apply to all electrolytic system KPIs: input of AC power and tap water; output of hydrogen </w:t>
      </w:r>
      <w:r w:rsidR="00FF701C" w:rsidRPr="00B364CB">
        <w:rPr>
          <w:rFonts w:cstheme="minorHAnsi"/>
          <w:iCs/>
          <w:color w:val="auto"/>
          <w:sz w:val="16"/>
          <w:szCs w:val="16"/>
        </w:rPr>
        <w:t>meeting ISO 14687-2 at a pressure o</w:t>
      </w:r>
      <w:r w:rsidR="00FF701C">
        <w:rPr>
          <w:rFonts w:cstheme="minorHAnsi"/>
          <w:iCs/>
          <w:color w:val="auto"/>
          <w:sz w:val="16"/>
          <w:szCs w:val="16"/>
        </w:rPr>
        <w:t>f 30 bar and hydrogen purity 5.</w:t>
      </w:r>
      <w:r w:rsidR="00FF701C" w:rsidRPr="00B364CB">
        <w:rPr>
          <w:rFonts w:cstheme="minorHAnsi"/>
          <w:iCs/>
          <w:color w:val="auto"/>
          <w:sz w:val="16"/>
          <w:szCs w:val="16"/>
        </w:rPr>
        <w:t xml:space="preserve"> </w:t>
      </w:r>
      <w:r w:rsidRPr="00B364CB">
        <w:rPr>
          <w:rFonts w:cstheme="minorHAnsi"/>
          <w:iCs/>
          <w:color w:val="auto"/>
          <w:sz w:val="16"/>
          <w:szCs w:val="16"/>
        </w:rPr>
        <w:t>Correction factors may be applied if actual boundary conditions are different.</w:t>
      </w:r>
    </w:p>
    <w:p w14:paraId="1FDF3111"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All KPIs are interdependent and should be met simultaneously.</w:t>
      </w:r>
    </w:p>
    <w:p w14:paraId="506A206F" w14:textId="55D40D6C"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KPI-1: Electrical energy demand at nominal hydrogen production rate of the system at standard boundary conditions</w:t>
      </w:r>
      <w:r w:rsidR="00916408">
        <w:rPr>
          <w:rFonts w:cstheme="minorHAnsi"/>
          <w:iCs/>
          <w:color w:val="auto"/>
          <w:sz w:val="16"/>
          <w:szCs w:val="16"/>
        </w:rPr>
        <w:t>, including energy required for cooling.</w:t>
      </w:r>
    </w:p>
    <w:p w14:paraId="126B1233"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 xml:space="preserve">KPI-2: Capital cost are based on 100 MW production volume for a single company and on a 10-year system lifetime running in steady state operation, whereby end of life is defined as 10% increase in energy required for production of hydrogen. Stack replacements are not included in capital cost. Cost are for installation on a pre-prepared site (fundament/building and necessary connections are available). Transformers and rectifiers are to be included in the capital cost. </w:t>
      </w:r>
    </w:p>
    <w:p w14:paraId="30A5FA22"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KPI-3: Operation and maintenance cost averaged over the first 10 years of the system. Potential stack replacements are not included in O&amp;M cost. Electricity costs are not included in O&amp;M cost.</w:t>
      </w:r>
    </w:p>
    <w:p w14:paraId="6A79A864"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 xml:space="preserve">KPI-4: Time required to reach nominal capacity in terms of hydrogen production rate when starting the device from hot idle (warm standby mode - system already at operating temperature and pressure). </w:t>
      </w:r>
    </w:p>
    <w:p w14:paraId="583DED74"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KPI-5: Time required to reach nominal capacity in terms of hydrogen production rate when starting the device from cold standby mode.</w:t>
      </w:r>
    </w:p>
    <w:p w14:paraId="5ACB4EE9"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KPI-6: Stack degradation defined as percentage efficiency loss when run at nominal capacity. For example, 0.125%/1,000h results in 10% increase in energy consumption over a 10-year lifespan with 8,000 operating hours per year.</w:t>
      </w:r>
    </w:p>
    <w:p w14:paraId="449F1D55"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KPI-7: Mean current density of the electrolysis cell running at operating temperature and pressure and nominal hydrogen production rate of the stack. Measured in Ampere per square centimetre (</w:t>
      </w:r>
      <w:r w:rsidRPr="00E4788A">
        <w:rPr>
          <w:rFonts w:cs="Arial"/>
          <w:sz w:val="16"/>
          <w:szCs w:val="16"/>
          <w:lang w:eastAsia="en-GB" w:bidi="ar-SA"/>
        </w:rPr>
        <w:t>A/cm</w:t>
      </w:r>
      <w:r w:rsidRPr="00E4788A">
        <w:rPr>
          <w:rFonts w:cs="Arial"/>
          <w:sz w:val="16"/>
          <w:szCs w:val="16"/>
          <w:vertAlign w:val="superscript"/>
          <w:lang w:eastAsia="en-GB" w:bidi="ar-SA"/>
        </w:rPr>
        <w:t>2</w:t>
      </w:r>
      <w:r w:rsidRPr="00B364CB">
        <w:rPr>
          <w:rFonts w:cstheme="minorHAnsi"/>
          <w:iCs/>
          <w:color w:val="auto"/>
          <w:sz w:val="16"/>
          <w:szCs w:val="16"/>
        </w:rPr>
        <w:t>).</w:t>
      </w:r>
    </w:p>
    <w:p w14:paraId="5340C9F4" w14:textId="0209E4DD" w:rsidR="009D0C2E" w:rsidRPr="00B364CB" w:rsidRDefault="009D0C2E" w:rsidP="001B5735">
      <w:pPr>
        <w:spacing w:after="120"/>
        <w:jc w:val="both"/>
        <w:rPr>
          <w:rFonts w:ascii="Calibri" w:hAnsi="Calibri"/>
          <w:b/>
          <w:bCs/>
          <w:szCs w:val="22"/>
          <w:lang w:eastAsia="en-GB" w:bidi="ar-SA"/>
        </w:rPr>
      </w:pPr>
      <w:r w:rsidRPr="00B364CB">
        <w:rPr>
          <w:rFonts w:cstheme="minorHAnsi"/>
          <w:iCs/>
          <w:color w:val="auto"/>
          <w:sz w:val="16"/>
          <w:szCs w:val="16"/>
        </w:rPr>
        <w:t>KPI-8: The critical raw material considered here is ruthenium for the cathode (mostly as RuO</w:t>
      </w:r>
      <w:r w:rsidRPr="00B364CB">
        <w:rPr>
          <w:rFonts w:cstheme="minorHAnsi"/>
          <w:iCs/>
          <w:color w:val="auto"/>
          <w:sz w:val="16"/>
          <w:szCs w:val="16"/>
          <w:vertAlign w:val="subscript"/>
        </w:rPr>
        <w:t>2</w:t>
      </w:r>
      <w:r w:rsidRPr="00B364CB">
        <w:rPr>
          <w:rFonts w:cstheme="minorHAnsi"/>
          <w:iCs/>
          <w:color w:val="auto"/>
          <w:sz w:val="16"/>
          <w:szCs w:val="16"/>
        </w:rPr>
        <w:t>).</w:t>
      </w:r>
    </w:p>
    <w:p w14:paraId="684DC1EE" w14:textId="509D967A" w:rsidR="001B5735" w:rsidRDefault="001B5735">
      <w:pPr>
        <w:rPr>
          <w:rFonts w:asciiTheme="minorHAnsi" w:eastAsiaTheme="minorHAnsi" w:hAnsiTheme="minorHAnsi" w:cstheme="minorBidi"/>
          <w:i/>
          <w:iCs/>
          <w:color w:val="1F497D" w:themeColor="text2"/>
          <w:sz w:val="24"/>
          <w:szCs w:val="18"/>
          <w:u w:val="single"/>
          <w:lang w:bidi="ar-SA"/>
        </w:rPr>
      </w:pPr>
    </w:p>
    <w:p w14:paraId="205D5F4A" w14:textId="77777777" w:rsidR="001B5735" w:rsidRDefault="001B5735">
      <w:pPr>
        <w:rPr>
          <w:rFonts w:asciiTheme="minorHAnsi" w:eastAsiaTheme="minorHAnsi" w:hAnsiTheme="minorHAnsi" w:cstheme="minorBidi"/>
          <w:i/>
          <w:iCs/>
          <w:color w:val="1F497D" w:themeColor="text2"/>
          <w:sz w:val="24"/>
          <w:szCs w:val="18"/>
          <w:u w:val="single"/>
          <w:lang w:bidi="ar-SA"/>
        </w:rPr>
      </w:pPr>
      <w:r>
        <w:rPr>
          <w:sz w:val="24"/>
        </w:rPr>
        <w:br w:type="page"/>
      </w:r>
    </w:p>
    <w:p w14:paraId="527D48BB" w14:textId="767E541D" w:rsidR="009D0C2E" w:rsidRPr="00B364CB" w:rsidRDefault="009D0C2E" w:rsidP="009D0C2E">
      <w:pPr>
        <w:pStyle w:val="Caption"/>
        <w:rPr>
          <w:sz w:val="24"/>
        </w:rPr>
      </w:pPr>
      <w:r w:rsidRPr="00B364CB">
        <w:rPr>
          <w:sz w:val="24"/>
        </w:rPr>
        <w:lastRenderedPageBreak/>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3</w:t>
      </w:r>
      <w:r w:rsidRPr="00B364CB">
        <w:rPr>
          <w:sz w:val="24"/>
        </w:rPr>
        <w:fldChar w:fldCharType="end"/>
      </w:r>
      <w:r w:rsidRPr="00B364CB">
        <w:rPr>
          <w:sz w:val="24"/>
        </w:rPr>
        <w:t>: KPIs for Proton Exchange Membrane Electrolysis (PEMEL)</w:t>
      </w:r>
    </w:p>
    <w:tbl>
      <w:tblPr>
        <w:tblpPr w:leftFromText="180" w:rightFromText="180" w:vertAnchor="text" w:tblpY="1"/>
        <w:tblOverlap w:val="never"/>
        <w:tblW w:w="5000" w:type="pct"/>
        <w:tblLook w:val="04A0" w:firstRow="1" w:lastRow="0" w:firstColumn="1" w:lastColumn="0" w:noHBand="0" w:noVBand="1"/>
      </w:tblPr>
      <w:tblGrid>
        <w:gridCol w:w="763"/>
        <w:gridCol w:w="2593"/>
        <w:gridCol w:w="1417"/>
        <w:gridCol w:w="1566"/>
        <w:gridCol w:w="1464"/>
        <w:gridCol w:w="1302"/>
      </w:tblGrid>
      <w:tr w:rsidR="009D0C2E" w:rsidRPr="00B364CB" w14:paraId="0AA3B244" w14:textId="77777777" w:rsidTr="00120F40">
        <w:trPr>
          <w:trHeight w:val="345"/>
        </w:trPr>
        <w:tc>
          <w:tcPr>
            <w:tcW w:w="419" w:type="pct"/>
            <w:vMerge w:val="restart"/>
            <w:tcBorders>
              <w:top w:val="single" w:sz="4" w:space="0" w:color="auto"/>
              <w:left w:val="single" w:sz="8" w:space="0" w:color="000000"/>
              <w:right w:val="single" w:sz="8" w:space="0" w:color="000000"/>
            </w:tcBorders>
            <w:shd w:val="clear" w:color="auto" w:fill="BFBFBF" w:themeFill="background1" w:themeFillShade="BF"/>
            <w:vAlign w:val="center"/>
            <w:hideMark/>
          </w:tcPr>
          <w:p w14:paraId="2B5C08AC"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No</w:t>
            </w:r>
          </w:p>
        </w:tc>
        <w:tc>
          <w:tcPr>
            <w:tcW w:w="1424" w:type="pct"/>
            <w:vMerge w:val="restart"/>
            <w:tcBorders>
              <w:top w:val="single" w:sz="4" w:space="0" w:color="auto"/>
              <w:left w:val="nil"/>
              <w:right w:val="single" w:sz="8" w:space="0" w:color="000000"/>
            </w:tcBorders>
            <w:shd w:val="clear" w:color="auto" w:fill="BFBFBF" w:themeFill="background1" w:themeFillShade="BF"/>
            <w:vAlign w:val="center"/>
            <w:hideMark/>
          </w:tcPr>
          <w:p w14:paraId="04C5870E"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Parameter</w:t>
            </w:r>
          </w:p>
        </w:tc>
        <w:tc>
          <w:tcPr>
            <w:tcW w:w="778" w:type="pct"/>
            <w:vMerge w:val="restart"/>
            <w:tcBorders>
              <w:top w:val="single" w:sz="4" w:space="0" w:color="auto"/>
              <w:left w:val="nil"/>
              <w:right w:val="single" w:sz="8" w:space="0" w:color="000000"/>
            </w:tcBorders>
            <w:shd w:val="clear" w:color="auto" w:fill="BFBFBF" w:themeFill="background1" w:themeFillShade="BF"/>
            <w:vAlign w:val="center"/>
            <w:hideMark/>
          </w:tcPr>
          <w:p w14:paraId="28DACC06"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Unit</w:t>
            </w:r>
          </w:p>
        </w:tc>
        <w:tc>
          <w:tcPr>
            <w:tcW w:w="860" w:type="pct"/>
            <w:tcBorders>
              <w:top w:val="single" w:sz="4" w:space="0" w:color="auto"/>
              <w:left w:val="nil"/>
              <w:bottom w:val="single" w:sz="8" w:space="0" w:color="000000"/>
              <w:right w:val="single" w:sz="12" w:space="0" w:color="auto"/>
            </w:tcBorders>
            <w:shd w:val="clear" w:color="auto" w:fill="BFBFBF" w:themeFill="background1" w:themeFillShade="BF"/>
            <w:vAlign w:val="center"/>
            <w:hideMark/>
          </w:tcPr>
          <w:p w14:paraId="6CD1D4E6"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519" w:type="pct"/>
            <w:gridSpan w:val="2"/>
            <w:tcBorders>
              <w:top w:val="single" w:sz="4" w:space="0" w:color="auto"/>
              <w:left w:val="nil"/>
              <w:bottom w:val="single" w:sz="8" w:space="0" w:color="000000"/>
              <w:right w:val="single" w:sz="12" w:space="0" w:color="auto"/>
            </w:tcBorders>
            <w:shd w:val="clear" w:color="auto" w:fill="BFBFBF" w:themeFill="background1" w:themeFillShade="BF"/>
          </w:tcPr>
          <w:p w14:paraId="48E169C6"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7CB5469D" w14:textId="77777777" w:rsidTr="00120F40">
        <w:trPr>
          <w:trHeight w:val="449"/>
        </w:trPr>
        <w:tc>
          <w:tcPr>
            <w:tcW w:w="419" w:type="pct"/>
            <w:vMerge/>
            <w:tcBorders>
              <w:left w:val="single" w:sz="8" w:space="0" w:color="000000"/>
              <w:bottom w:val="single" w:sz="8" w:space="0" w:color="000000"/>
              <w:right w:val="single" w:sz="8" w:space="0" w:color="000000"/>
            </w:tcBorders>
            <w:shd w:val="clear" w:color="auto" w:fill="BFBFBF" w:themeFill="background1" w:themeFillShade="BF"/>
            <w:vAlign w:val="center"/>
            <w:hideMark/>
          </w:tcPr>
          <w:p w14:paraId="44FA8C4E" w14:textId="77777777" w:rsidR="009D0C2E" w:rsidRPr="00B364CB" w:rsidRDefault="009D0C2E" w:rsidP="009D0C2E">
            <w:pPr>
              <w:widowControl/>
              <w:jc w:val="center"/>
              <w:rPr>
                <w:rFonts w:cs="Arial"/>
                <w:b/>
                <w:bCs/>
                <w:sz w:val="20"/>
                <w:szCs w:val="20"/>
                <w:lang w:eastAsia="en-GB" w:bidi="ar-SA"/>
              </w:rPr>
            </w:pPr>
          </w:p>
        </w:tc>
        <w:tc>
          <w:tcPr>
            <w:tcW w:w="1424" w:type="pct"/>
            <w:vMerge/>
            <w:tcBorders>
              <w:left w:val="nil"/>
              <w:bottom w:val="single" w:sz="8" w:space="0" w:color="000000"/>
              <w:right w:val="single" w:sz="8" w:space="0" w:color="000000"/>
            </w:tcBorders>
            <w:shd w:val="clear" w:color="auto" w:fill="BFBFBF" w:themeFill="background1" w:themeFillShade="BF"/>
            <w:vAlign w:val="center"/>
            <w:hideMark/>
          </w:tcPr>
          <w:p w14:paraId="5AE56F9D" w14:textId="77777777" w:rsidR="009D0C2E" w:rsidRPr="00B364CB" w:rsidRDefault="009D0C2E" w:rsidP="009D0C2E">
            <w:pPr>
              <w:widowControl/>
              <w:jc w:val="center"/>
              <w:rPr>
                <w:rFonts w:cs="Arial"/>
                <w:b/>
                <w:bCs/>
                <w:sz w:val="20"/>
                <w:szCs w:val="20"/>
                <w:lang w:eastAsia="en-GB" w:bidi="ar-SA"/>
              </w:rPr>
            </w:pPr>
          </w:p>
        </w:tc>
        <w:tc>
          <w:tcPr>
            <w:tcW w:w="778" w:type="pct"/>
            <w:vMerge/>
            <w:tcBorders>
              <w:left w:val="nil"/>
              <w:bottom w:val="single" w:sz="8" w:space="0" w:color="000000"/>
              <w:right w:val="single" w:sz="8" w:space="0" w:color="000000"/>
            </w:tcBorders>
            <w:shd w:val="clear" w:color="auto" w:fill="BFBFBF" w:themeFill="background1" w:themeFillShade="BF"/>
            <w:vAlign w:val="center"/>
            <w:hideMark/>
          </w:tcPr>
          <w:p w14:paraId="2EF7CDBA" w14:textId="77777777" w:rsidR="009D0C2E" w:rsidRPr="00B364CB" w:rsidRDefault="009D0C2E" w:rsidP="009D0C2E">
            <w:pPr>
              <w:widowControl/>
              <w:jc w:val="center"/>
              <w:rPr>
                <w:rFonts w:cs="Arial"/>
                <w:b/>
                <w:bCs/>
                <w:sz w:val="20"/>
                <w:szCs w:val="20"/>
                <w:lang w:eastAsia="en-GB" w:bidi="ar-SA"/>
              </w:rPr>
            </w:pPr>
          </w:p>
        </w:tc>
        <w:tc>
          <w:tcPr>
            <w:tcW w:w="860" w:type="pct"/>
            <w:tcBorders>
              <w:top w:val="nil"/>
              <w:left w:val="nil"/>
              <w:bottom w:val="single" w:sz="8" w:space="0" w:color="000000"/>
              <w:right w:val="single" w:sz="8" w:space="0" w:color="000000"/>
            </w:tcBorders>
            <w:shd w:val="clear" w:color="auto" w:fill="BFBFBF" w:themeFill="background1" w:themeFillShade="BF"/>
            <w:vAlign w:val="center"/>
            <w:hideMark/>
          </w:tcPr>
          <w:p w14:paraId="739C1D6D"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804" w:type="pct"/>
            <w:tcBorders>
              <w:top w:val="nil"/>
              <w:left w:val="nil"/>
              <w:bottom w:val="single" w:sz="8" w:space="0" w:color="000000"/>
              <w:right w:val="single" w:sz="8" w:space="0" w:color="000000"/>
            </w:tcBorders>
            <w:shd w:val="clear" w:color="auto" w:fill="BFBFBF" w:themeFill="background1" w:themeFillShade="BF"/>
            <w:vAlign w:val="center"/>
            <w:hideMark/>
          </w:tcPr>
          <w:p w14:paraId="4721DC07"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715" w:type="pct"/>
            <w:tcBorders>
              <w:top w:val="nil"/>
              <w:left w:val="nil"/>
              <w:bottom w:val="single" w:sz="8" w:space="0" w:color="000000"/>
              <w:right w:val="single" w:sz="8" w:space="0" w:color="000000"/>
            </w:tcBorders>
            <w:shd w:val="clear" w:color="auto" w:fill="BFBFBF" w:themeFill="background1" w:themeFillShade="BF"/>
            <w:vAlign w:val="center"/>
            <w:hideMark/>
          </w:tcPr>
          <w:p w14:paraId="7902D514"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333C19A5" w14:textId="77777777" w:rsidTr="00120F40">
        <w:trPr>
          <w:trHeight w:val="487"/>
        </w:trPr>
        <w:tc>
          <w:tcPr>
            <w:tcW w:w="419" w:type="pct"/>
            <w:tcBorders>
              <w:top w:val="nil"/>
              <w:left w:val="single" w:sz="8" w:space="0" w:color="000000"/>
              <w:bottom w:val="single" w:sz="8" w:space="0" w:color="000000"/>
              <w:right w:val="single" w:sz="8" w:space="0" w:color="000000"/>
            </w:tcBorders>
            <w:shd w:val="clear" w:color="auto" w:fill="auto"/>
            <w:vAlign w:val="center"/>
            <w:hideMark/>
          </w:tcPr>
          <w:p w14:paraId="5162FA08"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1</w:t>
            </w:r>
          </w:p>
        </w:tc>
        <w:tc>
          <w:tcPr>
            <w:tcW w:w="1424" w:type="pct"/>
            <w:tcBorders>
              <w:top w:val="nil"/>
              <w:left w:val="nil"/>
              <w:bottom w:val="nil"/>
              <w:right w:val="single" w:sz="8" w:space="0" w:color="000000"/>
            </w:tcBorders>
            <w:shd w:val="clear" w:color="auto" w:fill="auto"/>
            <w:vAlign w:val="center"/>
            <w:hideMark/>
          </w:tcPr>
          <w:p w14:paraId="5D1EEEA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Electricity consumption</w:t>
            </w:r>
          </w:p>
          <w:p w14:paraId="06B57BA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nominal capacity</w:t>
            </w:r>
          </w:p>
        </w:tc>
        <w:tc>
          <w:tcPr>
            <w:tcW w:w="778" w:type="pct"/>
            <w:tcBorders>
              <w:top w:val="nil"/>
              <w:left w:val="nil"/>
              <w:bottom w:val="single" w:sz="8" w:space="0" w:color="000000"/>
              <w:right w:val="single" w:sz="8" w:space="0" w:color="000000"/>
            </w:tcBorders>
            <w:shd w:val="clear" w:color="auto" w:fill="auto"/>
            <w:vAlign w:val="center"/>
            <w:hideMark/>
          </w:tcPr>
          <w:p w14:paraId="7B5524A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kWh/kg</w:t>
            </w:r>
          </w:p>
        </w:tc>
        <w:tc>
          <w:tcPr>
            <w:tcW w:w="860" w:type="pct"/>
            <w:tcBorders>
              <w:top w:val="nil"/>
              <w:left w:val="nil"/>
              <w:bottom w:val="single" w:sz="8" w:space="0" w:color="000000"/>
              <w:right w:val="single" w:sz="8" w:space="0" w:color="000000"/>
            </w:tcBorders>
            <w:shd w:val="clear" w:color="auto" w:fill="auto"/>
            <w:vAlign w:val="center"/>
            <w:hideMark/>
          </w:tcPr>
          <w:p w14:paraId="0C6C385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55</w:t>
            </w:r>
          </w:p>
        </w:tc>
        <w:tc>
          <w:tcPr>
            <w:tcW w:w="804" w:type="pct"/>
            <w:tcBorders>
              <w:top w:val="nil"/>
              <w:left w:val="nil"/>
              <w:bottom w:val="single" w:sz="8" w:space="0" w:color="000000"/>
              <w:right w:val="single" w:sz="8" w:space="0" w:color="000000"/>
            </w:tcBorders>
            <w:shd w:val="clear" w:color="auto" w:fill="auto"/>
            <w:vAlign w:val="center"/>
            <w:hideMark/>
          </w:tcPr>
          <w:p w14:paraId="2EB95BD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52</w:t>
            </w:r>
          </w:p>
        </w:tc>
        <w:tc>
          <w:tcPr>
            <w:tcW w:w="715" w:type="pct"/>
            <w:tcBorders>
              <w:top w:val="nil"/>
              <w:left w:val="nil"/>
              <w:bottom w:val="single" w:sz="8" w:space="0" w:color="000000"/>
              <w:right w:val="single" w:sz="8" w:space="0" w:color="000000"/>
            </w:tcBorders>
            <w:shd w:val="clear" w:color="auto" w:fill="auto"/>
            <w:vAlign w:val="center"/>
            <w:hideMark/>
          </w:tcPr>
          <w:p w14:paraId="1805D7F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48</w:t>
            </w:r>
          </w:p>
        </w:tc>
      </w:tr>
      <w:tr w:rsidR="009D0C2E" w:rsidRPr="00B364CB" w14:paraId="1DB7A0B8" w14:textId="77777777" w:rsidTr="00120F40">
        <w:trPr>
          <w:trHeight w:val="250"/>
        </w:trPr>
        <w:tc>
          <w:tcPr>
            <w:tcW w:w="41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B097C6"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2</w:t>
            </w:r>
          </w:p>
        </w:tc>
        <w:tc>
          <w:tcPr>
            <w:tcW w:w="142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BB4FA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Capital cost</w:t>
            </w:r>
          </w:p>
        </w:tc>
        <w:tc>
          <w:tcPr>
            <w:tcW w:w="778" w:type="pct"/>
            <w:tcBorders>
              <w:top w:val="nil"/>
              <w:left w:val="nil"/>
              <w:bottom w:val="nil"/>
              <w:right w:val="single" w:sz="8" w:space="0" w:color="000000"/>
            </w:tcBorders>
            <w:shd w:val="clear" w:color="auto" w:fill="auto"/>
            <w:vAlign w:val="center"/>
            <w:hideMark/>
          </w:tcPr>
          <w:p w14:paraId="54ECD4B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€/(kg/d)</w:t>
            </w:r>
          </w:p>
        </w:tc>
        <w:tc>
          <w:tcPr>
            <w:tcW w:w="860" w:type="pct"/>
            <w:tcBorders>
              <w:top w:val="nil"/>
              <w:left w:val="nil"/>
              <w:bottom w:val="nil"/>
              <w:right w:val="single" w:sz="8" w:space="0" w:color="000000"/>
            </w:tcBorders>
            <w:shd w:val="clear" w:color="auto" w:fill="auto"/>
            <w:vAlign w:val="center"/>
            <w:hideMark/>
          </w:tcPr>
          <w:p w14:paraId="1CA9A97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2,100</w:t>
            </w:r>
          </w:p>
        </w:tc>
        <w:tc>
          <w:tcPr>
            <w:tcW w:w="804" w:type="pct"/>
            <w:tcBorders>
              <w:top w:val="nil"/>
              <w:left w:val="nil"/>
              <w:bottom w:val="nil"/>
              <w:right w:val="single" w:sz="8" w:space="0" w:color="000000"/>
            </w:tcBorders>
            <w:shd w:val="clear" w:color="auto" w:fill="auto"/>
            <w:vAlign w:val="center"/>
            <w:hideMark/>
          </w:tcPr>
          <w:p w14:paraId="33D7993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1,550</w:t>
            </w:r>
          </w:p>
        </w:tc>
        <w:tc>
          <w:tcPr>
            <w:tcW w:w="715" w:type="pct"/>
            <w:tcBorders>
              <w:top w:val="nil"/>
              <w:left w:val="nil"/>
              <w:bottom w:val="nil"/>
              <w:right w:val="single" w:sz="8" w:space="0" w:color="000000"/>
            </w:tcBorders>
            <w:shd w:val="clear" w:color="auto" w:fill="auto"/>
            <w:vAlign w:val="center"/>
            <w:hideMark/>
          </w:tcPr>
          <w:p w14:paraId="711DC26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1,000</w:t>
            </w:r>
          </w:p>
        </w:tc>
      </w:tr>
      <w:tr w:rsidR="009D0C2E" w:rsidRPr="00B364CB" w14:paraId="7D33AABA" w14:textId="77777777" w:rsidTr="00120F40">
        <w:trPr>
          <w:trHeight w:val="292"/>
        </w:trPr>
        <w:tc>
          <w:tcPr>
            <w:tcW w:w="419" w:type="pct"/>
            <w:vMerge/>
            <w:tcBorders>
              <w:top w:val="nil"/>
              <w:left w:val="single" w:sz="8" w:space="0" w:color="000000"/>
              <w:bottom w:val="single" w:sz="8" w:space="0" w:color="000000"/>
              <w:right w:val="single" w:sz="8" w:space="0" w:color="000000"/>
            </w:tcBorders>
            <w:vAlign w:val="center"/>
            <w:hideMark/>
          </w:tcPr>
          <w:p w14:paraId="289D686B" w14:textId="77777777" w:rsidR="009D0C2E" w:rsidRPr="00B364CB" w:rsidRDefault="009D0C2E" w:rsidP="009D0C2E">
            <w:pPr>
              <w:widowControl/>
              <w:jc w:val="center"/>
              <w:rPr>
                <w:rFonts w:cs="Arial"/>
                <w:bCs/>
                <w:sz w:val="20"/>
                <w:szCs w:val="20"/>
                <w:lang w:eastAsia="en-GB" w:bidi="ar-SA"/>
              </w:rPr>
            </w:pPr>
          </w:p>
        </w:tc>
        <w:tc>
          <w:tcPr>
            <w:tcW w:w="1424" w:type="pct"/>
            <w:vMerge/>
            <w:tcBorders>
              <w:top w:val="single" w:sz="8" w:space="0" w:color="000000"/>
              <w:left w:val="single" w:sz="8" w:space="0" w:color="000000"/>
              <w:bottom w:val="single" w:sz="8" w:space="0" w:color="000000"/>
              <w:right w:val="single" w:sz="8" w:space="0" w:color="000000"/>
            </w:tcBorders>
            <w:vAlign w:val="center"/>
            <w:hideMark/>
          </w:tcPr>
          <w:p w14:paraId="39BBA5D7" w14:textId="77777777" w:rsidR="009D0C2E" w:rsidRPr="00B364CB" w:rsidRDefault="009D0C2E" w:rsidP="009D0C2E">
            <w:pPr>
              <w:widowControl/>
              <w:jc w:val="center"/>
              <w:rPr>
                <w:rFonts w:cs="Arial"/>
                <w:sz w:val="20"/>
                <w:szCs w:val="20"/>
                <w:lang w:eastAsia="en-GB" w:bidi="ar-SA"/>
              </w:rPr>
            </w:pPr>
          </w:p>
        </w:tc>
        <w:tc>
          <w:tcPr>
            <w:tcW w:w="778" w:type="pct"/>
            <w:tcBorders>
              <w:top w:val="nil"/>
              <w:left w:val="nil"/>
              <w:bottom w:val="single" w:sz="8" w:space="0" w:color="000000"/>
              <w:right w:val="single" w:sz="8" w:space="0" w:color="000000"/>
            </w:tcBorders>
            <w:shd w:val="clear" w:color="auto" w:fill="auto"/>
            <w:vAlign w:val="center"/>
            <w:hideMark/>
          </w:tcPr>
          <w:p w14:paraId="6ED6023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w:t>
            </w:r>
          </w:p>
        </w:tc>
        <w:tc>
          <w:tcPr>
            <w:tcW w:w="860" w:type="pct"/>
            <w:tcBorders>
              <w:top w:val="nil"/>
              <w:left w:val="nil"/>
              <w:bottom w:val="single" w:sz="8" w:space="0" w:color="000000"/>
              <w:right w:val="single" w:sz="8" w:space="0" w:color="000000"/>
            </w:tcBorders>
            <w:shd w:val="clear" w:color="auto" w:fill="auto"/>
            <w:vAlign w:val="center"/>
            <w:hideMark/>
          </w:tcPr>
          <w:p w14:paraId="231F10E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900</w:t>
            </w:r>
          </w:p>
        </w:tc>
        <w:tc>
          <w:tcPr>
            <w:tcW w:w="804" w:type="pct"/>
            <w:tcBorders>
              <w:top w:val="nil"/>
              <w:left w:val="nil"/>
              <w:bottom w:val="single" w:sz="8" w:space="0" w:color="000000"/>
              <w:right w:val="single" w:sz="8" w:space="0" w:color="000000"/>
            </w:tcBorders>
            <w:shd w:val="clear" w:color="auto" w:fill="auto"/>
            <w:vAlign w:val="center"/>
            <w:hideMark/>
          </w:tcPr>
          <w:p w14:paraId="79D763F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700</w:t>
            </w:r>
          </w:p>
        </w:tc>
        <w:tc>
          <w:tcPr>
            <w:tcW w:w="715" w:type="pct"/>
            <w:tcBorders>
              <w:top w:val="nil"/>
              <w:left w:val="nil"/>
              <w:bottom w:val="single" w:sz="8" w:space="0" w:color="000000"/>
              <w:right w:val="single" w:sz="8" w:space="0" w:color="000000"/>
            </w:tcBorders>
            <w:shd w:val="clear" w:color="auto" w:fill="auto"/>
            <w:vAlign w:val="center"/>
            <w:hideMark/>
          </w:tcPr>
          <w:p w14:paraId="5723384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500</w:t>
            </w:r>
          </w:p>
        </w:tc>
      </w:tr>
      <w:tr w:rsidR="009D0C2E" w:rsidRPr="00B364CB" w14:paraId="04FA48D1" w14:textId="77777777" w:rsidTr="00120F40">
        <w:trPr>
          <w:trHeight w:val="529"/>
        </w:trPr>
        <w:tc>
          <w:tcPr>
            <w:tcW w:w="419" w:type="pct"/>
            <w:tcBorders>
              <w:top w:val="nil"/>
              <w:left w:val="single" w:sz="8" w:space="0" w:color="000000"/>
              <w:bottom w:val="single" w:sz="8" w:space="0" w:color="000000"/>
              <w:right w:val="single" w:sz="8" w:space="0" w:color="000000"/>
            </w:tcBorders>
            <w:shd w:val="clear" w:color="auto" w:fill="auto"/>
            <w:vAlign w:val="center"/>
            <w:hideMark/>
          </w:tcPr>
          <w:p w14:paraId="422989B9"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3</w:t>
            </w:r>
          </w:p>
        </w:tc>
        <w:tc>
          <w:tcPr>
            <w:tcW w:w="1424" w:type="pct"/>
            <w:tcBorders>
              <w:top w:val="nil"/>
              <w:left w:val="nil"/>
              <w:bottom w:val="single" w:sz="8" w:space="0" w:color="000000"/>
              <w:right w:val="single" w:sz="8" w:space="0" w:color="000000"/>
            </w:tcBorders>
            <w:shd w:val="clear" w:color="auto" w:fill="auto"/>
            <w:vAlign w:val="center"/>
            <w:hideMark/>
          </w:tcPr>
          <w:p w14:paraId="4E95444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O&amp;M cost</w:t>
            </w:r>
          </w:p>
        </w:tc>
        <w:tc>
          <w:tcPr>
            <w:tcW w:w="778" w:type="pct"/>
            <w:tcBorders>
              <w:top w:val="nil"/>
              <w:left w:val="nil"/>
              <w:bottom w:val="single" w:sz="8" w:space="0" w:color="000000"/>
              <w:right w:val="single" w:sz="8" w:space="0" w:color="000000"/>
            </w:tcBorders>
            <w:shd w:val="clear" w:color="auto" w:fill="auto"/>
            <w:vAlign w:val="center"/>
            <w:hideMark/>
          </w:tcPr>
          <w:p w14:paraId="4F68B82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€/(kg/d)/y</w:t>
            </w:r>
          </w:p>
        </w:tc>
        <w:tc>
          <w:tcPr>
            <w:tcW w:w="860" w:type="pct"/>
            <w:tcBorders>
              <w:top w:val="nil"/>
              <w:left w:val="nil"/>
              <w:bottom w:val="single" w:sz="8" w:space="0" w:color="000000"/>
              <w:right w:val="single" w:sz="8" w:space="0" w:color="000000"/>
            </w:tcBorders>
            <w:shd w:val="clear" w:color="auto" w:fill="auto"/>
            <w:vAlign w:val="center"/>
            <w:hideMark/>
          </w:tcPr>
          <w:p w14:paraId="7F6E572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41</w:t>
            </w:r>
          </w:p>
        </w:tc>
        <w:tc>
          <w:tcPr>
            <w:tcW w:w="804" w:type="pct"/>
            <w:tcBorders>
              <w:top w:val="nil"/>
              <w:left w:val="nil"/>
              <w:bottom w:val="single" w:sz="8" w:space="0" w:color="000000"/>
              <w:right w:val="single" w:sz="8" w:space="0" w:color="000000"/>
            </w:tcBorders>
            <w:shd w:val="clear" w:color="auto" w:fill="auto"/>
            <w:vAlign w:val="center"/>
            <w:hideMark/>
          </w:tcPr>
          <w:p w14:paraId="47129E4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30</w:t>
            </w:r>
          </w:p>
        </w:tc>
        <w:tc>
          <w:tcPr>
            <w:tcW w:w="715" w:type="pct"/>
            <w:tcBorders>
              <w:top w:val="nil"/>
              <w:left w:val="nil"/>
              <w:bottom w:val="single" w:sz="8" w:space="0" w:color="000000"/>
              <w:right w:val="single" w:sz="8" w:space="0" w:color="000000"/>
            </w:tcBorders>
            <w:shd w:val="clear" w:color="auto" w:fill="auto"/>
            <w:vAlign w:val="center"/>
            <w:hideMark/>
          </w:tcPr>
          <w:p w14:paraId="304FEB1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21</w:t>
            </w:r>
          </w:p>
        </w:tc>
      </w:tr>
      <w:tr w:rsidR="009D0C2E" w:rsidRPr="00B364CB" w14:paraId="403B0EAD" w14:textId="77777777" w:rsidTr="00120F40">
        <w:trPr>
          <w:trHeight w:val="408"/>
        </w:trPr>
        <w:tc>
          <w:tcPr>
            <w:tcW w:w="419" w:type="pct"/>
            <w:tcBorders>
              <w:top w:val="nil"/>
              <w:left w:val="single" w:sz="8" w:space="0" w:color="000000"/>
              <w:bottom w:val="single" w:sz="8" w:space="0" w:color="000000"/>
              <w:right w:val="single" w:sz="8" w:space="0" w:color="000000"/>
            </w:tcBorders>
            <w:shd w:val="clear" w:color="auto" w:fill="auto"/>
            <w:vAlign w:val="center"/>
            <w:hideMark/>
          </w:tcPr>
          <w:p w14:paraId="10C838A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1424" w:type="pct"/>
            <w:tcBorders>
              <w:top w:val="nil"/>
              <w:left w:val="nil"/>
              <w:bottom w:val="single" w:sz="8" w:space="0" w:color="000000"/>
              <w:right w:val="single" w:sz="8" w:space="0" w:color="000000"/>
            </w:tcBorders>
            <w:shd w:val="clear" w:color="auto" w:fill="auto"/>
            <w:vAlign w:val="center"/>
            <w:hideMark/>
          </w:tcPr>
          <w:p w14:paraId="6C31C6B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Hot idle ramp time</w:t>
            </w:r>
          </w:p>
        </w:tc>
        <w:tc>
          <w:tcPr>
            <w:tcW w:w="778" w:type="pct"/>
            <w:tcBorders>
              <w:top w:val="nil"/>
              <w:left w:val="nil"/>
              <w:bottom w:val="single" w:sz="8" w:space="0" w:color="000000"/>
              <w:right w:val="single" w:sz="8" w:space="0" w:color="000000"/>
            </w:tcBorders>
            <w:shd w:val="clear" w:color="auto" w:fill="auto"/>
            <w:vAlign w:val="center"/>
            <w:hideMark/>
          </w:tcPr>
          <w:p w14:paraId="4CA0495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sec</w:t>
            </w:r>
          </w:p>
        </w:tc>
        <w:tc>
          <w:tcPr>
            <w:tcW w:w="860" w:type="pct"/>
            <w:tcBorders>
              <w:top w:val="nil"/>
              <w:left w:val="nil"/>
              <w:bottom w:val="single" w:sz="8" w:space="0" w:color="000000"/>
              <w:right w:val="single" w:sz="8" w:space="0" w:color="000000"/>
            </w:tcBorders>
            <w:shd w:val="clear" w:color="auto" w:fill="auto"/>
            <w:vAlign w:val="center"/>
            <w:hideMark/>
          </w:tcPr>
          <w:p w14:paraId="3C2A951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c>
          <w:tcPr>
            <w:tcW w:w="804" w:type="pct"/>
            <w:tcBorders>
              <w:top w:val="nil"/>
              <w:left w:val="nil"/>
              <w:bottom w:val="single" w:sz="8" w:space="0" w:color="000000"/>
              <w:right w:val="single" w:sz="8" w:space="0" w:color="000000"/>
            </w:tcBorders>
            <w:shd w:val="clear" w:color="auto" w:fill="auto"/>
            <w:vAlign w:val="center"/>
            <w:hideMark/>
          </w:tcPr>
          <w:p w14:paraId="48A6E20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c>
          <w:tcPr>
            <w:tcW w:w="715" w:type="pct"/>
            <w:tcBorders>
              <w:top w:val="nil"/>
              <w:left w:val="nil"/>
              <w:bottom w:val="single" w:sz="8" w:space="0" w:color="000000"/>
              <w:right w:val="single" w:sz="8" w:space="0" w:color="000000"/>
            </w:tcBorders>
            <w:shd w:val="clear" w:color="auto" w:fill="auto"/>
            <w:vAlign w:val="center"/>
            <w:hideMark/>
          </w:tcPr>
          <w:p w14:paraId="45393F3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r>
      <w:tr w:rsidR="009D0C2E" w:rsidRPr="00B364CB" w14:paraId="10678F42" w14:textId="77777777" w:rsidTr="00120F40">
        <w:trPr>
          <w:trHeight w:val="343"/>
        </w:trPr>
        <w:tc>
          <w:tcPr>
            <w:tcW w:w="419" w:type="pct"/>
            <w:tcBorders>
              <w:top w:val="nil"/>
              <w:left w:val="single" w:sz="8" w:space="0" w:color="000000"/>
              <w:bottom w:val="single" w:sz="8" w:space="0" w:color="000000"/>
              <w:right w:val="single" w:sz="8" w:space="0" w:color="000000"/>
            </w:tcBorders>
            <w:shd w:val="clear" w:color="auto" w:fill="auto"/>
            <w:vAlign w:val="center"/>
            <w:hideMark/>
          </w:tcPr>
          <w:p w14:paraId="34AED9B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w:t>
            </w:r>
          </w:p>
        </w:tc>
        <w:tc>
          <w:tcPr>
            <w:tcW w:w="1424" w:type="pct"/>
            <w:tcBorders>
              <w:top w:val="nil"/>
              <w:left w:val="nil"/>
              <w:bottom w:val="single" w:sz="8" w:space="0" w:color="000000"/>
              <w:right w:val="single" w:sz="8" w:space="0" w:color="000000"/>
            </w:tcBorders>
            <w:shd w:val="clear" w:color="auto" w:fill="auto"/>
            <w:vAlign w:val="center"/>
            <w:hideMark/>
          </w:tcPr>
          <w:p w14:paraId="32E222C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Cold start ramp time</w:t>
            </w:r>
          </w:p>
        </w:tc>
        <w:tc>
          <w:tcPr>
            <w:tcW w:w="778" w:type="pct"/>
            <w:tcBorders>
              <w:top w:val="nil"/>
              <w:left w:val="nil"/>
              <w:bottom w:val="single" w:sz="8" w:space="0" w:color="000000"/>
              <w:right w:val="single" w:sz="8" w:space="0" w:color="000000"/>
            </w:tcBorders>
            <w:shd w:val="clear" w:color="auto" w:fill="auto"/>
            <w:vAlign w:val="center"/>
            <w:hideMark/>
          </w:tcPr>
          <w:p w14:paraId="285D377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sec</w:t>
            </w:r>
          </w:p>
        </w:tc>
        <w:tc>
          <w:tcPr>
            <w:tcW w:w="860" w:type="pct"/>
            <w:tcBorders>
              <w:top w:val="nil"/>
              <w:left w:val="nil"/>
              <w:bottom w:val="single" w:sz="8" w:space="0" w:color="000000"/>
              <w:right w:val="single" w:sz="8" w:space="0" w:color="000000"/>
            </w:tcBorders>
            <w:shd w:val="clear" w:color="auto" w:fill="auto"/>
            <w:vAlign w:val="center"/>
            <w:hideMark/>
          </w:tcPr>
          <w:p w14:paraId="1B2482E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30</w:t>
            </w:r>
          </w:p>
        </w:tc>
        <w:tc>
          <w:tcPr>
            <w:tcW w:w="804" w:type="pct"/>
            <w:tcBorders>
              <w:top w:val="nil"/>
              <w:left w:val="nil"/>
              <w:bottom w:val="single" w:sz="8" w:space="0" w:color="000000"/>
              <w:right w:val="single" w:sz="8" w:space="0" w:color="000000"/>
            </w:tcBorders>
            <w:shd w:val="clear" w:color="auto" w:fill="auto"/>
            <w:vAlign w:val="center"/>
            <w:hideMark/>
          </w:tcPr>
          <w:p w14:paraId="62BFA3A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w:t>
            </w:r>
          </w:p>
        </w:tc>
        <w:tc>
          <w:tcPr>
            <w:tcW w:w="715" w:type="pct"/>
            <w:tcBorders>
              <w:top w:val="nil"/>
              <w:left w:val="nil"/>
              <w:bottom w:val="single" w:sz="8" w:space="0" w:color="000000"/>
              <w:right w:val="single" w:sz="8" w:space="0" w:color="000000"/>
            </w:tcBorders>
            <w:shd w:val="clear" w:color="auto" w:fill="auto"/>
            <w:vAlign w:val="center"/>
            <w:hideMark/>
          </w:tcPr>
          <w:p w14:paraId="6CF50FA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10 </w:t>
            </w:r>
          </w:p>
        </w:tc>
      </w:tr>
      <w:tr w:rsidR="009D0C2E" w:rsidRPr="00B364CB" w14:paraId="68375F2E" w14:textId="77777777" w:rsidTr="00120F40">
        <w:trPr>
          <w:trHeight w:val="292"/>
        </w:trPr>
        <w:tc>
          <w:tcPr>
            <w:tcW w:w="419" w:type="pct"/>
            <w:tcBorders>
              <w:top w:val="nil"/>
              <w:left w:val="single" w:sz="8" w:space="0" w:color="000000"/>
              <w:bottom w:val="single" w:sz="8" w:space="0" w:color="000000"/>
              <w:right w:val="single" w:sz="8" w:space="0" w:color="000000"/>
            </w:tcBorders>
            <w:shd w:val="clear" w:color="auto" w:fill="auto"/>
            <w:vAlign w:val="center"/>
            <w:hideMark/>
          </w:tcPr>
          <w:p w14:paraId="6FEF92FE"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6</w:t>
            </w:r>
          </w:p>
        </w:tc>
        <w:tc>
          <w:tcPr>
            <w:tcW w:w="1424" w:type="pct"/>
            <w:tcBorders>
              <w:top w:val="nil"/>
              <w:left w:val="nil"/>
              <w:bottom w:val="single" w:sz="8" w:space="0" w:color="000000"/>
              <w:right w:val="single" w:sz="8" w:space="0" w:color="000000"/>
            </w:tcBorders>
            <w:shd w:val="clear" w:color="auto" w:fill="auto"/>
            <w:vAlign w:val="center"/>
            <w:hideMark/>
          </w:tcPr>
          <w:p w14:paraId="54E7071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Degradation</w:t>
            </w:r>
          </w:p>
        </w:tc>
        <w:tc>
          <w:tcPr>
            <w:tcW w:w="778" w:type="pct"/>
            <w:tcBorders>
              <w:top w:val="nil"/>
              <w:left w:val="nil"/>
              <w:bottom w:val="single" w:sz="8" w:space="0" w:color="000000"/>
              <w:right w:val="single" w:sz="8" w:space="0" w:color="000000"/>
            </w:tcBorders>
            <w:shd w:val="clear" w:color="auto" w:fill="auto"/>
            <w:vAlign w:val="center"/>
            <w:hideMark/>
          </w:tcPr>
          <w:p w14:paraId="3E070D7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%/1,000h</w:t>
            </w:r>
          </w:p>
        </w:tc>
        <w:tc>
          <w:tcPr>
            <w:tcW w:w="860" w:type="pct"/>
            <w:tcBorders>
              <w:top w:val="nil"/>
              <w:left w:val="nil"/>
              <w:bottom w:val="single" w:sz="8" w:space="0" w:color="000000"/>
              <w:right w:val="single" w:sz="8" w:space="0" w:color="000000"/>
            </w:tcBorders>
            <w:shd w:val="clear" w:color="auto" w:fill="auto"/>
            <w:vAlign w:val="center"/>
            <w:hideMark/>
          </w:tcPr>
          <w:p w14:paraId="2F9D46F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0.19</w:t>
            </w:r>
          </w:p>
        </w:tc>
        <w:tc>
          <w:tcPr>
            <w:tcW w:w="804" w:type="pct"/>
            <w:tcBorders>
              <w:top w:val="nil"/>
              <w:left w:val="nil"/>
              <w:bottom w:val="single" w:sz="8" w:space="0" w:color="000000"/>
              <w:right w:val="single" w:sz="8" w:space="0" w:color="000000"/>
            </w:tcBorders>
            <w:shd w:val="clear" w:color="auto" w:fill="auto"/>
            <w:vAlign w:val="center"/>
            <w:hideMark/>
          </w:tcPr>
          <w:p w14:paraId="3FB8EB7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0.15</w:t>
            </w:r>
          </w:p>
        </w:tc>
        <w:tc>
          <w:tcPr>
            <w:tcW w:w="715" w:type="pct"/>
            <w:tcBorders>
              <w:top w:val="nil"/>
              <w:left w:val="nil"/>
              <w:bottom w:val="single" w:sz="8" w:space="0" w:color="000000"/>
              <w:right w:val="single" w:sz="8" w:space="0" w:color="000000"/>
            </w:tcBorders>
            <w:shd w:val="clear" w:color="auto" w:fill="auto"/>
            <w:vAlign w:val="center"/>
            <w:hideMark/>
          </w:tcPr>
          <w:p w14:paraId="342E1DB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0.12</w:t>
            </w:r>
          </w:p>
        </w:tc>
      </w:tr>
      <w:tr w:rsidR="009D0C2E" w:rsidRPr="00B364CB" w14:paraId="10FA697E" w14:textId="77777777" w:rsidTr="00120F40">
        <w:trPr>
          <w:trHeight w:val="292"/>
        </w:trPr>
        <w:tc>
          <w:tcPr>
            <w:tcW w:w="419" w:type="pct"/>
            <w:tcBorders>
              <w:top w:val="nil"/>
              <w:left w:val="single" w:sz="8" w:space="0" w:color="000000"/>
              <w:bottom w:val="single" w:sz="8" w:space="0" w:color="000000"/>
              <w:right w:val="single" w:sz="8" w:space="0" w:color="000000"/>
            </w:tcBorders>
            <w:shd w:val="clear" w:color="auto" w:fill="auto"/>
            <w:vAlign w:val="center"/>
            <w:hideMark/>
          </w:tcPr>
          <w:p w14:paraId="2F4B5628"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7</w:t>
            </w:r>
          </w:p>
        </w:tc>
        <w:tc>
          <w:tcPr>
            <w:tcW w:w="1424" w:type="pct"/>
            <w:tcBorders>
              <w:top w:val="nil"/>
              <w:left w:val="nil"/>
              <w:bottom w:val="single" w:sz="8" w:space="0" w:color="000000"/>
              <w:right w:val="single" w:sz="8" w:space="0" w:color="000000"/>
            </w:tcBorders>
            <w:shd w:val="clear" w:color="auto" w:fill="auto"/>
            <w:vAlign w:val="center"/>
            <w:hideMark/>
          </w:tcPr>
          <w:p w14:paraId="78350C5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Current density </w:t>
            </w:r>
          </w:p>
        </w:tc>
        <w:tc>
          <w:tcPr>
            <w:tcW w:w="778" w:type="pct"/>
            <w:tcBorders>
              <w:top w:val="nil"/>
              <w:left w:val="nil"/>
              <w:bottom w:val="single" w:sz="8" w:space="0" w:color="000000"/>
              <w:right w:val="single" w:sz="8" w:space="0" w:color="000000"/>
            </w:tcBorders>
            <w:shd w:val="clear" w:color="auto" w:fill="auto"/>
            <w:vAlign w:val="center"/>
            <w:hideMark/>
          </w:tcPr>
          <w:p w14:paraId="2626DD8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A/cm</w:t>
            </w:r>
            <w:r w:rsidRPr="00B364CB">
              <w:rPr>
                <w:rFonts w:cs="Arial"/>
                <w:sz w:val="20"/>
                <w:szCs w:val="20"/>
                <w:vertAlign w:val="superscript"/>
                <w:lang w:eastAsia="en-GB" w:bidi="ar-SA"/>
              </w:rPr>
              <w:t>2</w:t>
            </w:r>
          </w:p>
        </w:tc>
        <w:tc>
          <w:tcPr>
            <w:tcW w:w="860" w:type="pct"/>
            <w:tcBorders>
              <w:top w:val="nil"/>
              <w:left w:val="nil"/>
              <w:bottom w:val="single" w:sz="8" w:space="0" w:color="000000"/>
              <w:right w:val="single" w:sz="8" w:space="0" w:color="000000"/>
            </w:tcBorders>
            <w:shd w:val="clear" w:color="auto" w:fill="auto"/>
            <w:vAlign w:val="center"/>
            <w:hideMark/>
          </w:tcPr>
          <w:p w14:paraId="3C0CD31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2.2</w:t>
            </w:r>
          </w:p>
        </w:tc>
        <w:tc>
          <w:tcPr>
            <w:tcW w:w="804" w:type="pct"/>
            <w:tcBorders>
              <w:top w:val="nil"/>
              <w:left w:val="nil"/>
              <w:bottom w:val="single" w:sz="8" w:space="0" w:color="000000"/>
              <w:right w:val="single" w:sz="8" w:space="0" w:color="000000"/>
            </w:tcBorders>
            <w:shd w:val="clear" w:color="auto" w:fill="auto"/>
            <w:vAlign w:val="center"/>
            <w:hideMark/>
          </w:tcPr>
          <w:p w14:paraId="530BE84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2.4</w:t>
            </w:r>
          </w:p>
        </w:tc>
        <w:tc>
          <w:tcPr>
            <w:tcW w:w="715" w:type="pct"/>
            <w:tcBorders>
              <w:top w:val="nil"/>
              <w:left w:val="nil"/>
              <w:bottom w:val="single" w:sz="8" w:space="0" w:color="000000"/>
              <w:right w:val="single" w:sz="8" w:space="0" w:color="000000"/>
            </w:tcBorders>
            <w:shd w:val="clear" w:color="auto" w:fill="auto"/>
            <w:vAlign w:val="center"/>
            <w:hideMark/>
          </w:tcPr>
          <w:p w14:paraId="0ADB0FD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r>
      <w:tr w:rsidR="009D0C2E" w:rsidRPr="00B364CB" w14:paraId="668C493F" w14:textId="77777777" w:rsidTr="00120F40">
        <w:trPr>
          <w:trHeight w:val="418"/>
        </w:trPr>
        <w:tc>
          <w:tcPr>
            <w:tcW w:w="419" w:type="pct"/>
            <w:tcBorders>
              <w:top w:val="nil"/>
              <w:left w:val="single" w:sz="8" w:space="0" w:color="000000"/>
              <w:bottom w:val="single" w:sz="8" w:space="0" w:color="000000"/>
              <w:right w:val="single" w:sz="8" w:space="0" w:color="000000"/>
            </w:tcBorders>
            <w:shd w:val="clear" w:color="auto" w:fill="auto"/>
            <w:vAlign w:val="center"/>
            <w:hideMark/>
          </w:tcPr>
          <w:p w14:paraId="71ADD2D3"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8</w:t>
            </w:r>
          </w:p>
        </w:tc>
        <w:tc>
          <w:tcPr>
            <w:tcW w:w="1424" w:type="pct"/>
            <w:tcBorders>
              <w:top w:val="nil"/>
              <w:left w:val="nil"/>
              <w:bottom w:val="single" w:sz="8" w:space="0" w:color="000000"/>
              <w:right w:val="single" w:sz="8" w:space="0" w:color="000000"/>
            </w:tcBorders>
            <w:shd w:val="clear" w:color="auto" w:fill="auto"/>
            <w:vAlign w:val="center"/>
            <w:hideMark/>
          </w:tcPr>
          <w:p w14:paraId="347DD08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Use of critical raw </w:t>
            </w:r>
          </w:p>
          <w:p w14:paraId="59B4B56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materials as catalysts</w:t>
            </w:r>
          </w:p>
        </w:tc>
        <w:tc>
          <w:tcPr>
            <w:tcW w:w="778" w:type="pct"/>
            <w:tcBorders>
              <w:top w:val="nil"/>
              <w:left w:val="nil"/>
              <w:bottom w:val="single" w:sz="8" w:space="0" w:color="000000"/>
              <w:right w:val="single" w:sz="8" w:space="0" w:color="000000"/>
            </w:tcBorders>
            <w:shd w:val="clear" w:color="auto" w:fill="auto"/>
            <w:vAlign w:val="center"/>
            <w:hideMark/>
          </w:tcPr>
          <w:p w14:paraId="04A0611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mg/W</w:t>
            </w:r>
          </w:p>
        </w:tc>
        <w:tc>
          <w:tcPr>
            <w:tcW w:w="860" w:type="pct"/>
            <w:tcBorders>
              <w:top w:val="nil"/>
              <w:left w:val="nil"/>
              <w:bottom w:val="single" w:sz="8" w:space="0" w:color="000000"/>
              <w:right w:val="single" w:sz="8" w:space="0" w:color="000000"/>
            </w:tcBorders>
            <w:shd w:val="clear" w:color="auto" w:fill="auto"/>
            <w:vAlign w:val="center"/>
            <w:hideMark/>
          </w:tcPr>
          <w:p w14:paraId="17B9E1C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2.5</w:t>
            </w:r>
          </w:p>
        </w:tc>
        <w:tc>
          <w:tcPr>
            <w:tcW w:w="804" w:type="pct"/>
            <w:tcBorders>
              <w:top w:val="nil"/>
              <w:left w:val="nil"/>
              <w:bottom w:val="single" w:sz="8" w:space="0" w:color="000000"/>
              <w:right w:val="single" w:sz="8" w:space="0" w:color="000000"/>
            </w:tcBorders>
            <w:shd w:val="clear" w:color="auto" w:fill="auto"/>
            <w:vAlign w:val="center"/>
            <w:hideMark/>
          </w:tcPr>
          <w:p w14:paraId="5116BBF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1.25</w:t>
            </w:r>
          </w:p>
        </w:tc>
        <w:tc>
          <w:tcPr>
            <w:tcW w:w="715" w:type="pct"/>
            <w:tcBorders>
              <w:top w:val="nil"/>
              <w:left w:val="nil"/>
              <w:bottom w:val="single" w:sz="8" w:space="0" w:color="000000"/>
              <w:right w:val="single" w:sz="8" w:space="0" w:color="000000"/>
            </w:tcBorders>
            <w:shd w:val="clear" w:color="auto" w:fill="auto"/>
            <w:vAlign w:val="center"/>
            <w:hideMark/>
          </w:tcPr>
          <w:p w14:paraId="703619E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0.25</w:t>
            </w:r>
          </w:p>
        </w:tc>
      </w:tr>
    </w:tbl>
    <w:p w14:paraId="2EE2D4D2" w14:textId="77777777" w:rsidR="009D0C2E" w:rsidRPr="00B364CB" w:rsidRDefault="009D0C2E" w:rsidP="009D0C2E">
      <w:pPr>
        <w:tabs>
          <w:tab w:val="left" w:pos="1805"/>
        </w:tabs>
        <w:spacing w:after="120"/>
        <w:jc w:val="both"/>
        <w:rPr>
          <w:rFonts w:cstheme="minorHAnsi"/>
          <w:b/>
          <w:iCs/>
          <w:color w:val="auto"/>
          <w:sz w:val="16"/>
          <w:szCs w:val="16"/>
          <w:u w:val="single"/>
        </w:rPr>
      </w:pPr>
    </w:p>
    <w:p w14:paraId="18025718"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2CD3EAB8" w14:textId="36BA4BE1"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General for system: Standard boundary conditions that apply to all system KPIs: input of AC power and tap water; output of hydrogen meeting ISO 14687-2 </w:t>
      </w:r>
      <w:r w:rsidR="00F23CD9" w:rsidRPr="00B364CB">
        <w:rPr>
          <w:rFonts w:cstheme="minorHAnsi"/>
          <w:iCs/>
          <w:color w:val="auto"/>
          <w:sz w:val="16"/>
          <w:szCs w:val="16"/>
        </w:rPr>
        <w:t>at a pressure o</w:t>
      </w:r>
      <w:r w:rsidR="00F23CD9">
        <w:rPr>
          <w:rFonts w:cstheme="minorHAnsi"/>
          <w:iCs/>
          <w:color w:val="auto"/>
          <w:sz w:val="16"/>
          <w:szCs w:val="16"/>
        </w:rPr>
        <w:t xml:space="preserve">f 30 bar and hydrogen purity 5. </w:t>
      </w:r>
      <w:r w:rsidRPr="00B364CB">
        <w:rPr>
          <w:rFonts w:cstheme="minorHAnsi"/>
          <w:iCs/>
          <w:color w:val="auto"/>
          <w:sz w:val="16"/>
          <w:szCs w:val="16"/>
        </w:rPr>
        <w:t>Correction factors may be applied if actual boundary conditions are different.</w:t>
      </w:r>
    </w:p>
    <w:p w14:paraId="58E054C2"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All KPIs are interdependent and should be met simultaneously.</w:t>
      </w:r>
    </w:p>
    <w:p w14:paraId="08B5B028" w14:textId="77777777" w:rsidR="00331EBC" w:rsidRPr="006D2D4E" w:rsidRDefault="009D0C2E" w:rsidP="006D2D4E">
      <w:pPr>
        <w:tabs>
          <w:tab w:val="left" w:pos="1805"/>
        </w:tabs>
        <w:spacing w:after="120"/>
        <w:jc w:val="both"/>
        <w:rPr>
          <w:rFonts w:cstheme="minorHAnsi"/>
          <w:color w:val="auto"/>
          <w:sz w:val="16"/>
          <w:szCs w:val="16"/>
        </w:rPr>
      </w:pPr>
      <w:r w:rsidRPr="00B364CB">
        <w:rPr>
          <w:rFonts w:cstheme="minorHAnsi"/>
          <w:iCs/>
          <w:color w:val="auto"/>
          <w:sz w:val="16"/>
          <w:szCs w:val="16"/>
        </w:rPr>
        <w:t>(KPI-1) to (KPI-</w:t>
      </w:r>
      <w:r w:rsidR="00F23CD9">
        <w:rPr>
          <w:rFonts w:cstheme="minorHAnsi"/>
          <w:iCs/>
          <w:color w:val="auto"/>
          <w:sz w:val="16"/>
          <w:szCs w:val="16"/>
        </w:rPr>
        <w:t>4</w:t>
      </w:r>
      <w:r w:rsidRPr="00B364CB">
        <w:rPr>
          <w:rFonts w:cstheme="minorHAnsi"/>
          <w:iCs/>
          <w:color w:val="auto"/>
          <w:sz w:val="16"/>
          <w:szCs w:val="16"/>
        </w:rPr>
        <w:t>): Similar conditions as for alkaline technology (</w:t>
      </w:r>
      <w:r w:rsidR="00D041D1">
        <w:rPr>
          <w:rFonts w:cstheme="minorHAnsi"/>
          <w:iCs/>
          <w:color w:val="auto"/>
          <w:sz w:val="16"/>
          <w:szCs w:val="16"/>
        </w:rPr>
        <w:fldChar w:fldCharType="begin"/>
      </w:r>
      <w:r w:rsidR="00D041D1">
        <w:rPr>
          <w:rFonts w:cstheme="minorHAnsi"/>
          <w:iCs/>
          <w:color w:val="auto"/>
          <w:sz w:val="16"/>
          <w:szCs w:val="16"/>
        </w:rPr>
        <w:instrText xml:space="preserve"> REF _Ref75968712 \h  \* MERGEFORMAT </w:instrText>
      </w:r>
      <w:r w:rsidR="00D041D1">
        <w:rPr>
          <w:rFonts w:cstheme="minorHAnsi"/>
          <w:iCs/>
          <w:color w:val="auto"/>
          <w:sz w:val="16"/>
          <w:szCs w:val="16"/>
        </w:rPr>
      </w:r>
      <w:r w:rsidR="00D041D1">
        <w:rPr>
          <w:rFonts w:cstheme="minorHAnsi"/>
          <w:iCs/>
          <w:color w:val="auto"/>
          <w:sz w:val="16"/>
          <w:szCs w:val="16"/>
        </w:rPr>
        <w:fldChar w:fldCharType="separate"/>
      </w:r>
    </w:p>
    <w:p w14:paraId="31206DFE" w14:textId="66C17351" w:rsidR="009D0C2E" w:rsidRPr="00B364CB" w:rsidRDefault="00331EBC" w:rsidP="00D041D1">
      <w:pPr>
        <w:tabs>
          <w:tab w:val="left" w:pos="1805"/>
        </w:tabs>
        <w:spacing w:after="120"/>
        <w:jc w:val="both"/>
        <w:rPr>
          <w:rFonts w:cstheme="minorHAnsi"/>
          <w:iCs/>
          <w:color w:val="auto"/>
          <w:sz w:val="16"/>
          <w:szCs w:val="16"/>
        </w:rPr>
      </w:pPr>
      <w:r w:rsidRPr="006D2D4E">
        <w:rPr>
          <w:rFonts w:cstheme="minorHAnsi"/>
          <w:iCs/>
          <w:color w:val="auto"/>
          <w:sz w:val="16"/>
          <w:szCs w:val="16"/>
        </w:rPr>
        <w:t>Table 1: KPIs for Alkaline Electrolysis (AEL</w:t>
      </w:r>
      <w:r w:rsidRPr="00B364CB">
        <w:rPr>
          <w:sz w:val="24"/>
        </w:rPr>
        <w:t>)</w:t>
      </w:r>
      <w:r w:rsidR="00D041D1">
        <w:rPr>
          <w:rFonts w:cstheme="minorHAnsi"/>
          <w:iCs/>
          <w:color w:val="auto"/>
          <w:sz w:val="16"/>
          <w:szCs w:val="16"/>
        </w:rPr>
        <w:fldChar w:fldCharType="end"/>
      </w:r>
      <w:r w:rsidR="009D0C2E" w:rsidRPr="00B364CB">
        <w:rPr>
          <w:rFonts w:cstheme="minorHAnsi"/>
          <w:iCs/>
          <w:color w:val="auto"/>
          <w:sz w:val="16"/>
          <w:szCs w:val="16"/>
        </w:rPr>
        <w:t xml:space="preserve">) . </w:t>
      </w:r>
    </w:p>
    <w:p w14:paraId="6220B6DC" w14:textId="4E3BEC06"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KPI-2: CAPEX is based on the assumption of 100</w:t>
      </w:r>
      <w:r w:rsidR="00040DC1">
        <w:rPr>
          <w:rFonts w:cstheme="minorHAnsi"/>
          <w:iCs/>
          <w:color w:val="auto"/>
          <w:sz w:val="16"/>
          <w:szCs w:val="16"/>
        </w:rPr>
        <w:t> </w:t>
      </w:r>
      <w:r w:rsidRPr="00B364CB">
        <w:rPr>
          <w:rFonts w:cstheme="minorHAnsi"/>
          <w:iCs/>
          <w:color w:val="auto"/>
          <w:sz w:val="16"/>
          <w:szCs w:val="16"/>
        </w:rPr>
        <w:t>MW manufacturing</w:t>
      </w:r>
      <w:r w:rsidR="00040DC1" w:rsidRPr="00040DC1">
        <w:rPr>
          <w:rFonts w:cstheme="minorHAnsi"/>
          <w:iCs/>
          <w:color w:val="auto"/>
          <w:sz w:val="16"/>
          <w:szCs w:val="16"/>
        </w:rPr>
        <w:t xml:space="preserve"> </w:t>
      </w:r>
      <w:r w:rsidR="00040DC1" w:rsidRPr="00B364CB">
        <w:rPr>
          <w:rFonts w:cstheme="minorHAnsi"/>
          <w:iCs/>
          <w:color w:val="auto"/>
          <w:sz w:val="16"/>
          <w:szCs w:val="16"/>
        </w:rPr>
        <w:t>for a single company</w:t>
      </w:r>
      <w:r w:rsidRPr="00B364CB">
        <w:rPr>
          <w:rFonts w:cstheme="minorHAnsi"/>
          <w:iCs/>
          <w:color w:val="auto"/>
          <w:sz w:val="16"/>
          <w:szCs w:val="16"/>
        </w:rPr>
        <w:t>, as per current definition.</w:t>
      </w:r>
    </w:p>
    <w:p w14:paraId="42699DBB" w14:textId="77777777" w:rsidR="00F23CD9" w:rsidRPr="00B364CB" w:rsidRDefault="00F23CD9" w:rsidP="00F23CD9">
      <w:pPr>
        <w:tabs>
          <w:tab w:val="left" w:pos="1805"/>
        </w:tabs>
        <w:spacing w:after="120"/>
        <w:jc w:val="both"/>
        <w:rPr>
          <w:rFonts w:cstheme="minorHAnsi"/>
          <w:iCs/>
          <w:color w:val="auto"/>
          <w:sz w:val="16"/>
          <w:szCs w:val="16"/>
        </w:rPr>
      </w:pPr>
      <w:r>
        <w:rPr>
          <w:rFonts w:cstheme="minorHAnsi"/>
          <w:iCs/>
          <w:color w:val="auto"/>
          <w:sz w:val="16"/>
          <w:szCs w:val="16"/>
        </w:rPr>
        <w:t>KPI-5: t</w:t>
      </w:r>
      <w:r w:rsidRPr="00FA6869">
        <w:rPr>
          <w:rFonts w:cstheme="minorHAnsi"/>
          <w:iCs/>
          <w:color w:val="auto"/>
          <w:sz w:val="16"/>
          <w:szCs w:val="16"/>
        </w:rPr>
        <w:t>ime required to reach nominal capacity in terms of hydrogen production rate when starting the device from cold start from -20°C.</w:t>
      </w:r>
    </w:p>
    <w:p w14:paraId="1C13FEE6"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KPI-6: Stack degradation defined as percentage efficiency loss when run at nominal capacity. For example, 0.125%/1,000h results in 10% increase in energy consumption over a 10-year lifespan with 8,000 operating hours per year.</w:t>
      </w:r>
    </w:p>
    <w:p w14:paraId="208CAB5B" w14:textId="77777777" w:rsidR="00F23CD9" w:rsidRPr="00B364CB" w:rsidRDefault="00F23CD9" w:rsidP="00F23CD9">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Degradation and energy consumption KPIs are interdependent and should to be met simultaneously. </w:t>
      </w:r>
    </w:p>
    <w:p w14:paraId="7BBD6195" w14:textId="77777777" w:rsidR="00F23CD9" w:rsidRPr="00B364CB" w:rsidRDefault="00F23CD9" w:rsidP="00F23CD9">
      <w:pPr>
        <w:tabs>
          <w:tab w:val="left" w:pos="1805"/>
        </w:tabs>
        <w:spacing w:after="120"/>
        <w:jc w:val="both"/>
        <w:rPr>
          <w:rFonts w:cstheme="minorHAnsi"/>
          <w:iCs/>
          <w:color w:val="auto"/>
          <w:sz w:val="16"/>
          <w:szCs w:val="16"/>
        </w:rPr>
      </w:pPr>
      <w:r>
        <w:rPr>
          <w:rFonts w:cstheme="minorHAnsi"/>
          <w:iCs/>
          <w:color w:val="auto"/>
          <w:sz w:val="16"/>
          <w:szCs w:val="16"/>
        </w:rPr>
        <w:t xml:space="preserve">KPI-7: </w:t>
      </w:r>
      <w:r w:rsidRPr="00FA6869">
        <w:rPr>
          <w:rFonts w:cstheme="minorHAnsi"/>
          <w:iCs/>
          <w:color w:val="auto"/>
          <w:sz w:val="16"/>
          <w:szCs w:val="16"/>
        </w:rPr>
        <w:t>Mean current density of the electrolysis cell running at operating temperature and pressure and nominal hydrogen production rate of the stack.</w:t>
      </w:r>
    </w:p>
    <w:p w14:paraId="46268363" w14:textId="2017DB11"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KPI-8: These are mainly iridium and ruthenium as the anode catalyst (SOA 2</w:t>
      </w:r>
      <w:r w:rsidR="00040DC1">
        <w:rPr>
          <w:rFonts w:cstheme="minorHAnsi"/>
          <w:iCs/>
          <w:color w:val="auto"/>
          <w:sz w:val="16"/>
          <w:szCs w:val="16"/>
        </w:rPr>
        <w:t>.</w:t>
      </w:r>
      <w:r w:rsidRPr="00B364CB">
        <w:rPr>
          <w:rFonts w:cstheme="minorHAnsi"/>
          <w:iCs/>
          <w:color w:val="auto"/>
          <w:sz w:val="16"/>
          <w:szCs w:val="16"/>
        </w:rPr>
        <w:t>0 mg/cm</w:t>
      </w:r>
      <w:r w:rsidR="00040DC1">
        <w:rPr>
          <w:rFonts w:cstheme="minorHAnsi"/>
          <w:iCs/>
          <w:color w:val="auto"/>
          <w:sz w:val="16"/>
          <w:szCs w:val="16"/>
        </w:rPr>
        <w:t>²</w:t>
      </w:r>
      <w:r w:rsidRPr="00B364CB">
        <w:rPr>
          <w:rFonts w:cstheme="minorHAnsi"/>
          <w:iCs/>
          <w:color w:val="auto"/>
          <w:sz w:val="16"/>
          <w:szCs w:val="16"/>
        </w:rPr>
        <w:t>) and platinum as the cathode catalyst (SOA 0</w:t>
      </w:r>
      <w:r w:rsidR="00040DC1">
        <w:rPr>
          <w:rFonts w:cstheme="minorHAnsi"/>
          <w:iCs/>
          <w:color w:val="auto"/>
          <w:sz w:val="16"/>
          <w:szCs w:val="16"/>
        </w:rPr>
        <w:t>.</w:t>
      </w:r>
      <w:r w:rsidRPr="00B364CB">
        <w:rPr>
          <w:rFonts w:cstheme="minorHAnsi"/>
          <w:iCs/>
          <w:color w:val="auto"/>
          <w:sz w:val="16"/>
          <w:szCs w:val="16"/>
        </w:rPr>
        <w:t>5 mg/</w:t>
      </w:r>
      <w:r w:rsidR="00040DC1" w:rsidRPr="00B364CB">
        <w:rPr>
          <w:rFonts w:cstheme="minorHAnsi"/>
          <w:iCs/>
          <w:color w:val="auto"/>
          <w:sz w:val="16"/>
          <w:szCs w:val="16"/>
        </w:rPr>
        <w:t>cm</w:t>
      </w:r>
      <w:r w:rsidR="00040DC1">
        <w:rPr>
          <w:rFonts w:cstheme="minorHAnsi"/>
          <w:iCs/>
          <w:color w:val="auto"/>
          <w:sz w:val="16"/>
          <w:szCs w:val="16"/>
        </w:rPr>
        <w:t>²</w:t>
      </w:r>
      <w:r w:rsidRPr="00B364CB">
        <w:rPr>
          <w:rFonts w:cstheme="minorHAnsi"/>
          <w:iCs/>
          <w:color w:val="auto"/>
          <w:sz w:val="16"/>
          <w:szCs w:val="16"/>
        </w:rPr>
        <w:t xml:space="preserve">). </w:t>
      </w:r>
    </w:p>
    <w:p w14:paraId="4E8B51E5" w14:textId="77777777" w:rsidR="009D0C2E" w:rsidRPr="00B364CB" w:rsidRDefault="009D0C2E" w:rsidP="009D0C2E">
      <w:pPr>
        <w:tabs>
          <w:tab w:val="left" w:pos="1805"/>
        </w:tabs>
        <w:spacing w:after="120"/>
        <w:jc w:val="both"/>
        <w:rPr>
          <w:rFonts w:cstheme="minorHAnsi"/>
          <w:iCs/>
          <w:color w:val="auto"/>
          <w:sz w:val="16"/>
          <w:szCs w:val="16"/>
        </w:rPr>
      </w:pPr>
    </w:p>
    <w:p w14:paraId="51D18B5E" w14:textId="2103E1DC" w:rsidR="009D0C2E" w:rsidRPr="00B364CB" w:rsidRDefault="009D0C2E" w:rsidP="009D0C2E">
      <w:pPr>
        <w:pStyle w:val="Caption"/>
        <w:rPr>
          <w:rFonts w:cstheme="minorHAnsi"/>
          <w:b/>
          <w:iCs w:val="0"/>
          <w:color w:val="auto"/>
          <w:sz w:val="16"/>
          <w:szCs w:val="16"/>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4</w:t>
      </w:r>
      <w:r w:rsidRPr="00B364CB">
        <w:rPr>
          <w:sz w:val="24"/>
        </w:rPr>
        <w:fldChar w:fldCharType="end"/>
      </w:r>
      <w:r w:rsidRPr="00B364CB">
        <w:rPr>
          <w:sz w:val="24"/>
        </w:rPr>
        <w:t>: KPIs for Solid Oxide Electrolysis (SOEL)</w:t>
      </w:r>
    </w:p>
    <w:tbl>
      <w:tblPr>
        <w:tblpPr w:leftFromText="180" w:rightFromText="180" w:vertAnchor="text" w:tblpY="1"/>
        <w:tblOverlap w:val="never"/>
        <w:tblW w:w="5000" w:type="pct"/>
        <w:tblLook w:val="04A0" w:firstRow="1" w:lastRow="0" w:firstColumn="1" w:lastColumn="0" w:noHBand="0" w:noVBand="1"/>
      </w:tblPr>
      <w:tblGrid>
        <w:gridCol w:w="907"/>
        <w:gridCol w:w="3342"/>
        <w:gridCol w:w="1379"/>
        <w:gridCol w:w="1046"/>
        <w:gridCol w:w="1217"/>
        <w:gridCol w:w="1219"/>
      </w:tblGrid>
      <w:tr w:rsidR="00BF0053" w:rsidRPr="00B364CB" w14:paraId="104686ED" w14:textId="77777777" w:rsidTr="006D2D4E">
        <w:trPr>
          <w:trHeight w:val="345"/>
        </w:trPr>
        <w:tc>
          <w:tcPr>
            <w:tcW w:w="498" w:type="pct"/>
            <w:vMerge w:val="restart"/>
            <w:tcBorders>
              <w:top w:val="single" w:sz="4" w:space="0" w:color="auto"/>
              <w:left w:val="single" w:sz="8" w:space="0" w:color="000000"/>
              <w:right w:val="single" w:sz="8" w:space="0" w:color="000000"/>
            </w:tcBorders>
            <w:shd w:val="clear" w:color="auto" w:fill="BFBFBF" w:themeFill="background1" w:themeFillShade="BF"/>
            <w:vAlign w:val="center"/>
            <w:hideMark/>
          </w:tcPr>
          <w:p w14:paraId="6EDC726E"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No</w:t>
            </w:r>
          </w:p>
        </w:tc>
        <w:tc>
          <w:tcPr>
            <w:tcW w:w="1834" w:type="pct"/>
            <w:vMerge w:val="restart"/>
            <w:tcBorders>
              <w:top w:val="single" w:sz="4" w:space="0" w:color="auto"/>
              <w:left w:val="nil"/>
              <w:right w:val="single" w:sz="8" w:space="0" w:color="000000"/>
            </w:tcBorders>
            <w:shd w:val="clear" w:color="auto" w:fill="BFBFBF" w:themeFill="background1" w:themeFillShade="BF"/>
            <w:vAlign w:val="center"/>
            <w:hideMark/>
          </w:tcPr>
          <w:p w14:paraId="1A1EEBA3"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Parameter</w:t>
            </w:r>
          </w:p>
        </w:tc>
        <w:tc>
          <w:tcPr>
            <w:tcW w:w="757" w:type="pct"/>
            <w:vMerge w:val="restart"/>
            <w:tcBorders>
              <w:top w:val="single" w:sz="4" w:space="0" w:color="auto"/>
              <w:left w:val="nil"/>
              <w:right w:val="single" w:sz="8" w:space="0" w:color="000000"/>
            </w:tcBorders>
            <w:shd w:val="clear" w:color="auto" w:fill="BFBFBF" w:themeFill="background1" w:themeFillShade="BF"/>
            <w:vAlign w:val="center"/>
            <w:hideMark/>
          </w:tcPr>
          <w:p w14:paraId="2F42817D"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Unit</w:t>
            </w:r>
          </w:p>
        </w:tc>
        <w:tc>
          <w:tcPr>
            <w:tcW w:w="574" w:type="pct"/>
            <w:tcBorders>
              <w:top w:val="single" w:sz="4" w:space="0" w:color="auto"/>
              <w:left w:val="nil"/>
              <w:bottom w:val="single" w:sz="8" w:space="0" w:color="000000"/>
              <w:right w:val="single" w:sz="8" w:space="0" w:color="auto"/>
            </w:tcBorders>
            <w:shd w:val="clear" w:color="auto" w:fill="BFBFBF" w:themeFill="background1" w:themeFillShade="BF"/>
            <w:vAlign w:val="center"/>
            <w:hideMark/>
          </w:tcPr>
          <w:p w14:paraId="256E77DF"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337" w:type="pct"/>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19F9693A" w14:textId="77777777" w:rsidR="009D0C2E" w:rsidRPr="00B364CB" w:rsidRDefault="009D0C2E" w:rsidP="009D0C2E">
            <w:pPr>
              <w:widowControl/>
              <w:jc w:val="center"/>
            </w:pPr>
            <w:r w:rsidRPr="00B364CB">
              <w:rPr>
                <w:rFonts w:cs="Arial"/>
                <w:b/>
                <w:bCs/>
                <w:sz w:val="20"/>
                <w:szCs w:val="20"/>
                <w:lang w:eastAsia="en-GB" w:bidi="ar-SA"/>
              </w:rPr>
              <w:t>Targets</w:t>
            </w:r>
          </w:p>
        </w:tc>
      </w:tr>
      <w:tr w:rsidR="00BF0053" w:rsidRPr="00B364CB" w14:paraId="739AC443" w14:textId="77777777" w:rsidTr="006D2D4E">
        <w:trPr>
          <w:trHeight w:val="449"/>
        </w:trPr>
        <w:tc>
          <w:tcPr>
            <w:tcW w:w="498" w:type="pct"/>
            <w:vMerge/>
            <w:tcBorders>
              <w:left w:val="single" w:sz="8" w:space="0" w:color="000000"/>
              <w:bottom w:val="single" w:sz="8" w:space="0" w:color="000000"/>
              <w:right w:val="single" w:sz="8" w:space="0" w:color="000000"/>
            </w:tcBorders>
            <w:shd w:val="clear" w:color="auto" w:fill="BFBFBF" w:themeFill="background1" w:themeFillShade="BF"/>
            <w:vAlign w:val="center"/>
            <w:hideMark/>
          </w:tcPr>
          <w:p w14:paraId="7CB2F60E" w14:textId="77777777" w:rsidR="009D0C2E" w:rsidRPr="00B364CB" w:rsidRDefault="009D0C2E" w:rsidP="009D0C2E">
            <w:pPr>
              <w:widowControl/>
              <w:jc w:val="center"/>
              <w:rPr>
                <w:rFonts w:cs="Arial"/>
                <w:b/>
                <w:bCs/>
                <w:sz w:val="20"/>
                <w:szCs w:val="20"/>
                <w:lang w:eastAsia="en-GB" w:bidi="ar-SA"/>
              </w:rPr>
            </w:pPr>
          </w:p>
        </w:tc>
        <w:tc>
          <w:tcPr>
            <w:tcW w:w="1834" w:type="pct"/>
            <w:vMerge/>
            <w:tcBorders>
              <w:left w:val="nil"/>
              <w:bottom w:val="single" w:sz="8" w:space="0" w:color="000000"/>
              <w:right w:val="single" w:sz="8" w:space="0" w:color="000000"/>
            </w:tcBorders>
            <w:shd w:val="clear" w:color="auto" w:fill="BFBFBF" w:themeFill="background1" w:themeFillShade="BF"/>
            <w:vAlign w:val="center"/>
            <w:hideMark/>
          </w:tcPr>
          <w:p w14:paraId="78966D9F" w14:textId="77777777" w:rsidR="009D0C2E" w:rsidRPr="00B364CB" w:rsidRDefault="009D0C2E" w:rsidP="009D0C2E">
            <w:pPr>
              <w:widowControl/>
              <w:jc w:val="center"/>
              <w:rPr>
                <w:rFonts w:cs="Arial"/>
                <w:b/>
                <w:bCs/>
                <w:sz w:val="20"/>
                <w:szCs w:val="20"/>
                <w:lang w:eastAsia="en-GB" w:bidi="ar-SA"/>
              </w:rPr>
            </w:pPr>
          </w:p>
        </w:tc>
        <w:tc>
          <w:tcPr>
            <w:tcW w:w="757" w:type="pct"/>
            <w:vMerge/>
            <w:tcBorders>
              <w:left w:val="nil"/>
              <w:bottom w:val="single" w:sz="8" w:space="0" w:color="000000"/>
              <w:right w:val="single" w:sz="8" w:space="0" w:color="000000"/>
            </w:tcBorders>
            <w:shd w:val="clear" w:color="auto" w:fill="BFBFBF" w:themeFill="background1" w:themeFillShade="BF"/>
            <w:vAlign w:val="center"/>
            <w:hideMark/>
          </w:tcPr>
          <w:p w14:paraId="3DF85463" w14:textId="77777777" w:rsidR="009D0C2E" w:rsidRPr="00B364CB" w:rsidRDefault="009D0C2E" w:rsidP="009D0C2E">
            <w:pPr>
              <w:widowControl/>
              <w:jc w:val="center"/>
              <w:rPr>
                <w:rFonts w:cs="Arial"/>
                <w:b/>
                <w:bCs/>
                <w:sz w:val="20"/>
                <w:szCs w:val="20"/>
                <w:lang w:eastAsia="en-GB" w:bidi="ar-SA"/>
              </w:rPr>
            </w:pPr>
          </w:p>
        </w:tc>
        <w:tc>
          <w:tcPr>
            <w:tcW w:w="574" w:type="pct"/>
            <w:tcBorders>
              <w:top w:val="nil"/>
              <w:left w:val="nil"/>
              <w:bottom w:val="single" w:sz="8" w:space="0" w:color="000000"/>
              <w:right w:val="single" w:sz="8" w:space="0" w:color="000000"/>
            </w:tcBorders>
            <w:shd w:val="clear" w:color="auto" w:fill="BFBFBF" w:themeFill="background1" w:themeFillShade="BF"/>
            <w:vAlign w:val="center"/>
            <w:hideMark/>
          </w:tcPr>
          <w:p w14:paraId="7ACA3BE5"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668" w:type="pct"/>
            <w:tcBorders>
              <w:top w:val="single" w:sz="8" w:space="0" w:color="auto"/>
              <w:left w:val="nil"/>
              <w:bottom w:val="single" w:sz="8" w:space="0" w:color="000000"/>
              <w:right w:val="single" w:sz="8" w:space="0" w:color="000000"/>
            </w:tcBorders>
            <w:shd w:val="clear" w:color="auto" w:fill="BFBFBF" w:themeFill="background1" w:themeFillShade="BF"/>
            <w:vAlign w:val="center"/>
            <w:hideMark/>
          </w:tcPr>
          <w:p w14:paraId="3B68A98B"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669" w:type="pct"/>
            <w:tcBorders>
              <w:top w:val="single" w:sz="8" w:space="0" w:color="auto"/>
              <w:left w:val="nil"/>
              <w:bottom w:val="single" w:sz="8" w:space="0" w:color="000000"/>
              <w:right w:val="single" w:sz="8" w:space="0" w:color="000000"/>
            </w:tcBorders>
            <w:shd w:val="clear" w:color="auto" w:fill="BFBFBF" w:themeFill="background1" w:themeFillShade="BF"/>
            <w:vAlign w:val="center"/>
            <w:hideMark/>
          </w:tcPr>
          <w:p w14:paraId="393CFBF5"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BF0053" w:rsidRPr="00B364CB" w14:paraId="37B804F4" w14:textId="77777777" w:rsidTr="006D2D4E">
        <w:trPr>
          <w:trHeight w:val="1125"/>
        </w:trPr>
        <w:tc>
          <w:tcPr>
            <w:tcW w:w="498" w:type="pct"/>
            <w:tcBorders>
              <w:top w:val="nil"/>
              <w:left w:val="single" w:sz="8" w:space="0" w:color="000000"/>
              <w:bottom w:val="single" w:sz="8" w:space="0" w:color="000000"/>
              <w:right w:val="single" w:sz="8" w:space="0" w:color="000000"/>
            </w:tcBorders>
            <w:shd w:val="clear" w:color="auto" w:fill="auto"/>
            <w:vAlign w:val="center"/>
            <w:hideMark/>
          </w:tcPr>
          <w:p w14:paraId="13682B83"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1</w:t>
            </w:r>
          </w:p>
        </w:tc>
        <w:tc>
          <w:tcPr>
            <w:tcW w:w="1834" w:type="pct"/>
            <w:tcBorders>
              <w:top w:val="nil"/>
              <w:left w:val="nil"/>
              <w:bottom w:val="nil"/>
              <w:right w:val="single" w:sz="8" w:space="0" w:color="000000"/>
            </w:tcBorders>
            <w:shd w:val="clear" w:color="auto" w:fill="auto"/>
            <w:vAlign w:val="center"/>
            <w:hideMark/>
          </w:tcPr>
          <w:p w14:paraId="1E5A0D1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Electricity consumption</w:t>
            </w:r>
          </w:p>
          <w:p w14:paraId="7FB516A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nominal capacity</w:t>
            </w:r>
          </w:p>
          <w:p w14:paraId="6132E2B4" w14:textId="77777777" w:rsidR="009D0C2E" w:rsidRPr="00B364CB" w:rsidRDefault="009D0C2E" w:rsidP="009D0C2E">
            <w:pPr>
              <w:widowControl/>
              <w:jc w:val="center"/>
              <w:rPr>
                <w:rFonts w:cs="Arial"/>
                <w:sz w:val="20"/>
                <w:szCs w:val="20"/>
                <w:lang w:eastAsia="en-GB" w:bidi="ar-SA"/>
              </w:rPr>
            </w:pPr>
          </w:p>
          <w:p w14:paraId="782FEBBA" w14:textId="77777777" w:rsidR="009D0C2E" w:rsidRPr="00B364CB" w:rsidRDefault="009D0C2E" w:rsidP="009D0C2E">
            <w:pPr>
              <w:widowControl/>
              <w:jc w:val="center"/>
              <w:rPr>
                <w:rFonts w:cs="Arial"/>
                <w:sz w:val="20"/>
                <w:szCs w:val="20"/>
              </w:rPr>
            </w:pPr>
            <w:r w:rsidRPr="00B364CB">
              <w:rPr>
                <w:rFonts w:cs="Arial"/>
                <w:sz w:val="20"/>
                <w:szCs w:val="20"/>
              </w:rPr>
              <w:t xml:space="preserve">Heat demand </w:t>
            </w:r>
          </w:p>
          <w:p w14:paraId="617344B1"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 nominal capacity</w:t>
            </w:r>
          </w:p>
        </w:tc>
        <w:tc>
          <w:tcPr>
            <w:tcW w:w="757" w:type="pct"/>
            <w:tcBorders>
              <w:top w:val="nil"/>
              <w:left w:val="nil"/>
              <w:bottom w:val="single" w:sz="8" w:space="0" w:color="000000"/>
              <w:right w:val="single" w:sz="8" w:space="0" w:color="000000"/>
            </w:tcBorders>
            <w:shd w:val="clear" w:color="auto" w:fill="auto"/>
            <w:vAlign w:val="center"/>
            <w:hideMark/>
          </w:tcPr>
          <w:p w14:paraId="1E1F198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kWh/kg</w:t>
            </w:r>
          </w:p>
        </w:tc>
        <w:tc>
          <w:tcPr>
            <w:tcW w:w="574" w:type="pct"/>
            <w:tcBorders>
              <w:top w:val="nil"/>
              <w:left w:val="nil"/>
              <w:bottom w:val="single" w:sz="8" w:space="0" w:color="000000"/>
              <w:right w:val="single" w:sz="8" w:space="0" w:color="000000"/>
            </w:tcBorders>
            <w:shd w:val="clear" w:color="auto" w:fill="auto"/>
            <w:vAlign w:val="center"/>
            <w:hideMark/>
          </w:tcPr>
          <w:p w14:paraId="2A23717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40</w:t>
            </w:r>
          </w:p>
          <w:p w14:paraId="2CC3B945" w14:textId="77777777" w:rsidR="009D0C2E" w:rsidRPr="00B364CB" w:rsidRDefault="009D0C2E" w:rsidP="009D0C2E">
            <w:pPr>
              <w:widowControl/>
              <w:jc w:val="center"/>
              <w:rPr>
                <w:rFonts w:cs="Arial"/>
                <w:sz w:val="20"/>
                <w:szCs w:val="20"/>
                <w:lang w:eastAsia="en-GB" w:bidi="ar-SA"/>
              </w:rPr>
            </w:pPr>
          </w:p>
          <w:p w14:paraId="6BA74EE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9.9</w:t>
            </w:r>
          </w:p>
        </w:tc>
        <w:tc>
          <w:tcPr>
            <w:tcW w:w="668" w:type="pct"/>
            <w:tcBorders>
              <w:top w:val="nil"/>
              <w:left w:val="nil"/>
              <w:bottom w:val="single" w:sz="8" w:space="0" w:color="000000"/>
              <w:right w:val="single" w:sz="8" w:space="0" w:color="000000"/>
            </w:tcBorders>
            <w:shd w:val="clear" w:color="auto" w:fill="auto"/>
            <w:vAlign w:val="center"/>
            <w:hideMark/>
          </w:tcPr>
          <w:p w14:paraId="0C8ACEA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39</w:t>
            </w:r>
          </w:p>
          <w:p w14:paraId="4426DBAC" w14:textId="77777777" w:rsidR="009D0C2E" w:rsidRPr="00B364CB" w:rsidRDefault="009D0C2E" w:rsidP="009D0C2E">
            <w:pPr>
              <w:widowControl/>
              <w:jc w:val="center"/>
              <w:rPr>
                <w:rFonts w:cs="Arial"/>
                <w:sz w:val="20"/>
                <w:szCs w:val="20"/>
                <w:lang w:eastAsia="en-GB" w:bidi="ar-SA"/>
              </w:rPr>
            </w:pPr>
          </w:p>
          <w:p w14:paraId="21C62AC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w:t>
            </w:r>
          </w:p>
        </w:tc>
        <w:tc>
          <w:tcPr>
            <w:tcW w:w="669" w:type="pct"/>
            <w:tcBorders>
              <w:top w:val="nil"/>
              <w:left w:val="nil"/>
              <w:bottom w:val="single" w:sz="8" w:space="0" w:color="000000"/>
              <w:right w:val="single" w:sz="8" w:space="0" w:color="000000"/>
            </w:tcBorders>
            <w:shd w:val="clear" w:color="auto" w:fill="auto"/>
            <w:vAlign w:val="center"/>
            <w:hideMark/>
          </w:tcPr>
          <w:p w14:paraId="4A62FCB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37</w:t>
            </w:r>
          </w:p>
          <w:p w14:paraId="5285C0B6" w14:textId="77777777" w:rsidR="009D0C2E" w:rsidRPr="00B364CB" w:rsidRDefault="009D0C2E" w:rsidP="009D0C2E">
            <w:pPr>
              <w:widowControl/>
              <w:jc w:val="center"/>
              <w:rPr>
                <w:rFonts w:cs="Arial"/>
                <w:sz w:val="20"/>
                <w:szCs w:val="20"/>
                <w:lang w:eastAsia="en-GB" w:bidi="ar-SA"/>
              </w:rPr>
            </w:pPr>
          </w:p>
          <w:p w14:paraId="703EE3D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8</w:t>
            </w:r>
          </w:p>
        </w:tc>
      </w:tr>
      <w:tr w:rsidR="00BF0053" w:rsidRPr="00B364CB" w14:paraId="02C1834E" w14:textId="77777777" w:rsidTr="006D2D4E">
        <w:trPr>
          <w:trHeight w:val="250"/>
        </w:trPr>
        <w:tc>
          <w:tcPr>
            <w:tcW w:w="49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A2C7B4"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2</w:t>
            </w:r>
          </w:p>
        </w:tc>
        <w:tc>
          <w:tcPr>
            <w:tcW w:w="183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D40DA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Capital cost</w:t>
            </w:r>
          </w:p>
        </w:tc>
        <w:tc>
          <w:tcPr>
            <w:tcW w:w="757" w:type="pct"/>
            <w:tcBorders>
              <w:top w:val="nil"/>
              <w:left w:val="nil"/>
              <w:bottom w:val="nil"/>
              <w:right w:val="single" w:sz="8" w:space="0" w:color="000000"/>
            </w:tcBorders>
            <w:shd w:val="clear" w:color="auto" w:fill="auto"/>
            <w:vAlign w:val="center"/>
            <w:hideMark/>
          </w:tcPr>
          <w:p w14:paraId="361D4BB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€/(kg/d)</w:t>
            </w:r>
          </w:p>
        </w:tc>
        <w:tc>
          <w:tcPr>
            <w:tcW w:w="574" w:type="pct"/>
            <w:tcBorders>
              <w:top w:val="nil"/>
              <w:left w:val="nil"/>
              <w:bottom w:val="nil"/>
              <w:right w:val="single" w:sz="8" w:space="0" w:color="000000"/>
            </w:tcBorders>
            <w:shd w:val="clear" w:color="auto" w:fill="auto"/>
            <w:vAlign w:val="bottom"/>
            <w:hideMark/>
          </w:tcPr>
          <w:p w14:paraId="1CED6E5D"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 xml:space="preserve">3,550   </w:t>
            </w:r>
          </w:p>
        </w:tc>
        <w:tc>
          <w:tcPr>
            <w:tcW w:w="668" w:type="pct"/>
            <w:tcBorders>
              <w:top w:val="nil"/>
              <w:left w:val="nil"/>
              <w:bottom w:val="nil"/>
              <w:right w:val="single" w:sz="8" w:space="0" w:color="000000"/>
            </w:tcBorders>
            <w:shd w:val="clear" w:color="auto" w:fill="auto"/>
            <w:vAlign w:val="bottom"/>
            <w:hideMark/>
          </w:tcPr>
          <w:p w14:paraId="5BAFADF1"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 xml:space="preserve">2,000         </w:t>
            </w:r>
          </w:p>
        </w:tc>
        <w:tc>
          <w:tcPr>
            <w:tcW w:w="669" w:type="pct"/>
            <w:tcBorders>
              <w:top w:val="nil"/>
              <w:left w:val="nil"/>
              <w:bottom w:val="nil"/>
              <w:right w:val="single" w:sz="8" w:space="0" w:color="000000"/>
            </w:tcBorders>
            <w:shd w:val="clear" w:color="auto" w:fill="auto"/>
            <w:vAlign w:val="bottom"/>
            <w:hideMark/>
          </w:tcPr>
          <w:p w14:paraId="7DB0CD50"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 xml:space="preserve">800                         </w:t>
            </w:r>
          </w:p>
        </w:tc>
      </w:tr>
      <w:tr w:rsidR="00BF0053" w:rsidRPr="00B364CB" w14:paraId="3FEC6C0A" w14:textId="77777777" w:rsidTr="006D2D4E">
        <w:trPr>
          <w:trHeight w:val="292"/>
        </w:trPr>
        <w:tc>
          <w:tcPr>
            <w:tcW w:w="498" w:type="pct"/>
            <w:vMerge/>
            <w:tcBorders>
              <w:top w:val="nil"/>
              <w:left w:val="single" w:sz="8" w:space="0" w:color="000000"/>
              <w:bottom w:val="single" w:sz="8" w:space="0" w:color="000000"/>
              <w:right w:val="single" w:sz="8" w:space="0" w:color="000000"/>
            </w:tcBorders>
            <w:vAlign w:val="center"/>
            <w:hideMark/>
          </w:tcPr>
          <w:p w14:paraId="54D709F2" w14:textId="77777777" w:rsidR="009D0C2E" w:rsidRPr="00B364CB" w:rsidRDefault="009D0C2E" w:rsidP="009D0C2E">
            <w:pPr>
              <w:widowControl/>
              <w:jc w:val="center"/>
              <w:rPr>
                <w:rFonts w:cs="Arial"/>
                <w:bCs/>
                <w:sz w:val="20"/>
                <w:szCs w:val="20"/>
                <w:lang w:eastAsia="en-GB" w:bidi="ar-SA"/>
              </w:rPr>
            </w:pPr>
          </w:p>
        </w:tc>
        <w:tc>
          <w:tcPr>
            <w:tcW w:w="1834" w:type="pct"/>
            <w:vMerge/>
            <w:tcBorders>
              <w:top w:val="single" w:sz="8" w:space="0" w:color="000000"/>
              <w:left w:val="single" w:sz="8" w:space="0" w:color="000000"/>
              <w:bottom w:val="single" w:sz="8" w:space="0" w:color="000000"/>
              <w:right w:val="single" w:sz="8" w:space="0" w:color="000000"/>
            </w:tcBorders>
            <w:vAlign w:val="center"/>
            <w:hideMark/>
          </w:tcPr>
          <w:p w14:paraId="58A5751D" w14:textId="77777777" w:rsidR="009D0C2E" w:rsidRPr="00B364CB" w:rsidRDefault="009D0C2E" w:rsidP="009D0C2E">
            <w:pPr>
              <w:widowControl/>
              <w:jc w:val="center"/>
              <w:rPr>
                <w:rFonts w:cs="Arial"/>
                <w:sz w:val="20"/>
                <w:szCs w:val="20"/>
                <w:lang w:eastAsia="en-GB" w:bidi="ar-SA"/>
              </w:rPr>
            </w:pPr>
          </w:p>
        </w:tc>
        <w:tc>
          <w:tcPr>
            <w:tcW w:w="757" w:type="pct"/>
            <w:tcBorders>
              <w:top w:val="nil"/>
              <w:left w:val="nil"/>
              <w:bottom w:val="single" w:sz="8" w:space="0" w:color="000000"/>
              <w:right w:val="single" w:sz="8" w:space="0" w:color="000000"/>
            </w:tcBorders>
            <w:shd w:val="clear" w:color="auto" w:fill="auto"/>
            <w:vAlign w:val="center"/>
            <w:hideMark/>
          </w:tcPr>
          <w:p w14:paraId="5E8AAF1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w:t>
            </w:r>
          </w:p>
        </w:tc>
        <w:tc>
          <w:tcPr>
            <w:tcW w:w="574" w:type="pct"/>
            <w:tcBorders>
              <w:top w:val="nil"/>
              <w:left w:val="nil"/>
              <w:bottom w:val="single" w:sz="8" w:space="0" w:color="000000"/>
              <w:right w:val="single" w:sz="8" w:space="0" w:color="000000"/>
            </w:tcBorders>
            <w:shd w:val="clear" w:color="auto" w:fill="auto"/>
            <w:vAlign w:val="center"/>
          </w:tcPr>
          <w:p w14:paraId="096C62EC"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2,130</w:t>
            </w:r>
          </w:p>
        </w:tc>
        <w:tc>
          <w:tcPr>
            <w:tcW w:w="668" w:type="pct"/>
            <w:tcBorders>
              <w:top w:val="nil"/>
              <w:left w:val="nil"/>
              <w:bottom w:val="single" w:sz="8" w:space="0" w:color="000000"/>
              <w:right w:val="single" w:sz="8" w:space="0" w:color="000000"/>
            </w:tcBorders>
            <w:shd w:val="clear" w:color="auto" w:fill="auto"/>
            <w:vAlign w:val="center"/>
          </w:tcPr>
          <w:p w14:paraId="1E1BAF7C"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1,250</w:t>
            </w:r>
          </w:p>
        </w:tc>
        <w:tc>
          <w:tcPr>
            <w:tcW w:w="669" w:type="pct"/>
            <w:tcBorders>
              <w:top w:val="nil"/>
              <w:left w:val="nil"/>
              <w:bottom w:val="single" w:sz="8" w:space="0" w:color="000000"/>
              <w:right w:val="single" w:sz="8" w:space="0" w:color="000000"/>
            </w:tcBorders>
            <w:shd w:val="clear" w:color="auto" w:fill="auto"/>
            <w:vAlign w:val="center"/>
          </w:tcPr>
          <w:p w14:paraId="2727E0EB"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520</w:t>
            </w:r>
          </w:p>
        </w:tc>
      </w:tr>
      <w:tr w:rsidR="00BF0053" w:rsidRPr="00B364CB" w14:paraId="150E6504" w14:textId="77777777" w:rsidTr="006D2D4E">
        <w:trPr>
          <w:trHeight w:val="529"/>
        </w:trPr>
        <w:tc>
          <w:tcPr>
            <w:tcW w:w="498" w:type="pct"/>
            <w:tcBorders>
              <w:top w:val="nil"/>
              <w:left w:val="single" w:sz="8" w:space="0" w:color="000000"/>
              <w:bottom w:val="single" w:sz="8" w:space="0" w:color="000000"/>
              <w:right w:val="single" w:sz="8" w:space="0" w:color="000000"/>
            </w:tcBorders>
            <w:shd w:val="clear" w:color="auto" w:fill="auto"/>
            <w:vAlign w:val="center"/>
            <w:hideMark/>
          </w:tcPr>
          <w:p w14:paraId="6BF99F36"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3</w:t>
            </w:r>
          </w:p>
        </w:tc>
        <w:tc>
          <w:tcPr>
            <w:tcW w:w="1834" w:type="pct"/>
            <w:tcBorders>
              <w:top w:val="nil"/>
              <w:left w:val="nil"/>
              <w:bottom w:val="single" w:sz="8" w:space="0" w:color="000000"/>
              <w:right w:val="single" w:sz="8" w:space="0" w:color="000000"/>
            </w:tcBorders>
            <w:shd w:val="clear" w:color="auto" w:fill="auto"/>
            <w:vAlign w:val="center"/>
            <w:hideMark/>
          </w:tcPr>
          <w:p w14:paraId="625DC3D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O&amp;M </w:t>
            </w:r>
            <w:r w:rsidRPr="00B364CB">
              <w:rPr>
                <w:rFonts w:cs="Arial"/>
                <w:sz w:val="20"/>
                <w:szCs w:val="20"/>
              </w:rPr>
              <w:t>cost</w:t>
            </w:r>
          </w:p>
        </w:tc>
        <w:tc>
          <w:tcPr>
            <w:tcW w:w="757" w:type="pct"/>
            <w:tcBorders>
              <w:top w:val="nil"/>
              <w:left w:val="nil"/>
              <w:bottom w:val="single" w:sz="8" w:space="0" w:color="000000"/>
              <w:right w:val="single" w:sz="8" w:space="0" w:color="000000"/>
            </w:tcBorders>
            <w:shd w:val="clear" w:color="auto" w:fill="auto"/>
            <w:vAlign w:val="center"/>
            <w:hideMark/>
          </w:tcPr>
          <w:p w14:paraId="422E03A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€/(kg/d)/y</w:t>
            </w:r>
          </w:p>
        </w:tc>
        <w:tc>
          <w:tcPr>
            <w:tcW w:w="574" w:type="pct"/>
            <w:tcBorders>
              <w:top w:val="nil"/>
              <w:left w:val="nil"/>
              <w:bottom w:val="single" w:sz="8" w:space="0" w:color="000000"/>
              <w:right w:val="single" w:sz="8" w:space="0" w:color="000000"/>
            </w:tcBorders>
            <w:shd w:val="clear" w:color="auto" w:fill="auto"/>
            <w:vAlign w:val="center"/>
            <w:hideMark/>
          </w:tcPr>
          <w:p w14:paraId="7A4F6952"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410</w:t>
            </w:r>
          </w:p>
        </w:tc>
        <w:tc>
          <w:tcPr>
            <w:tcW w:w="668" w:type="pct"/>
            <w:tcBorders>
              <w:top w:val="nil"/>
              <w:left w:val="nil"/>
              <w:bottom w:val="single" w:sz="8" w:space="0" w:color="000000"/>
              <w:right w:val="single" w:sz="8" w:space="0" w:color="000000"/>
            </w:tcBorders>
            <w:shd w:val="clear" w:color="auto" w:fill="auto"/>
            <w:vAlign w:val="center"/>
            <w:hideMark/>
          </w:tcPr>
          <w:p w14:paraId="53886374"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130</w:t>
            </w:r>
          </w:p>
        </w:tc>
        <w:tc>
          <w:tcPr>
            <w:tcW w:w="669" w:type="pct"/>
            <w:tcBorders>
              <w:top w:val="nil"/>
              <w:left w:val="nil"/>
              <w:bottom w:val="single" w:sz="8" w:space="0" w:color="000000"/>
              <w:right w:val="single" w:sz="8" w:space="0" w:color="000000"/>
            </w:tcBorders>
            <w:shd w:val="clear" w:color="auto" w:fill="auto"/>
            <w:vAlign w:val="center"/>
            <w:hideMark/>
          </w:tcPr>
          <w:p w14:paraId="325C2BF0"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45</w:t>
            </w:r>
          </w:p>
        </w:tc>
      </w:tr>
      <w:tr w:rsidR="00BF0053" w:rsidRPr="00B364CB" w14:paraId="147D8B7D" w14:textId="77777777" w:rsidTr="000F1291">
        <w:trPr>
          <w:trHeight w:val="548"/>
        </w:trPr>
        <w:tc>
          <w:tcPr>
            <w:tcW w:w="49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46013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lastRenderedPageBreak/>
              <w:t>4</w:t>
            </w:r>
          </w:p>
        </w:tc>
        <w:tc>
          <w:tcPr>
            <w:tcW w:w="1834" w:type="pct"/>
            <w:tcBorders>
              <w:top w:val="single" w:sz="8" w:space="0" w:color="000000"/>
              <w:left w:val="nil"/>
              <w:bottom w:val="single" w:sz="8" w:space="0" w:color="000000"/>
              <w:right w:val="single" w:sz="8" w:space="0" w:color="000000"/>
            </w:tcBorders>
            <w:shd w:val="clear" w:color="auto" w:fill="auto"/>
            <w:vAlign w:val="center"/>
            <w:hideMark/>
          </w:tcPr>
          <w:p w14:paraId="6CA9DF7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Hot idle ramp time</w:t>
            </w:r>
          </w:p>
        </w:tc>
        <w:tc>
          <w:tcPr>
            <w:tcW w:w="757" w:type="pct"/>
            <w:tcBorders>
              <w:top w:val="single" w:sz="8" w:space="0" w:color="000000"/>
              <w:left w:val="nil"/>
              <w:bottom w:val="single" w:sz="8" w:space="0" w:color="000000"/>
              <w:right w:val="single" w:sz="8" w:space="0" w:color="000000"/>
            </w:tcBorders>
            <w:shd w:val="clear" w:color="auto" w:fill="auto"/>
            <w:vAlign w:val="center"/>
            <w:hideMark/>
          </w:tcPr>
          <w:p w14:paraId="4BEDD5E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sec</w:t>
            </w:r>
          </w:p>
        </w:tc>
        <w:tc>
          <w:tcPr>
            <w:tcW w:w="574" w:type="pct"/>
            <w:tcBorders>
              <w:top w:val="single" w:sz="8" w:space="0" w:color="000000"/>
              <w:left w:val="nil"/>
              <w:bottom w:val="single" w:sz="8" w:space="0" w:color="000000"/>
              <w:right w:val="single" w:sz="8" w:space="0" w:color="000000"/>
            </w:tcBorders>
            <w:shd w:val="clear" w:color="auto" w:fill="auto"/>
            <w:vAlign w:val="center"/>
            <w:hideMark/>
          </w:tcPr>
          <w:p w14:paraId="7E34EA3E"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600</w:t>
            </w:r>
          </w:p>
        </w:tc>
        <w:tc>
          <w:tcPr>
            <w:tcW w:w="668" w:type="pct"/>
            <w:tcBorders>
              <w:top w:val="single" w:sz="8" w:space="0" w:color="000000"/>
              <w:left w:val="nil"/>
              <w:bottom w:val="single" w:sz="8" w:space="0" w:color="000000"/>
              <w:right w:val="single" w:sz="8" w:space="0" w:color="000000"/>
            </w:tcBorders>
            <w:shd w:val="clear" w:color="auto" w:fill="auto"/>
            <w:vAlign w:val="center"/>
            <w:hideMark/>
          </w:tcPr>
          <w:p w14:paraId="4F0B441C"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300</w:t>
            </w:r>
          </w:p>
        </w:tc>
        <w:tc>
          <w:tcPr>
            <w:tcW w:w="669" w:type="pct"/>
            <w:tcBorders>
              <w:top w:val="single" w:sz="8" w:space="0" w:color="000000"/>
              <w:left w:val="nil"/>
              <w:bottom w:val="single" w:sz="8" w:space="0" w:color="000000"/>
              <w:right w:val="single" w:sz="8" w:space="0" w:color="000000"/>
            </w:tcBorders>
            <w:shd w:val="clear" w:color="auto" w:fill="auto"/>
            <w:vAlign w:val="center"/>
            <w:hideMark/>
          </w:tcPr>
          <w:p w14:paraId="7E40BC1C"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180</w:t>
            </w:r>
          </w:p>
        </w:tc>
      </w:tr>
      <w:tr w:rsidR="00BF0053" w:rsidRPr="00B364CB" w14:paraId="181BE123" w14:textId="77777777" w:rsidTr="006D2D4E">
        <w:trPr>
          <w:trHeight w:val="343"/>
        </w:trPr>
        <w:tc>
          <w:tcPr>
            <w:tcW w:w="498" w:type="pct"/>
            <w:tcBorders>
              <w:top w:val="single" w:sz="8" w:space="0" w:color="000000"/>
              <w:left w:val="single" w:sz="8" w:space="0" w:color="000000"/>
              <w:bottom w:val="single" w:sz="8" w:space="0" w:color="auto"/>
              <w:right w:val="single" w:sz="8" w:space="0" w:color="000000"/>
            </w:tcBorders>
            <w:shd w:val="clear" w:color="auto" w:fill="auto"/>
            <w:vAlign w:val="center"/>
            <w:hideMark/>
          </w:tcPr>
          <w:p w14:paraId="2F5D041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w:t>
            </w:r>
          </w:p>
        </w:tc>
        <w:tc>
          <w:tcPr>
            <w:tcW w:w="1834" w:type="pct"/>
            <w:tcBorders>
              <w:top w:val="single" w:sz="8" w:space="0" w:color="000000"/>
              <w:left w:val="nil"/>
              <w:bottom w:val="single" w:sz="8" w:space="0" w:color="auto"/>
              <w:right w:val="single" w:sz="8" w:space="0" w:color="000000"/>
            </w:tcBorders>
            <w:shd w:val="clear" w:color="auto" w:fill="auto"/>
            <w:vAlign w:val="center"/>
            <w:hideMark/>
          </w:tcPr>
          <w:p w14:paraId="1E71C8D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Cold start ramp time</w:t>
            </w:r>
          </w:p>
        </w:tc>
        <w:tc>
          <w:tcPr>
            <w:tcW w:w="757" w:type="pct"/>
            <w:tcBorders>
              <w:top w:val="single" w:sz="8" w:space="0" w:color="000000"/>
              <w:left w:val="nil"/>
              <w:bottom w:val="single" w:sz="8" w:space="0" w:color="auto"/>
              <w:right w:val="single" w:sz="8" w:space="0" w:color="000000"/>
            </w:tcBorders>
            <w:shd w:val="clear" w:color="auto" w:fill="auto"/>
            <w:vAlign w:val="center"/>
            <w:hideMark/>
          </w:tcPr>
          <w:p w14:paraId="0E335AB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w:t>
            </w:r>
          </w:p>
        </w:tc>
        <w:tc>
          <w:tcPr>
            <w:tcW w:w="574" w:type="pct"/>
            <w:tcBorders>
              <w:top w:val="single" w:sz="8" w:space="0" w:color="000000"/>
              <w:left w:val="nil"/>
              <w:bottom w:val="single" w:sz="8" w:space="0" w:color="auto"/>
              <w:right w:val="single" w:sz="8" w:space="0" w:color="000000"/>
            </w:tcBorders>
            <w:shd w:val="clear" w:color="auto" w:fill="auto"/>
            <w:vAlign w:val="center"/>
            <w:hideMark/>
          </w:tcPr>
          <w:p w14:paraId="632CF50D"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12</w:t>
            </w:r>
          </w:p>
        </w:tc>
        <w:tc>
          <w:tcPr>
            <w:tcW w:w="668" w:type="pct"/>
            <w:tcBorders>
              <w:top w:val="single" w:sz="8" w:space="0" w:color="000000"/>
              <w:left w:val="nil"/>
              <w:bottom w:val="single" w:sz="8" w:space="0" w:color="auto"/>
              <w:right w:val="single" w:sz="8" w:space="0" w:color="000000"/>
            </w:tcBorders>
            <w:shd w:val="clear" w:color="auto" w:fill="auto"/>
            <w:vAlign w:val="center"/>
            <w:hideMark/>
          </w:tcPr>
          <w:p w14:paraId="4EC1DF3F"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8</w:t>
            </w:r>
          </w:p>
        </w:tc>
        <w:tc>
          <w:tcPr>
            <w:tcW w:w="669" w:type="pct"/>
            <w:tcBorders>
              <w:top w:val="single" w:sz="8" w:space="0" w:color="000000"/>
              <w:left w:val="nil"/>
              <w:bottom w:val="single" w:sz="8" w:space="0" w:color="auto"/>
              <w:right w:val="single" w:sz="8" w:space="0" w:color="000000"/>
            </w:tcBorders>
            <w:shd w:val="clear" w:color="auto" w:fill="auto"/>
            <w:vAlign w:val="center"/>
            <w:hideMark/>
          </w:tcPr>
          <w:p w14:paraId="7E9E4076"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4</w:t>
            </w:r>
          </w:p>
        </w:tc>
      </w:tr>
      <w:tr w:rsidR="00BF0053" w:rsidRPr="00B364CB" w14:paraId="45D9D20E" w14:textId="77777777" w:rsidTr="006D2D4E">
        <w:trPr>
          <w:trHeight w:val="292"/>
        </w:trPr>
        <w:tc>
          <w:tcPr>
            <w:tcW w:w="498" w:type="pct"/>
            <w:tcBorders>
              <w:top w:val="single" w:sz="8" w:space="0" w:color="auto"/>
              <w:left w:val="single" w:sz="8" w:space="0" w:color="000000"/>
              <w:bottom w:val="single" w:sz="8" w:space="0" w:color="auto"/>
              <w:right w:val="single" w:sz="8" w:space="0" w:color="000000"/>
            </w:tcBorders>
            <w:shd w:val="clear" w:color="auto" w:fill="auto"/>
            <w:vAlign w:val="center"/>
            <w:hideMark/>
          </w:tcPr>
          <w:p w14:paraId="0F886B78" w14:textId="2671CD42" w:rsidR="009D0C2E" w:rsidRPr="00B364CB" w:rsidRDefault="002B5150" w:rsidP="009D0C2E">
            <w:pPr>
              <w:widowControl/>
              <w:jc w:val="center"/>
              <w:rPr>
                <w:rFonts w:cs="Arial"/>
                <w:bCs/>
                <w:sz w:val="20"/>
                <w:szCs w:val="20"/>
                <w:lang w:eastAsia="en-GB" w:bidi="ar-SA"/>
              </w:rPr>
            </w:pPr>
            <w:r>
              <w:rPr>
                <w:rFonts w:cs="Arial"/>
                <w:bCs/>
                <w:sz w:val="20"/>
                <w:szCs w:val="20"/>
                <w:lang w:eastAsia="en-GB" w:bidi="ar-SA"/>
              </w:rPr>
              <w:t>6</w:t>
            </w:r>
          </w:p>
        </w:tc>
        <w:tc>
          <w:tcPr>
            <w:tcW w:w="1834" w:type="pct"/>
            <w:tcBorders>
              <w:top w:val="single" w:sz="8" w:space="0" w:color="auto"/>
              <w:left w:val="nil"/>
              <w:bottom w:val="single" w:sz="8" w:space="0" w:color="auto"/>
              <w:right w:val="single" w:sz="8" w:space="0" w:color="000000"/>
            </w:tcBorders>
            <w:shd w:val="clear" w:color="auto" w:fill="auto"/>
            <w:vAlign w:val="center"/>
            <w:hideMark/>
          </w:tcPr>
          <w:p w14:paraId="7F8F9855"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Degradation @ U</w:t>
            </w:r>
            <w:r w:rsidRPr="00B364CB">
              <w:rPr>
                <w:rFonts w:cs="Arial"/>
                <w:sz w:val="13"/>
                <w:szCs w:val="13"/>
              </w:rPr>
              <w:t>TN</w:t>
            </w:r>
          </w:p>
        </w:tc>
        <w:tc>
          <w:tcPr>
            <w:tcW w:w="757" w:type="pct"/>
            <w:tcBorders>
              <w:top w:val="single" w:sz="8" w:space="0" w:color="auto"/>
              <w:left w:val="nil"/>
              <w:bottom w:val="single" w:sz="8" w:space="0" w:color="auto"/>
              <w:right w:val="single" w:sz="8" w:space="0" w:color="000000"/>
            </w:tcBorders>
            <w:shd w:val="clear" w:color="auto" w:fill="auto"/>
            <w:vAlign w:val="center"/>
            <w:hideMark/>
          </w:tcPr>
          <w:p w14:paraId="42D3E87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%/1,000h</w:t>
            </w:r>
          </w:p>
        </w:tc>
        <w:tc>
          <w:tcPr>
            <w:tcW w:w="574" w:type="pct"/>
            <w:tcBorders>
              <w:top w:val="single" w:sz="8" w:space="0" w:color="auto"/>
              <w:left w:val="nil"/>
              <w:bottom w:val="single" w:sz="8" w:space="0" w:color="auto"/>
              <w:right w:val="single" w:sz="8" w:space="0" w:color="000000"/>
            </w:tcBorders>
            <w:shd w:val="clear" w:color="auto" w:fill="auto"/>
            <w:vAlign w:val="center"/>
            <w:hideMark/>
          </w:tcPr>
          <w:p w14:paraId="568B0E1A"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1.9</w:t>
            </w:r>
          </w:p>
        </w:tc>
        <w:tc>
          <w:tcPr>
            <w:tcW w:w="668" w:type="pct"/>
            <w:tcBorders>
              <w:top w:val="single" w:sz="8" w:space="0" w:color="auto"/>
              <w:left w:val="nil"/>
              <w:bottom w:val="single" w:sz="8" w:space="0" w:color="auto"/>
              <w:right w:val="single" w:sz="8" w:space="0" w:color="000000"/>
            </w:tcBorders>
            <w:shd w:val="clear" w:color="auto" w:fill="auto"/>
            <w:vAlign w:val="center"/>
            <w:hideMark/>
          </w:tcPr>
          <w:p w14:paraId="2FA8DD9A"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w:t>
            </w:r>
          </w:p>
        </w:tc>
        <w:tc>
          <w:tcPr>
            <w:tcW w:w="669" w:type="pct"/>
            <w:tcBorders>
              <w:top w:val="single" w:sz="8" w:space="0" w:color="auto"/>
              <w:left w:val="nil"/>
              <w:bottom w:val="single" w:sz="8" w:space="0" w:color="auto"/>
              <w:right w:val="single" w:sz="8" w:space="0" w:color="auto"/>
            </w:tcBorders>
            <w:shd w:val="clear" w:color="auto" w:fill="auto"/>
            <w:vAlign w:val="center"/>
            <w:hideMark/>
          </w:tcPr>
          <w:p w14:paraId="7C4A34D5"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0.5</w:t>
            </w:r>
          </w:p>
        </w:tc>
      </w:tr>
      <w:tr w:rsidR="009D0C2E" w:rsidRPr="00B364CB" w14:paraId="23AECA4C" w14:textId="77777777" w:rsidTr="006D2D4E">
        <w:trPr>
          <w:trHeight w:val="292"/>
        </w:trPr>
        <w:tc>
          <w:tcPr>
            <w:tcW w:w="49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05C3488" w14:textId="76DC26DA" w:rsidR="009D0C2E" w:rsidRPr="00B364CB" w:rsidRDefault="002B5150" w:rsidP="009D0C2E">
            <w:pPr>
              <w:widowControl/>
              <w:jc w:val="center"/>
              <w:rPr>
                <w:rFonts w:cs="Arial"/>
                <w:bCs/>
                <w:sz w:val="20"/>
                <w:szCs w:val="20"/>
                <w:lang w:eastAsia="en-GB" w:bidi="ar-SA"/>
              </w:rPr>
            </w:pPr>
            <w:r>
              <w:rPr>
                <w:rFonts w:cs="Arial"/>
                <w:bCs/>
                <w:sz w:val="20"/>
                <w:szCs w:val="20"/>
                <w:lang w:eastAsia="en-GB" w:bidi="ar-SA"/>
              </w:rPr>
              <w:t>7</w:t>
            </w:r>
          </w:p>
        </w:tc>
        <w:tc>
          <w:tcPr>
            <w:tcW w:w="183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C58304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Current density </w:t>
            </w:r>
          </w:p>
        </w:tc>
        <w:tc>
          <w:tcPr>
            <w:tcW w:w="75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E40083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A/cm</w:t>
            </w:r>
            <w:r w:rsidRPr="00B364CB">
              <w:rPr>
                <w:rFonts w:cs="Arial"/>
                <w:sz w:val="20"/>
                <w:szCs w:val="20"/>
                <w:vertAlign w:val="superscript"/>
                <w:lang w:eastAsia="en-GB" w:bidi="ar-SA"/>
              </w:rPr>
              <w:t>2</w:t>
            </w:r>
          </w:p>
        </w:tc>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9877D98"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0.6</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DEA0DBB"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0.85</w:t>
            </w:r>
          </w:p>
        </w:tc>
        <w:tc>
          <w:tcPr>
            <w:tcW w:w="66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71D8CC8"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1.5</w:t>
            </w:r>
          </w:p>
        </w:tc>
      </w:tr>
      <w:tr w:rsidR="00BF0053" w:rsidRPr="00B364CB" w14:paraId="0D55494C" w14:textId="77777777" w:rsidTr="006D2D4E">
        <w:trPr>
          <w:trHeight w:val="292"/>
        </w:trPr>
        <w:tc>
          <w:tcPr>
            <w:tcW w:w="498" w:type="pct"/>
            <w:tcBorders>
              <w:top w:val="single" w:sz="8" w:space="0" w:color="auto"/>
              <w:left w:val="single" w:sz="8" w:space="0" w:color="000000"/>
              <w:bottom w:val="single" w:sz="8" w:space="0" w:color="000000"/>
              <w:right w:val="single" w:sz="8" w:space="0" w:color="000000"/>
            </w:tcBorders>
            <w:shd w:val="clear" w:color="auto" w:fill="auto"/>
            <w:vAlign w:val="center"/>
            <w:hideMark/>
          </w:tcPr>
          <w:p w14:paraId="03937FD5" w14:textId="76CB7D24" w:rsidR="009D0C2E" w:rsidRPr="00B364CB" w:rsidRDefault="002B5150" w:rsidP="009D0C2E">
            <w:pPr>
              <w:widowControl/>
              <w:jc w:val="center"/>
              <w:rPr>
                <w:rFonts w:cs="Arial"/>
                <w:bCs/>
                <w:sz w:val="20"/>
                <w:szCs w:val="20"/>
                <w:lang w:eastAsia="en-GB" w:bidi="ar-SA"/>
              </w:rPr>
            </w:pPr>
            <w:r>
              <w:rPr>
                <w:rFonts w:cs="Arial"/>
                <w:bCs/>
                <w:sz w:val="20"/>
                <w:szCs w:val="20"/>
              </w:rPr>
              <w:t>8</w:t>
            </w:r>
          </w:p>
        </w:tc>
        <w:tc>
          <w:tcPr>
            <w:tcW w:w="1834" w:type="pct"/>
            <w:tcBorders>
              <w:top w:val="single" w:sz="8" w:space="0" w:color="auto"/>
              <w:left w:val="nil"/>
              <w:bottom w:val="single" w:sz="8" w:space="0" w:color="000000"/>
              <w:right w:val="single" w:sz="8" w:space="0" w:color="000000"/>
            </w:tcBorders>
            <w:shd w:val="clear" w:color="auto" w:fill="auto"/>
            <w:vAlign w:val="center"/>
            <w:hideMark/>
          </w:tcPr>
          <w:p w14:paraId="4C9BC706"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Roundtrip electrical efficiency</w:t>
            </w:r>
          </w:p>
        </w:tc>
        <w:tc>
          <w:tcPr>
            <w:tcW w:w="757" w:type="pct"/>
            <w:tcBorders>
              <w:top w:val="single" w:sz="8" w:space="0" w:color="auto"/>
              <w:left w:val="nil"/>
              <w:bottom w:val="single" w:sz="8" w:space="0" w:color="000000"/>
              <w:right w:val="single" w:sz="8" w:space="0" w:color="000000"/>
            </w:tcBorders>
            <w:shd w:val="clear" w:color="auto" w:fill="auto"/>
            <w:vAlign w:val="center"/>
            <w:hideMark/>
          </w:tcPr>
          <w:p w14:paraId="0F2F174F"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w:t>
            </w:r>
          </w:p>
        </w:tc>
        <w:tc>
          <w:tcPr>
            <w:tcW w:w="574" w:type="pct"/>
            <w:tcBorders>
              <w:top w:val="single" w:sz="8" w:space="0" w:color="auto"/>
              <w:left w:val="nil"/>
              <w:bottom w:val="single" w:sz="8" w:space="0" w:color="000000"/>
              <w:right w:val="single" w:sz="8" w:space="0" w:color="000000"/>
            </w:tcBorders>
            <w:shd w:val="clear" w:color="auto" w:fill="auto"/>
            <w:vAlign w:val="center"/>
            <w:hideMark/>
          </w:tcPr>
          <w:p w14:paraId="1C9DFB48"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46</w:t>
            </w:r>
          </w:p>
        </w:tc>
        <w:tc>
          <w:tcPr>
            <w:tcW w:w="668" w:type="pct"/>
            <w:tcBorders>
              <w:top w:val="single" w:sz="8" w:space="0" w:color="auto"/>
              <w:left w:val="nil"/>
              <w:bottom w:val="single" w:sz="8" w:space="0" w:color="000000"/>
              <w:right w:val="single" w:sz="8" w:space="0" w:color="000000"/>
            </w:tcBorders>
            <w:shd w:val="clear" w:color="auto" w:fill="auto"/>
            <w:vAlign w:val="center"/>
            <w:hideMark/>
          </w:tcPr>
          <w:p w14:paraId="73BDBADE"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50</w:t>
            </w:r>
          </w:p>
        </w:tc>
        <w:tc>
          <w:tcPr>
            <w:tcW w:w="669" w:type="pct"/>
            <w:tcBorders>
              <w:top w:val="single" w:sz="8" w:space="0" w:color="auto"/>
              <w:left w:val="nil"/>
              <w:bottom w:val="single" w:sz="8" w:space="0" w:color="000000"/>
              <w:right w:val="single" w:sz="8" w:space="0" w:color="auto"/>
            </w:tcBorders>
            <w:shd w:val="clear" w:color="auto" w:fill="auto"/>
            <w:vAlign w:val="center"/>
            <w:hideMark/>
          </w:tcPr>
          <w:p w14:paraId="50B6BBF3"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57</w:t>
            </w:r>
          </w:p>
        </w:tc>
      </w:tr>
      <w:tr w:rsidR="00BF0053" w:rsidRPr="00B364CB" w14:paraId="67460A66" w14:textId="77777777" w:rsidTr="006D2D4E">
        <w:trPr>
          <w:trHeight w:val="292"/>
        </w:trPr>
        <w:tc>
          <w:tcPr>
            <w:tcW w:w="498" w:type="pct"/>
            <w:tcBorders>
              <w:top w:val="single" w:sz="8" w:space="0" w:color="000000"/>
              <w:left w:val="single" w:sz="8" w:space="0" w:color="000000"/>
              <w:bottom w:val="single" w:sz="8" w:space="0" w:color="auto"/>
              <w:right w:val="single" w:sz="8" w:space="0" w:color="000000"/>
            </w:tcBorders>
            <w:shd w:val="clear" w:color="auto" w:fill="auto"/>
            <w:vAlign w:val="center"/>
            <w:hideMark/>
          </w:tcPr>
          <w:p w14:paraId="1BE9B14B" w14:textId="778CC955" w:rsidR="009D0C2E" w:rsidRPr="00B364CB" w:rsidRDefault="002B5150" w:rsidP="009D0C2E">
            <w:pPr>
              <w:widowControl/>
              <w:jc w:val="center"/>
              <w:rPr>
                <w:rFonts w:cs="Arial"/>
                <w:bCs/>
                <w:sz w:val="20"/>
                <w:szCs w:val="20"/>
                <w:lang w:eastAsia="en-GB" w:bidi="ar-SA"/>
              </w:rPr>
            </w:pPr>
            <w:r>
              <w:rPr>
                <w:rFonts w:cs="Arial"/>
                <w:bCs/>
                <w:sz w:val="20"/>
                <w:szCs w:val="20"/>
              </w:rPr>
              <w:t>9</w:t>
            </w:r>
          </w:p>
        </w:tc>
        <w:tc>
          <w:tcPr>
            <w:tcW w:w="1834" w:type="pct"/>
            <w:tcBorders>
              <w:top w:val="single" w:sz="8" w:space="0" w:color="000000"/>
              <w:left w:val="single" w:sz="8" w:space="0" w:color="000000"/>
              <w:bottom w:val="single" w:sz="8" w:space="0" w:color="auto"/>
              <w:right w:val="single" w:sz="8" w:space="0" w:color="000000"/>
            </w:tcBorders>
            <w:shd w:val="clear" w:color="auto" w:fill="auto"/>
            <w:vAlign w:val="center"/>
            <w:hideMark/>
          </w:tcPr>
          <w:p w14:paraId="6F434510"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Reversible capacity</w:t>
            </w:r>
          </w:p>
        </w:tc>
        <w:tc>
          <w:tcPr>
            <w:tcW w:w="757" w:type="pct"/>
            <w:tcBorders>
              <w:top w:val="single" w:sz="8" w:space="0" w:color="000000"/>
              <w:left w:val="single" w:sz="8" w:space="0" w:color="000000"/>
              <w:bottom w:val="single" w:sz="8" w:space="0" w:color="auto"/>
              <w:right w:val="single" w:sz="8" w:space="0" w:color="000000"/>
            </w:tcBorders>
            <w:shd w:val="clear" w:color="auto" w:fill="auto"/>
            <w:vAlign w:val="center"/>
            <w:hideMark/>
          </w:tcPr>
          <w:p w14:paraId="02BD6736"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w:t>
            </w:r>
          </w:p>
        </w:tc>
        <w:tc>
          <w:tcPr>
            <w:tcW w:w="574" w:type="pct"/>
            <w:tcBorders>
              <w:top w:val="single" w:sz="8" w:space="0" w:color="000000"/>
              <w:left w:val="single" w:sz="8" w:space="0" w:color="000000"/>
              <w:bottom w:val="single" w:sz="8" w:space="0" w:color="auto"/>
              <w:right w:val="single" w:sz="8" w:space="0" w:color="000000"/>
            </w:tcBorders>
            <w:shd w:val="clear" w:color="auto" w:fill="auto"/>
            <w:vAlign w:val="center"/>
            <w:hideMark/>
          </w:tcPr>
          <w:p w14:paraId="372D216A"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25</w:t>
            </w:r>
          </w:p>
        </w:tc>
        <w:tc>
          <w:tcPr>
            <w:tcW w:w="668" w:type="pct"/>
            <w:tcBorders>
              <w:top w:val="single" w:sz="8" w:space="0" w:color="000000"/>
              <w:left w:val="single" w:sz="8" w:space="0" w:color="000000"/>
              <w:bottom w:val="single" w:sz="8" w:space="0" w:color="auto"/>
              <w:right w:val="single" w:sz="8" w:space="0" w:color="000000"/>
            </w:tcBorders>
            <w:shd w:val="clear" w:color="auto" w:fill="auto"/>
            <w:vAlign w:val="center"/>
            <w:hideMark/>
          </w:tcPr>
          <w:p w14:paraId="5967AC16"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30</w:t>
            </w:r>
          </w:p>
        </w:tc>
        <w:tc>
          <w:tcPr>
            <w:tcW w:w="669" w:type="pct"/>
            <w:tcBorders>
              <w:top w:val="single" w:sz="8" w:space="0" w:color="000000"/>
              <w:left w:val="single" w:sz="8" w:space="0" w:color="000000"/>
              <w:bottom w:val="single" w:sz="8" w:space="0" w:color="auto"/>
              <w:right w:val="single" w:sz="8" w:space="0" w:color="auto"/>
            </w:tcBorders>
            <w:shd w:val="clear" w:color="auto" w:fill="auto"/>
            <w:vAlign w:val="center"/>
            <w:hideMark/>
          </w:tcPr>
          <w:p w14:paraId="7941AAE5"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40</w:t>
            </w:r>
          </w:p>
        </w:tc>
      </w:tr>
    </w:tbl>
    <w:p w14:paraId="0509EAF6" w14:textId="77777777" w:rsidR="009D0C2E" w:rsidRPr="00B364CB" w:rsidRDefault="009D0C2E" w:rsidP="009D0C2E">
      <w:pPr>
        <w:tabs>
          <w:tab w:val="left" w:pos="1805"/>
        </w:tabs>
        <w:spacing w:after="120"/>
        <w:jc w:val="both"/>
        <w:rPr>
          <w:rFonts w:cstheme="minorHAnsi"/>
          <w:b/>
          <w:iCs/>
          <w:color w:val="auto"/>
          <w:sz w:val="16"/>
          <w:szCs w:val="16"/>
          <w:u w:val="single"/>
        </w:rPr>
      </w:pPr>
    </w:p>
    <w:p w14:paraId="59D1901A" w14:textId="093A274D"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57922D7B" w14:textId="4BC7B191"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(General for system): Standard boundary conditions that apply to all system KPIs: input of AC power and tap water; output of hydrogen meeting ISO 14687-2 at atmospheric </w:t>
      </w:r>
      <w:r>
        <w:rPr>
          <w:rFonts w:cstheme="minorHAnsi"/>
          <w:iCs/>
          <w:color w:val="auto"/>
          <w:sz w:val="16"/>
          <w:szCs w:val="16"/>
        </w:rPr>
        <w:t>pressure</w:t>
      </w:r>
      <w:r w:rsidR="007F6A18" w:rsidRPr="007F6A18">
        <w:rPr>
          <w:rFonts w:cstheme="minorHAnsi"/>
          <w:iCs/>
          <w:color w:val="auto"/>
          <w:sz w:val="16"/>
          <w:szCs w:val="16"/>
        </w:rPr>
        <w:t xml:space="preserve"> </w:t>
      </w:r>
      <w:r w:rsidR="007F6A18">
        <w:rPr>
          <w:rFonts w:cstheme="minorHAnsi"/>
          <w:iCs/>
          <w:color w:val="auto"/>
          <w:sz w:val="16"/>
          <w:szCs w:val="16"/>
        </w:rPr>
        <w:t xml:space="preserve">and hydrogen purity 5. </w:t>
      </w:r>
      <w:r w:rsidRPr="00B364CB">
        <w:rPr>
          <w:rFonts w:cstheme="minorHAnsi"/>
          <w:iCs/>
          <w:color w:val="auto"/>
          <w:sz w:val="16"/>
          <w:szCs w:val="16"/>
        </w:rPr>
        <w:t>Correction factors may be applied if actual boundary conditions are different.</w:t>
      </w:r>
      <w:r w:rsidRPr="00B364CB">
        <w:rPr>
          <w:rFonts w:cstheme="minorHAnsi"/>
          <w:iCs/>
          <w:color w:val="auto"/>
          <w:sz w:val="16"/>
          <w:szCs w:val="16"/>
          <w:highlight w:val="yellow"/>
        </w:rPr>
        <w:t xml:space="preserve"> </w:t>
      </w:r>
    </w:p>
    <w:p w14:paraId="1DE7A113" w14:textId="46F3F05A"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All KPIs are interdependent and should be met simultaneously</w:t>
      </w:r>
      <w:r w:rsidR="007F6A18">
        <w:rPr>
          <w:rFonts w:cstheme="minorHAnsi"/>
          <w:iCs/>
          <w:color w:val="auto"/>
          <w:sz w:val="16"/>
          <w:szCs w:val="16"/>
        </w:rPr>
        <w:t>, e</w:t>
      </w:r>
      <w:r w:rsidR="007F6A18" w:rsidRPr="007F6A18">
        <w:rPr>
          <w:rFonts w:cstheme="minorHAnsi"/>
          <w:iCs/>
          <w:color w:val="auto"/>
          <w:sz w:val="16"/>
          <w:szCs w:val="16"/>
        </w:rPr>
        <w:t xml:space="preserve">xcept </w:t>
      </w:r>
      <w:r w:rsidR="007F6A18">
        <w:rPr>
          <w:rFonts w:cstheme="minorHAnsi"/>
          <w:iCs/>
          <w:color w:val="auto"/>
          <w:sz w:val="16"/>
          <w:szCs w:val="16"/>
        </w:rPr>
        <w:t xml:space="preserve">for </w:t>
      </w:r>
      <w:r w:rsidR="007F6A18" w:rsidRPr="007F6A18">
        <w:rPr>
          <w:rFonts w:cstheme="minorHAnsi"/>
          <w:iCs/>
          <w:color w:val="auto"/>
          <w:sz w:val="16"/>
          <w:szCs w:val="16"/>
        </w:rPr>
        <w:t xml:space="preserve">reversible parameters which </w:t>
      </w:r>
      <w:r w:rsidR="007F6A18">
        <w:rPr>
          <w:rFonts w:cstheme="minorHAnsi"/>
          <w:iCs/>
          <w:color w:val="auto"/>
          <w:sz w:val="16"/>
          <w:szCs w:val="16"/>
        </w:rPr>
        <w:t xml:space="preserve">concern </w:t>
      </w:r>
      <w:r w:rsidR="007F6A18" w:rsidRPr="007F6A18">
        <w:rPr>
          <w:rFonts w:cstheme="minorHAnsi"/>
          <w:iCs/>
          <w:color w:val="auto"/>
          <w:sz w:val="16"/>
          <w:szCs w:val="16"/>
        </w:rPr>
        <w:t>only reversible systems</w:t>
      </w:r>
      <w:r w:rsidRPr="00B364CB">
        <w:rPr>
          <w:rFonts w:cstheme="minorHAnsi"/>
          <w:iCs/>
          <w:color w:val="auto"/>
          <w:sz w:val="16"/>
          <w:szCs w:val="16"/>
        </w:rPr>
        <w:t>.</w:t>
      </w:r>
    </w:p>
    <w:p w14:paraId="5A1B2420"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KPI-1: Electrical energy demand similar as for alkaline technology (see table 2). Heat demand is the heat absorption of the system at nominal capacity (mostly provided by steam).</w:t>
      </w:r>
    </w:p>
    <w:p w14:paraId="5E45D1BD"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KPI-2: Capital cost are based on 100 MW production volume for a single company and on a 10-year system lifetime running in steady state operation, whereby end of life is defined as 10% increase in energy required for production of hydrogen. Stack replacements are not included in capital cost. Cost are for installation on a pre-prepared site (fundament/building and necessary connections are available). Transformers and rectifiers are to be included in the capital cost.</w:t>
      </w:r>
    </w:p>
    <w:p w14:paraId="378C3200"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KPI-3: Operation and maintenance cost averaged over the first 10 years of the system. Potential stack replacements are included in O&amp;M cost. Electricity costs are not included in O&amp;M cost.</w:t>
      </w:r>
    </w:p>
    <w:p w14:paraId="18670AE3"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KPI-4:</w:t>
      </w:r>
      <w:r w:rsidRPr="00B364CB">
        <w:t xml:space="preserve"> </w:t>
      </w:r>
      <w:r w:rsidRPr="00B364CB">
        <w:rPr>
          <w:rFonts w:cstheme="minorHAnsi"/>
          <w:iCs/>
          <w:color w:val="auto"/>
          <w:sz w:val="16"/>
          <w:szCs w:val="16"/>
        </w:rPr>
        <w:t>Time required to reach nominal capacity in terms of hydrogen production rate when starting the device from hot idle (warm standby mode - system already at operating temperature and pressure).</w:t>
      </w:r>
    </w:p>
    <w:p w14:paraId="4419549F"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KPI-5:</w:t>
      </w:r>
      <w:r w:rsidRPr="00B364CB">
        <w:t xml:space="preserve"> </w:t>
      </w:r>
      <w:r w:rsidRPr="00B364CB">
        <w:rPr>
          <w:rFonts w:cstheme="minorHAnsi"/>
          <w:iCs/>
          <w:color w:val="auto"/>
          <w:sz w:val="16"/>
          <w:szCs w:val="16"/>
        </w:rPr>
        <w:t>Time required to reach nominal capacity in terms of hydrogen production rate when starting the device from cold standby mode.</w:t>
      </w:r>
    </w:p>
    <w:p w14:paraId="3F6AB9DC" w14:textId="09413E92" w:rsidR="009D0C2E" w:rsidRPr="00B364CB" w:rsidRDefault="009D0C2E" w:rsidP="009D0C2E">
      <w:pPr>
        <w:tabs>
          <w:tab w:val="left" w:pos="1805"/>
        </w:tabs>
        <w:spacing w:after="120"/>
        <w:jc w:val="both"/>
        <w:rPr>
          <w:rFonts w:cstheme="minorHAnsi"/>
          <w:iCs/>
          <w:color w:val="auto"/>
          <w:sz w:val="16"/>
          <w:szCs w:val="16"/>
        </w:rPr>
      </w:pPr>
      <w:r>
        <w:rPr>
          <w:rFonts w:cstheme="minorHAnsi"/>
          <w:iCs/>
          <w:color w:val="auto"/>
          <w:sz w:val="16"/>
          <w:szCs w:val="16"/>
        </w:rPr>
        <w:t>KPI-</w:t>
      </w:r>
      <w:r w:rsidR="002B5150">
        <w:rPr>
          <w:rFonts w:cstheme="minorHAnsi"/>
          <w:iCs/>
          <w:color w:val="auto"/>
          <w:sz w:val="16"/>
          <w:szCs w:val="16"/>
        </w:rPr>
        <w:t>6</w:t>
      </w:r>
      <w:r>
        <w:rPr>
          <w:rFonts w:cstheme="minorHAnsi"/>
          <w:iCs/>
          <w:color w:val="auto"/>
          <w:sz w:val="16"/>
          <w:szCs w:val="16"/>
        </w:rPr>
        <w:t>: Degradation under</w:t>
      </w:r>
      <w:r w:rsidRPr="00B364CB">
        <w:rPr>
          <w:rFonts w:cstheme="minorHAnsi"/>
          <w:iCs/>
          <w:color w:val="auto"/>
          <w:sz w:val="16"/>
          <w:szCs w:val="16"/>
        </w:rPr>
        <w:t xml:space="preserve"> thermo-neutral conditions</w:t>
      </w:r>
      <w:r>
        <w:rPr>
          <w:rFonts w:cstheme="minorHAnsi"/>
          <w:iCs/>
          <w:color w:val="auto"/>
          <w:sz w:val="16"/>
          <w:szCs w:val="16"/>
        </w:rPr>
        <w:t xml:space="preserve"> (@UTN)</w:t>
      </w:r>
      <w:r w:rsidRPr="00B364CB">
        <w:rPr>
          <w:rFonts w:cstheme="minorHAnsi"/>
          <w:iCs/>
          <w:color w:val="auto"/>
          <w:sz w:val="16"/>
          <w:szCs w:val="16"/>
        </w:rPr>
        <w:t xml:space="preserve"> in percent loss of production rate (hydrogen power output) at constant efficiency. Note this is a different definition as for low temperature electrolysis, reflecting the difference in technology. Testing time should be a minimum of 2000 h.</w:t>
      </w:r>
    </w:p>
    <w:p w14:paraId="7C6906E8" w14:textId="270A1F76"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w:t>
      </w:r>
      <w:r w:rsidR="002B5150">
        <w:rPr>
          <w:rFonts w:cstheme="minorHAnsi"/>
          <w:iCs/>
          <w:color w:val="auto"/>
          <w:sz w:val="16"/>
          <w:szCs w:val="16"/>
        </w:rPr>
        <w:t>7</w:t>
      </w:r>
      <w:r w:rsidRPr="00B364CB">
        <w:rPr>
          <w:rFonts w:cstheme="minorHAnsi"/>
          <w:iCs/>
          <w:color w:val="auto"/>
          <w:sz w:val="16"/>
          <w:szCs w:val="16"/>
        </w:rPr>
        <w:t>: Mean current density of the electrolysis cell running at operating temperature and pressure and nominal hydrogen production rate of the stack.</w:t>
      </w:r>
    </w:p>
    <w:p w14:paraId="643AF840" w14:textId="4A65C31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w:t>
      </w:r>
      <w:r w:rsidR="002B5150">
        <w:rPr>
          <w:rFonts w:cstheme="minorHAnsi"/>
          <w:iCs/>
          <w:color w:val="auto"/>
          <w:sz w:val="16"/>
          <w:szCs w:val="16"/>
        </w:rPr>
        <w:t>8</w:t>
      </w:r>
      <w:r w:rsidRPr="00B364CB">
        <w:rPr>
          <w:rFonts w:cstheme="minorHAnsi"/>
          <w:iCs/>
          <w:color w:val="auto"/>
          <w:sz w:val="16"/>
          <w:szCs w:val="16"/>
        </w:rPr>
        <w:t>: Roundtrip electrical efficiency is defined as energy discharged measured on the primary point of connection (POC) divided by the electric energy absorbed, measured on all the POC (primary and auxiliary), over one electrical energy storage system standard charging/discharging cycle in specified operating conditions.</w:t>
      </w:r>
    </w:p>
    <w:p w14:paraId="4552A6C3" w14:textId="3CFA1F4C"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w:t>
      </w:r>
      <w:r w:rsidR="002B5150">
        <w:rPr>
          <w:rFonts w:cstheme="minorHAnsi"/>
          <w:iCs/>
          <w:color w:val="auto"/>
          <w:sz w:val="16"/>
          <w:szCs w:val="16"/>
        </w:rPr>
        <w:t>9</w:t>
      </w:r>
      <w:r w:rsidRPr="00B364CB">
        <w:rPr>
          <w:rFonts w:cstheme="minorHAnsi"/>
          <w:iCs/>
          <w:color w:val="auto"/>
          <w:sz w:val="16"/>
          <w:szCs w:val="16"/>
        </w:rPr>
        <w:t>: Reversible capacity is defined as ratio of the nominal rated power in fuel cell mode to the electric power at nominal capacity in electrolyser mode of the SOEL system.</w:t>
      </w:r>
    </w:p>
    <w:p w14:paraId="0ED455D1" w14:textId="77777777" w:rsidR="009D0C2E" w:rsidRPr="00B364CB" w:rsidRDefault="009D0C2E" w:rsidP="009D0C2E">
      <w:pPr>
        <w:tabs>
          <w:tab w:val="left" w:pos="1805"/>
        </w:tabs>
        <w:spacing w:after="120"/>
        <w:jc w:val="both"/>
        <w:rPr>
          <w:rFonts w:cstheme="minorHAnsi"/>
          <w:iCs/>
          <w:color w:val="auto"/>
          <w:sz w:val="16"/>
          <w:szCs w:val="16"/>
        </w:rPr>
      </w:pPr>
    </w:p>
    <w:p w14:paraId="02ECF7A4" w14:textId="0CE21F27" w:rsidR="009D0C2E" w:rsidRPr="00B364CB" w:rsidRDefault="009D0C2E" w:rsidP="009D0C2E">
      <w:pPr>
        <w:pStyle w:val="Caption"/>
        <w:rPr>
          <w:sz w:val="24"/>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5</w:t>
      </w:r>
      <w:r w:rsidRPr="00B364CB">
        <w:rPr>
          <w:sz w:val="24"/>
        </w:rPr>
        <w:fldChar w:fldCharType="end"/>
      </w:r>
      <w:r w:rsidRPr="00B364CB">
        <w:rPr>
          <w:sz w:val="24"/>
        </w:rPr>
        <w:t>: KPIs for Anion Exchange Membrane Electrolysis (AEMEL)</w:t>
      </w:r>
    </w:p>
    <w:tbl>
      <w:tblPr>
        <w:tblpPr w:leftFromText="180" w:rightFromText="180" w:vertAnchor="text" w:tblpY="1"/>
        <w:tblOverlap w:val="never"/>
        <w:tblW w:w="5000" w:type="pct"/>
        <w:tblLayout w:type="fixed"/>
        <w:tblLook w:val="04A0" w:firstRow="1" w:lastRow="0" w:firstColumn="1" w:lastColumn="0" w:noHBand="0" w:noVBand="1"/>
      </w:tblPr>
      <w:tblGrid>
        <w:gridCol w:w="752"/>
        <w:gridCol w:w="3260"/>
        <w:gridCol w:w="1545"/>
        <w:gridCol w:w="1294"/>
        <w:gridCol w:w="1179"/>
        <w:gridCol w:w="1080"/>
      </w:tblGrid>
      <w:tr w:rsidR="009D0C2E" w:rsidRPr="00B364CB" w14:paraId="5E9CAEDE" w14:textId="77777777" w:rsidTr="00120F40">
        <w:trPr>
          <w:trHeight w:val="294"/>
        </w:trPr>
        <w:tc>
          <w:tcPr>
            <w:tcW w:w="413" w:type="pct"/>
            <w:vMerge w:val="restart"/>
            <w:tcBorders>
              <w:top w:val="single" w:sz="8" w:space="0" w:color="000000"/>
              <w:left w:val="single" w:sz="8" w:space="0" w:color="000000"/>
              <w:right w:val="single" w:sz="8" w:space="0" w:color="000000"/>
            </w:tcBorders>
            <w:shd w:val="clear" w:color="auto" w:fill="BFBFBF" w:themeFill="background1" w:themeFillShade="BF"/>
            <w:vAlign w:val="center"/>
            <w:hideMark/>
          </w:tcPr>
          <w:p w14:paraId="57E4F158"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No</w:t>
            </w:r>
          </w:p>
        </w:tc>
        <w:tc>
          <w:tcPr>
            <w:tcW w:w="1789" w:type="pct"/>
            <w:vMerge w:val="restart"/>
            <w:tcBorders>
              <w:top w:val="single" w:sz="8" w:space="0" w:color="000000"/>
              <w:left w:val="nil"/>
              <w:right w:val="single" w:sz="8" w:space="0" w:color="000000"/>
            </w:tcBorders>
            <w:shd w:val="clear" w:color="auto" w:fill="BFBFBF" w:themeFill="background1" w:themeFillShade="BF"/>
            <w:vAlign w:val="center"/>
            <w:hideMark/>
          </w:tcPr>
          <w:p w14:paraId="050BA19B"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Parameter</w:t>
            </w:r>
          </w:p>
        </w:tc>
        <w:tc>
          <w:tcPr>
            <w:tcW w:w="848" w:type="pct"/>
            <w:vMerge w:val="restart"/>
            <w:tcBorders>
              <w:top w:val="single" w:sz="8" w:space="0" w:color="000000"/>
              <w:left w:val="nil"/>
              <w:right w:val="single" w:sz="8" w:space="0" w:color="000000"/>
            </w:tcBorders>
            <w:shd w:val="clear" w:color="auto" w:fill="BFBFBF" w:themeFill="background1" w:themeFillShade="BF"/>
            <w:vAlign w:val="center"/>
            <w:hideMark/>
          </w:tcPr>
          <w:p w14:paraId="2A435941"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 </w:t>
            </w:r>
          </w:p>
          <w:p w14:paraId="74C3D0F3"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Unit</w:t>
            </w:r>
          </w:p>
        </w:tc>
        <w:tc>
          <w:tcPr>
            <w:tcW w:w="710" w:type="pct"/>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1733FF47"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647" w:type="pct"/>
            <w:tcBorders>
              <w:top w:val="single" w:sz="8" w:space="0" w:color="000000"/>
              <w:left w:val="nil"/>
              <w:bottom w:val="single" w:sz="8" w:space="0" w:color="auto"/>
            </w:tcBorders>
            <w:shd w:val="clear" w:color="auto" w:fill="BFBFBF" w:themeFill="background1" w:themeFillShade="BF"/>
          </w:tcPr>
          <w:p w14:paraId="40D50A27"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c>
          <w:tcPr>
            <w:tcW w:w="593" w:type="pct"/>
            <w:tcBorders>
              <w:top w:val="single" w:sz="8" w:space="0" w:color="000000"/>
              <w:bottom w:val="single" w:sz="8" w:space="0" w:color="auto"/>
              <w:right w:val="single" w:sz="8" w:space="0" w:color="000000"/>
            </w:tcBorders>
            <w:shd w:val="clear" w:color="auto" w:fill="BFBFBF" w:themeFill="background1" w:themeFillShade="BF"/>
          </w:tcPr>
          <w:p w14:paraId="47F35F52" w14:textId="77777777" w:rsidR="009D0C2E" w:rsidRPr="00B364CB" w:rsidRDefault="009D0C2E" w:rsidP="009D0C2E">
            <w:pPr>
              <w:widowControl/>
              <w:jc w:val="center"/>
              <w:rPr>
                <w:rFonts w:cs="Arial"/>
                <w:b/>
                <w:bCs/>
                <w:sz w:val="20"/>
                <w:szCs w:val="20"/>
                <w:lang w:eastAsia="en-GB" w:bidi="ar-SA"/>
              </w:rPr>
            </w:pPr>
          </w:p>
        </w:tc>
      </w:tr>
      <w:tr w:rsidR="009D0C2E" w:rsidRPr="00B364CB" w14:paraId="4E71D527" w14:textId="77777777" w:rsidTr="00120F40">
        <w:trPr>
          <w:trHeight w:val="294"/>
        </w:trPr>
        <w:tc>
          <w:tcPr>
            <w:tcW w:w="413" w:type="pct"/>
            <w:vMerge/>
            <w:tcBorders>
              <w:left w:val="single" w:sz="8" w:space="0" w:color="000000"/>
              <w:bottom w:val="single" w:sz="8" w:space="0" w:color="000000"/>
              <w:right w:val="single" w:sz="8" w:space="0" w:color="000000"/>
            </w:tcBorders>
            <w:shd w:val="clear" w:color="auto" w:fill="BFBFBF" w:themeFill="background1" w:themeFillShade="BF"/>
            <w:vAlign w:val="center"/>
            <w:hideMark/>
          </w:tcPr>
          <w:p w14:paraId="3BED71EF" w14:textId="77777777" w:rsidR="009D0C2E" w:rsidRPr="00B364CB" w:rsidRDefault="009D0C2E" w:rsidP="009D0C2E">
            <w:pPr>
              <w:widowControl/>
              <w:jc w:val="center"/>
              <w:rPr>
                <w:rFonts w:cs="Arial"/>
                <w:b/>
                <w:bCs/>
                <w:sz w:val="20"/>
                <w:szCs w:val="20"/>
                <w:lang w:eastAsia="en-GB" w:bidi="ar-SA"/>
              </w:rPr>
            </w:pPr>
          </w:p>
        </w:tc>
        <w:tc>
          <w:tcPr>
            <w:tcW w:w="1789" w:type="pct"/>
            <w:vMerge/>
            <w:tcBorders>
              <w:left w:val="nil"/>
              <w:bottom w:val="single" w:sz="8" w:space="0" w:color="000000"/>
              <w:right w:val="single" w:sz="8" w:space="0" w:color="000000"/>
            </w:tcBorders>
            <w:shd w:val="clear" w:color="auto" w:fill="BFBFBF" w:themeFill="background1" w:themeFillShade="BF"/>
            <w:vAlign w:val="center"/>
            <w:hideMark/>
          </w:tcPr>
          <w:p w14:paraId="1F38BE42" w14:textId="77777777" w:rsidR="009D0C2E" w:rsidRPr="00B364CB" w:rsidRDefault="009D0C2E" w:rsidP="009D0C2E">
            <w:pPr>
              <w:widowControl/>
              <w:jc w:val="center"/>
              <w:rPr>
                <w:rFonts w:cs="Arial"/>
                <w:b/>
                <w:bCs/>
                <w:sz w:val="20"/>
                <w:szCs w:val="20"/>
                <w:lang w:eastAsia="en-GB" w:bidi="ar-SA"/>
              </w:rPr>
            </w:pPr>
          </w:p>
        </w:tc>
        <w:tc>
          <w:tcPr>
            <w:tcW w:w="848" w:type="pct"/>
            <w:vMerge/>
            <w:tcBorders>
              <w:left w:val="nil"/>
              <w:bottom w:val="single" w:sz="8" w:space="0" w:color="000000"/>
              <w:right w:val="single" w:sz="8" w:space="0" w:color="000000"/>
            </w:tcBorders>
            <w:shd w:val="clear" w:color="auto" w:fill="BFBFBF" w:themeFill="background1" w:themeFillShade="BF"/>
            <w:vAlign w:val="center"/>
            <w:hideMark/>
          </w:tcPr>
          <w:p w14:paraId="5EE7BB0C" w14:textId="77777777" w:rsidR="009D0C2E" w:rsidRPr="00B364CB" w:rsidRDefault="009D0C2E" w:rsidP="009D0C2E">
            <w:pPr>
              <w:widowControl/>
              <w:jc w:val="center"/>
              <w:rPr>
                <w:rFonts w:cs="Arial"/>
                <w:b/>
                <w:bCs/>
                <w:sz w:val="20"/>
                <w:szCs w:val="20"/>
                <w:lang w:eastAsia="en-GB" w:bidi="ar-SA"/>
              </w:rPr>
            </w:pPr>
          </w:p>
        </w:tc>
        <w:tc>
          <w:tcPr>
            <w:tcW w:w="710" w:type="pct"/>
            <w:tcBorders>
              <w:top w:val="nil"/>
              <w:left w:val="nil"/>
              <w:bottom w:val="single" w:sz="8" w:space="0" w:color="000000"/>
              <w:right w:val="single" w:sz="8" w:space="0" w:color="auto"/>
            </w:tcBorders>
            <w:shd w:val="clear" w:color="auto" w:fill="BFBFBF" w:themeFill="background1" w:themeFillShade="BF"/>
            <w:vAlign w:val="center"/>
            <w:hideMark/>
          </w:tcPr>
          <w:p w14:paraId="7AFFA9BA"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647"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3D1F33C4" w14:textId="77777777" w:rsidR="009D0C2E" w:rsidRPr="00B364CB" w:rsidRDefault="009D0C2E" w:rsidP="009D0C2E">
            <w:pPr>
              <w:widowControl/>
              <w:ind w:firstLineChars="100" w:firstLine="200"/>
              <w:jc w:val="center"/>
              <w:rPr>
                <w:rFonts w:cs="Arial"/>
                <w:b/>
                <w:bCs/>
                <w:sz w:val="20"/>
                <w:szCs w:val="20"/>
                <w:lang w:eastAsia="en-GB" w:bidi="ar-SA"/>
              </w:rPr>
            </w:pPr>
            <w:r w:rsidRPr="00B364CB">
              <w:rPr>
                <w:rFonts w:cs="Arial"/>
                <w:b/>
                <w:bCs/>
                <w:sz w:val="20"/>
                <w:szCs w:val="20"/>
                <w:lang w:eastAsia="en-GB" w:bidi="ar-SA"/>
              </w:rPr>
              <w:t>2024</w:t>
            </w:r>
          </w:p>
        </w:tc>
        <w:tc>
          <w:tcPr>
            <w:tcW w:w="593"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111AEF5" w14:textId="77777777" w:rsidR="009D0C2E" w:rsidRPr="00B364CB" w:rsidRDefault="009D0C2E" w:rsidP="009D0C2E">
            <w:pPr>
              <w:widowControl/>
              <w:ind w:firstLineChars="100" w:firstLine="200"/>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7485668C" w14:textId="77777777" w:rsidTr="00120F40">
        <w:trPr>
          <w:trHeight w:val="393"/>
        </w:trPr>
        <w:tc>
          <w:tcPr>
            <w:tcW w:w="413" w:type="pct"/>
            <w:tcBorders>
              <w:top w:val="nil"/>
              <w:left w:val="single" w:sz="8" w:space="0" w:color="000000"/>
              <w:bottom w:val="single" w:sz="8" w:space="0" w:color="000000"/>
              <w:right w:val="single" w:sz="8" w:space="0" w:color="000000"/>
            </w:tcBorders>
            <w:shd w:val="clear" w:color="auto" w:fill="auto"/>
            <w:vAlign w:val="center"/>
            <w:hideMark/>
          </w:tcPr>
          <w:p w14:paraId="000B2598"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1</w:t>
            </w:r>
          </w:p>
        </w:tc>
        <w:tc>
          <w:tcPr>
            <w:tcW w:w="1789" w:type="pct"/>
            <w:tcBorders>
              <w:top w:val="nil"/>
              <w:left w:val="nil"/>
              <w:bottom w:val="nil"/>
              <w:right w:val="single" w:sz="8" w:space="0" w:color="000000"/>
            </w:tcBorders>
            <w:shd w:val="clear" w:color="auto" w:fill="auto"/>
            <w:vAlign w:val="center"/>
            <w:hideMark/>
          </w:tcPr>
          <w:p w14:paraId="46ADE553" w14:textId="77777777" w:rsidR="009D0C2E" w:rsidRPr="00B364CB" w:rsidRDefault="009D0C2E" w:rsidP="009D0C2E">
            <w:pPr>
              <w:widowControl/>
              <w:rPr>
                <w:rFonts w:cs="Arial"/>
                <w:bCs/>
                <w:sz w:val="20"/>
                <w:szCs w:val="20"/>
                <w:lang w:eastAsia="en-GB" w:bidi="ar-SA"/>
              </w:rPr>
            </w:pPr>
            <w:r w:rsidRPr="00B364CB">
              <w:rPr>
                <w:rFonts w:cs="Arial"/>
                <w:bCs/>
                <w:sz w:val="20"/>
                <w:szCs w:val="20"/>
                <w:lang w:eastAsia="en-GB" w:bidi="ar-SA"/>
              </w:rPr>
              <w:t xml:space="preserve">Electricity consumption </w:t>
            </w:r>
          </w:p>
          <w:p w14:paraId="18438855" w14:textId="77777777" w:rsidR="009D0C2E" w:rsidRPr="00B364CB" w:rsidRDefault="009D0C2E" w:rsidP="009D0C2E">
            <w:pPr>
              <w:widowControl/>
              <w:rPr>
                <w:rFonts w:cs="Arial"/>
                <w:bCs/>
                <w:sz w:val="20"/>
                <w:szCs w:val="20"/>
                <w:lang w:eastAsia="en-GB" w:bidi="ar-SA"/>
              </w:rPr>
            </w:pPr>
            <w:r w:rsidRPr="00B364CB">
              <w:rPr>
                <w:rFonts w:cs="Arial"/>
                <w:bCs/>
                <w:sz w:val="20"/>
                <w:szCs w:val="20"/>
                <w:lang w:eastAsia="en-GB" w:bidi="ar-SA"/>
              </w:rPr>
              <w:t>@ nominal capacity</w:t>
            </w:r>
          </w:p>
        </w:tc>
        <w:tc>
          <w:tcPr>
            <w:tcW w:w="848" w:type="pct"/>
            <w:tcBorders>
              <w:top w:val="nil"/>
              <w:left w:val="nil"/>
              <w:bottom w:val="single" w:sz="8" w:space="0" w:color="000000"/>
              <w:right w:val="single" w:sz="8" w:space="0" w:color="000000"/>
            </w:tcBorders>
            <w:shd w:val="clear" w:color="auto" w:fill="auto"/>
            <w:vAlign w:val="center"/>
            <w:hideMark/>
          </w:tcPr>
          <w:p w14:paraId="71D1EA8F"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kWh/kg</w:t>
            </w:r>
          </w:p>
        </w:tc>
        <w:tc>
          <w:tcPr>
            <w:tcW w:w="710" w:type="pct"/>
            <w:tcBorders>
              <w:top w:val="nil"/>
              <w:left w:val="nil"/>
              <w:bottom w:val="single" w:sz="8" w:space="0" w:color="000000"/>
              <w:right w:val="single" w:sz="8" w:space="0" w:color="auto"/>
            </w:tcBorders>
            <w:shd w:val="clear" w:color="auto" w:fill="auto"/>
            <w:vAlign w:val="center"/>
            <w:hideMark/>
          </w:tcPr>
          <w:p w14:paraId="1D206D4F"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55</w:t>
            </w:r>
          </w:p>
        </w:tc>
        <w:tc>
          <w:tcPr>
            <w:tcW w:w="647" w:type="pct"/>
            <w:tcBorders>
              <w:top w:val="single" w:sz="8" w:space="0" w:color="auto"/>
              <w:left w:val="single" w:sz="8" w:space="0" w:color="auto"/>
              <w:bottom w:val="single" w:sz="8" w:space="0" w:color="auto"/>
              <w:right w:val="single" w:sz="8" w:space="0" w:color="auto"/>
            </w:tcBorders>
            <w:vAlign w:val="center"/>
          </w:tcPr>
          <w:p w14:paraId="000E1ED5"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53</w:t>
            </w:r>
          </w:p>
        </w:tc>
        <w:tc>
          <w:tcPr>
            <w:tcW w:w="593" w:type="pct"/>
            <w:tcBorders>
              <w:top w:val="single" w:sz="8" w:space="0" w:color="auto"/>
              <w:left w:val="single" w:sz="8" w:space="0" w:color="auto"/>
              <w:bottom w:val="single" w:sz="8" w:space="0" w:color="auto"/>
              <w:right w:val="single" w:sz="8" w:space="0" w:color="auto"/>
            </w:tcBorders>
            <w:vAlign w:val="center"/>
          </w:tcPr>
          <w:p w14:paraId="38C18E85"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48</w:t>
            </w:r>
          </w:p>
        </w:tc>
      </w:tr>
      <w:tr w:rsidR="009D0C2E" w:rsidRPr="00B364CB" w14:paraId="570E34F1" w14:textId="77777777" w:rsidTr="00120F40">
        <w:trPr>
          <w:trHeight w:val="278"/>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CBBF55B"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2</w:t>
            </w:r>
          </w:p>
        </w:tc>
        <w:tc>
          <w:tcPr>
            <w:tcW w:w="178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C07E80" w14:textId="77777777" w:rsidR="009D0C2E" w:rsidRPr="00B364CB" w:rsidRDefault="009D0C2E" w:rsidP="009D0C2E">
            <w:pPr>
              <w:widowControl/>
              <w:rPr>
                <w:rFonts w:cs="Arial"/>
                <w:bCs/>
                <w:sz w:val="20"/>
                <w:szCs w:val="20"/>
                <w:lang w:eastAsia="en-GB" w:bidi="ar-SA"/>
              </w:rPr>
            </w:pPr>
            <w:r w:rsidRPr="00B364CB">
              <w:rPr>
                <w:rFonts w:cs="Arial"/>
                <w:bCs/>
                <w:sz w:val="20"/>
                <w:szCs w:val="20"/>
                <w:lang w:eastAsia="en-GB" w:bidi="ar-SA"/>
              </w:rPr>
              <w:t xml:space="preserve">Capital cost </w:t>
            </w:r>
          </w:p>
        </w:tc>
        <w:tc>
          <w:tcPr>
            <w:tcW w:w="848" w:type="pct"/>
            <w:tcBorders>
              <w:top w:val="nil"/>
              <w:left w:val="nil"/>
              <w:bottom w:val="nil"/>
              <w:right w:val="single" w:sz="8" w:space="0" w:color="000000"/>
            </w:tcBorders>
            <w:shd w:val="clear" w:color="auto" w:fill="auto"/>
            <w:vAlign w:val="center"/>
            <w:hideMark/>
          </w:tcPr>
          <w:p w14:paraId="20C1B132"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 xml:space="preserve">€/(kg/d) </w:t>
            </w:r>
          </w:p>
        </w:tc>
        <w:tc>
          <w:tcPr>
            <w:tcW w:w="710" w:type="pct"/>
            <w:vMerge w:val="restart"/>
            <w:tcBorders>
              <w:top w:val="nil"/>
              <w:left w:val="single" w:sz="8" w:space="0" w:color="000000"/>
              <w:bottom w:val="single" w:sz="8" w:space="0" w:color="000000"/>
              <w:right w:val="single" w:sz="8" w:space="0" w:color="auto"/>
            </w:tcBorders>
            <w:shd w:val="clear" w:color="auto" w:fill="auto"/>
            <w:vAlign w:val="center"/>
            <w:hideMark/>
          </w:tcPr>
          <w:p w14:paraId="41B78396"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2,250</w:t>
            </w:r>
          </w:p>
          <w:p w14:paraId="383FE2B7"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1,000</w:t>
            </w:r>
          </w:p>
        </w:tc>
        <w:tc>
          <w:tcPr>
            <w:tcW w:w="647" w:type="pct"/>
            <w:tcBorders>
              <w:top w:val="single" w:sz="8" w:space="0" w:color="auto"/>
              <w:left w:val="single" w:sz="8" w:space="0" w:color="auto"/>
              <w:bottom w:val="single" w:sz="8" w:space="0" w:color="auto"/>
              <w:right w:val="single" w:sz="8" w:space="0" w:color="auto"/>
            </w:tcBorders>
            <w:vAlign w:val="center"/>
          </w:tcPr>
          <w:p w14:paraId="05E95C6D"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1,200</w:t>
            </w:r>
          </w:p>
        </w:tc>
        <w:tc>
          <w:tcPr>
            <w:tcW w:w="593" w:type="pct"/>
            <w:tcBorders>
              <w:top w:val="single" w:sz="8" w:space="0" w:color="auto"/>
              <w:left w:val="single" w:sz="8" w:space="0" w:color="auto"/>
              <w:bottom w:val="single" w:sz="8" w:space="0" w:color="auto"/>
              <w:right w:val="single" w:sz="8" w:space="0" w:color="auto"/>
            </w:tcBorders>
            <w:vAlign w:val="center"/>
          </w:tcPr>
          <w:p w14:paraId="648B822F"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600</w:t>
            </w:r>
          </w:p>
        </w:tc>
      </w:tr>
      <w:tr w:rsidR="009D0C2E" w:rsidRPr="00B364CB" w14:paraId="7CA383FD" w14:textId="77777777" w:rsidTr="00120F40">
        <w:trPr>
          <w:trHeight w:val="294"/>
        </w:trPr>
        <w:tc>
          <w:tcPr>
            <w:tcW w:w="413" w:type="pct"/>
            <w:vMerge/>
            <w:tcBorders>
              <w:top w:val="nil"/>
              <w:left w:val="single" w:sz="8" w:space="0" w:color="000000"/>
              <w:bottom w:val="single" w:sz="8" w:space="0" w:color="000000"/>
              <w:right w:val="single" w:sz="8" w:space="0" w:color="000000"/>
            </w:tcBorders>
            <w:vAlign w:val="center"/>
            <w:hideMark/>
          </w:tcPr>
          <w:p w14:paraId="5711E2A8" w14:textId="77777777" w:rsidR="009D0C2E" w:rsidRPr="00B364CB" w:rsidRDefault="009D0C2E" w:rsidP="009D0C2E">
            <w:pPr>
              <w:widowControl/>
              <w:jc w:val="center"/>
              <w:rPr>
                <w:rFonts w:cs="Arial"/>
                <w:bCs/>
                <w:sz w:val="20"/>
                <w:szCs w:val="20"/>
                <w:lang w:eastAsia="en-GB" w:bidi="ar-SA"/>
              </w:rPr>
            </w:pPr>
          </w:p>
        </w:tc>
        <w:tc>
          <w:tcPr>
            <w:tcW w:w="1789" w:type="pct"/>
            <w:vMerge/>
            <w:tcBorders>
              <w:top w:val="single" w:sz="8" w:space="0" w:color="000000"/>
              <w:left w:val="single" w:sz="8" w:space="0" w:color="000000"/>
              <w:bottom w:val="single" w:sz="8" w:space="0" w:color="000000"/>
              <w:right w:val="single" w:sz="8" w:space="0" w:color="000000"/>
            </w:tcBorders>
            <w:vAlign w:val="center"/>
            <w:hideMark/>
          </w:tcPr>
          <w:p w14:paraId="64313074" w14:textId="77777777" w:rsidR="009D0C2E" w:rsidRPr="00B364CB" w:rsidRDefault="009D0C2E" w:rsidP="009D0C2E">
            <w:pPr>
              <w:widowControl/>
              <w:rPr>
                <w:rFonts w:cs="Arial"/>
                <w:bCs/>
                <w:sz w:val="20"/>
                <w:szCs w:val="20"/>
                <w:lang w:eastAsia="en-GB" w:bidi="ar-SA"/>
              </w:rPr>
            </w:pPr>
          </w:p>
        </w:tc>
        <w:tc>
          <w:tcPr>
            <w:tcW w:w="848" w:type="pct"/>
            <w:tcBorders>
              <w:top w:val="nil"/>
              <w:left w:val="nil"/>
              <w:bottom w:val="single" w:sz="8" w:space="0" w:color="000000"/>
              <w:right w:val="single" w:sz="8" w:space="0" w:color="000000"/>
            </w:tcBorders>
            <w:shd w:val="clear" w:color="auto" w:fill="auto"/>
            <w:vAlign w:val="center"/>
            <w:hideMark/>
          </w:tcPr>
          <w:p w14:paraId="4E1CC1C9"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€/kW</w:t>
            </w:r>
          </w:p>
        </w:tc>
        <w:tc>
          <w:tcPr>
            <w:tcW w:w="710" w:type="pct"/>
            <w:vMerge/>
            <w:tcBorders>
              <w:top w:val="nil"/>
              <w:left w:val="single" w:sz="8" w:space="0" w:color="000000"/>
              <w:bottom w:val="single" w:sz="8" w:space="0" w:color="000000"/>
              <w:right w:val="single" w:sz="8" w:space="0" w:color="auto"/>
            </w:tcBorders>
            <w:vAlign w:val="center"/>
            <w:hideMark/>
          </w:tcPr>
          <w:p w14:paraId="40430839" w14:textId="77777777" w:rsidR="009D0C2E" w:rsidRPr="00B364CB" w:rsidRDefault="009D0C2E" w:rsidP="009D0C2E">
            <w:pPr>
              <w:widowControl/>
              <w:jc w:val="center"/>
              <w:rPr>
                <w:rFonts w:cs="Arial"/>
                <w:bCs/>
                <w:sz w:val="20"/>
                <w:szCs w:val="20"/>
                <w:lang w:eastAsia="en-GB" w:bidi="ar-SA"/>
              </w:rPr>
            </w:pPr>
          </w:p>
        </w:tc>
        <w:tc>
          <w:tcPr>
            <w:tcW w:w="647" w:type="pct"/>
            <w:tcBorders>
              <w:top w:val="single" w:sz="8" w:space="0" w:color="auto"/>
              <w:left w:val="single" w:sz="8" w:space="0" w:color="auto"/>
              <w:bottom w:val="single" w:sz="8" w:space="0" w:color="auto"/>
              <w:right w:val="single" w:sz="8" w:space="0" w:color="auto"/>
            </w:tcBorders>
            <w:vAlign w:val="center"/>
          </w:tcPr>
          <w:p w14:paraId="669F4221"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550</w:t>
            </w:r>
          </w:p>
        </w:tc>
        <w:tc>
          <w:tcPr>
            <w:tcW w:w="593" w:type="pct"/>
            <w:tcBorders>
              <w:top w:val="single" w:sz="8" w:space="0" w:color="auto"/>
              <w:left w:val="single" w:sz="8" w:space="0" w:color="auto"/>
              <w:bottom w:val="single" w:sz="8" w:space="0" w:color="auto"/>
              <w:right w:val="single" w:sz="8" w:space="0" w:color="auto"/>
            </w:tcBorders>
            <w:vAlign w:val="center"/>
          </w:tcPr>
          <w:p w14:paraId="06B8DA83" w14:textId="77777777" w:rsidR="009D0C2E" w:rsidRPr="00B364CB" w:rsidRDefault="009D0C2E" w:rsidP="009D0C2E">
            <w:pPr>
              <w:widowControl/>
              <w:jc w:val="center"/>
              <w:rPr>
                <w:rFonts w:cs="Arial"/>
                <w:bCs/>
                <w:sz w:val="20"/>
                <w:szCs w:val="20"/>
                <w:lang w:eastAsia="en-GB" w:bidi="ar-SA"/>
              </w:rPr>
            </w:pPr>
            <w:r w:rsidRPr="00B364CB">
              <w:rPr>
                <w:rFonts w:cs="Arial"/>
                <w:bCs/>
                <w:color w:val="auto"/>
                <w:sz w:val="20"/>
                <w:szCs w:val="20"/>
                <w:lang w:eastAsia="en-GB" w:bidi="ar-SA"/>
              </w:rPr>
              <w:t>300</w:t>
            </w:r>
          </w:p>
        </w:tc>
      </w:tr>
      <w:tr w:rsidR="009D0C2E" w:rsidRPr="00B364CB" w14:paraId="0E6C11DD" w14:textId="77777777" w:rsidTr="00120F40">
        <w:trPr>
          <w:trHeight w:val="294"/>
        </w:trPr>
        <w:tc>
          <w:tcPr>
            <w:tcW w:w="413" w:type="pct"/>
            <w:tcBorders>
              <w:top w:val="nil"/>
              <w:left w:val="single" w:sz="8" w:space="0" w:color="000000"/>
              <w:bottom w:val="single" w:sz="8" w:space="0" w:color="000000"/>
              <w:right w:val="single" w:sz="8" w:space="0" w:color="000000"/>
            </w:tcBorders>
            <w:shd w:val="clear" w:color="auto" w:fill="auto"/>
            <w:vAlign w:val="center"/>
            <w:hideMark/>
          </w:tcPr>
          <w:p w14:paraId="280B8E27"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3</w:t>
            </w:r>
          </w:p>
        </w:tc>
        <w:tc>
          <w:tcPr>
            <w:tcW w:w="1789" w:type="pct"/>
            <w:tcBorders>
              <w:top w:val="nil"/>
              <w:left w:val="nil"/>
              <w:bottom w:val="single" w:sz="8" w:space="0" w:color="000000"/>
              <w:right w:val="single" w:sz="8" w:space="0" w:color="000000"/>
            </w:tcBorders>
            <w:shd w:val="clear" w:color="auto" w:fill="auto"/>
            <w:vAlign w:val="center"/>
            <w:hideMark/>
          </w:tcPr>
          <w:p w14:paraId="5E5930C7" w14:textId="77777777" w:rsidR="009D0C2E" w:rsidRPr="00B364CB" w:rsidRDefault="009D0C2E" w:rsidP="009D0C2E">
            <w:pPr>
              <w:widowControl/>
              <w:rPr>
                <w:rFonts w:cs="Arial"/>
                <w:bCs/>
                <w:sz w:val="20"/>
                <w:szCs w:val="20"/>
                <w:lang w:eastAsia="en-GB" w:bidi="ar-SA"/>
              </w:rPr>
            </w:pPr>
            <w:r w:rsidRPr="00B364CB">
              <w:rPr>
                <w:rFonts w:cs="Arial"/>
                <w:bCs/>
                <w:sz w:val="20"/>
                <w:szCs w:val="20"/>
                <w:lang w:eastAsia="en-GB" w:bidi="ar-SA"/>
              </w:rPr>
              <w:t>O&amp;M cost</w:t>
            </w:r>
          </w:p>
        </w:tc>
        <w:tc>
          <w:tcPr>
            <w:tcW w:w="848" w:type="pct"/>
            <w:tcBorders>
              <w:top w:val="nil"/>
              <w:left w:val="nil"/>
              <w:bottom w:val="single" w:sz="8" w:space="0" w:color="000000"/>
              <w:right w:val="single" w:sz="8" w:space="0" w:color="000000"/>
            </w:tcBorders>
            <w:shd w:val="clear" w:color="auto" w:fill="auto"/>
            <w:vAlign w:val="center"/>
            <w:hideMark/>
          </w:tcPr>
          <w:p w14:paraId="1EB12E7E"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€/(kg/d)/y</w:t>
            </w:r>
          </w:p>
        </w:tc>
        <w:tc>
          <w:tcPr>
            <w:tcW w:w="710" w:type="pct"/>
            <w:tcBorders>
              <w:top w:val="nil"/>
              <w:left w:val="nil"/>
              <w:bottom w:val="single" w:sz="8" w:space="0" w:color="000000"/>
              <w:right w:val="single" w:sz="8" w:space="0" w:color="auto"/>
            </w:tcBorders>
            <w:shd w:val="clear" w:color="auto" w:fill="auto"/>
            <w:vAlign w:val="center"/>
            <w:hideMark/>
          </w:tcPr>
          <w:p w14:paraId="0E515658"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34</w:t>
            </w:r>
          </w:p>
        </w:tc>
        <w:tc>
          <w:tcPr>
            <w:tcW w:w="647" w:type="pct"/>
            <w:tcBorders>
              <w:top w:val="single" w:sz="8" w:space="0" w:color="auto"/>
              <w:left w:val="single" w:sz="8" w:space="0" w:color="auto"/>
              <w:bottom w:val="single" w:sz="8" w:space="0" w:color="auto"/>
              <w:right w:val="single" w:sz="8" w:space="0" w:color="auto"/>
            </w:tcBorders>
            <w:vAlign w:val="center"/>
          </w:tcPr>
          <w:p w14:paraId="616A14C8"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27</w:t>
            </w:r>
          </w:p>
        </w:tc>
        <w:tc>
          <w:tcPr>
            <w:tcW w:w="593" w:type="pct"/>
            <w:tcBorders>
              <w:top w:val="single" w:sz="8" w:space="0" w:color="auto"/>
              <w:left w:val="single" w:sz="8" w:space="0" w:color="auto"/>
              <w:bottom w:val="single" w:sz="8" w:space="0" w:color="auto"/>
              <w:right w:val="single" w:sz="8" w:space="0" w:color="auto"/>
            </w:tcBorders>
            <w:vAlign w:val="center"/>
          </w:tcPr>
          <w:p w14:paraId="3DAC19F1"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21</w:t>
            </w:r>
          </w:p>
        </w:tc>
      </w:tr>
      <w:tr w:rsidR="009D0C2E" w:rsidRPr="00B364CB" w14:paraId="7E185CFE" w14:textId="77777777" w:rsidTr="00120F40">
        <w:trPr>
          <w:trHeight w:val="294"/>
        </w:trPr>
        <w:tc>
          <w:tcPr>
            <w:tcW w:w="413" w:type="pct"/>
            <w:tcBorders>
              <w:top w:val="nil"/>
              <w:left w:val="single" w:sz="8" w:space="0" w:color="000000"/>
              <w:bottom w:val="single" w:sz="8" w:space="0" w:color="000000"/>
              <w:right w:val="single" w:sz="8" w:space="0" w:color="000000"/>
            </w:tcBorders>
            <w:shd w:val="clear" w:color="auto" w:fill="auto"/>
            <w:vAlign w:val="center"/>
            <w:hideMark/>
          </w:tcPr>
          <w:p w14:paraId="62F6008F"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4</w:t>
            </w:r>
          </w:p>
        </w:tc>
        <w:tc>
          <w:tcPr>
            <w:tcW w:w="1789" w:type="pct"/>
            <w:tcBorders>
              <w:top w:val="nil"/>
              <w:left w:val="nil"/>
              <w:bottom w:val="single" w:sz="8" w:space="0" w:color="000000"/>
              <w:right w:val="single" w:sz="8" w:space="0" w:color="000000"/>
            </w:tcBorders>
            <w:shd w:val="clear" w:color="auto" w:fill="auto"/>
            <w:vAlign w:val="center"/>
            <w:hideMark/>
          </w:tcPr>
          <w:p w14:paraId="12804D69" w14:textId="77777777" w:rsidR="009D0C2E" w:rsidRPr="00B364CB" w:rsidRDefault="009D0C2E" w:rsidP="009D0C2E">
            <w:pPr>
              <w:widowControl/>
              <w:rPr>
                <w:rFonts w:cs="Arial"/>
                <w:bCs/>
                <w:sz w:val="20"/>
                <w:szCs w:val="20"/>
                <w:lang w:eastAsia="en-GB" w:bidi="ar-SA"/>
              </w:rPr>
            </w:pPr>
            <w:r w:rsidRPr="00B364CB">
              <w:rPr>
                <w:rFonts w:cs="Arial"/>
                <w:bCs/>
                <w:sz w:val="20"/>
                <w:szCs w:val="20"/>
                <w:lang w:eastAsia="en-GB" w:bidi="ar-SA"/>
              </w:rPr>
              <w:t>Hot idle ramp time</w:t>
            </w:r>
          </w:p>
        </w:tc>
        <w:tc>
          <w:tcPr>
            <w:tcW w:w="848" w:type="pct"/>
            <w:tcBorders>
              <w:top w:val="nil"/>
              <w:left w:val="nil"/>
              <w:bottom w:val="single" w:sz="8" w:space="0" w:color="000000"/>
              <w:right w:val="single" w:sz="8" w:space="0" w:color="000000"/>
            </w:tcBorders>
            <w:shd w:val="clear" w:color="auto" w:fill="auto"/>
            <w:vAlign w:val="center"/>
            <w:hideMark/>
          </w:tcPr>
          <w:p w14:paraId="5F26785B"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sec</w:t>
            </w:r>
          </w:p>
        </w:tc>
        <w:tc>
          <w:tcPr>
            <w:tcW w:w="710" w:type="pct"/>
            <w:tcBorders>
              <w:top w:val="nil"/>
              <w:left w:val="nil"/>
              <w:bottom w:val="single" w:sz="8" w:space="0" w:color="000000"/>
              <w:right w:val="single" w:sz="8" w:space="0" w:color="auto"/>
            </w:tcBorders>
            <w:shd w:val="clear" w:color="auto" w:fill="auto"/>
            <w:vAlign w:val="center"/>
            <w:hideMark/>
          </w:tcPr>
          <w:p w14:paraId="61E41246"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30</w:t>
            </w:r>
          </w:p>
        </w:tc>
        <w:tc>
          <w:tcPr>
            <w:tcW w:w="647" w:type="pct"/>
            <w:tcBorders>
              <w:top w:val="single" w:sz="8" w:space="0" w:color="auto"/>
              <w:left w:val="single" w:sz="8" w:space="0" w:color="auto"/>
              <w:bottom w:val="single" w:sz="8" w:space="0" w:color="auto"/>
              <w:right w:val="single" w:sz="8" w:space="0" w:color="auto"/>
            </w:tcBorders>
            <w:vAlign w:val="center"/>
          </w:tcPr>
          <w:p w14:paraId="059DF1C2" w14:textId="628F8D8F" w:rsidR="009D0C2E" w:rsidRPr="00B364CB" w:rsidRDefault="002B5150" w:rsidP="002B5150">
            <w:pPr>
              <w:widowControl/>
              <w:jc w:val="center"/>
              <w:rPr>
                <w:rFonts w:cs="Arial"/>
                <w:bCs/>
                <w:sz w:val="20"/>
                <w:szCs w:val="20"/>
                <w:lang w:eastAsia="en-GB" w:bidi="ar-SA"/>
              </w:rPr>
            </w:pPr>
            <w:r w:rsidRPr="00B364CB">
              <w:rPr>
                <w:rFonts w:cs="Arial"/>
                <w:bCs/>
                <w:sz w:val="20"/>
                <w:szCs w:val="20"/>
                <w:lang w:eastAsia="en-GB" w:bidi="ar-SA"/>
              </w:rPr>
              <w:t>1</w:t>
            </w:r>
            <w:r>
              <w:rPr>
                <w:rFonts w:cs="Arial"/>
                <w:bCs/>
                <w:sz w:val="20"/>
                <w:szCs w:val="20"/>
                <w:lang w:eastAsia="en-GB" w:bidi="ar-SA"/>
              </w:rPr>
              <w:t>5</w:t>
            </w:r>
          </w:p>
        </w:tc>
        <w:tc>
          <w:tcPr>
            <w:tcW w:w="593" w:type="pct"/>
            <w:tcBorders>
              <w:top w:val="single" w:sz="8" w:space="0" w:color="auto"/>
              <w:left w:val="single" w:sz="8" w:space="0" w:color="auto"/>
              <w:bottom w:val="single" w:sz="8" w:space="0" w:color="auto"/>
              <w:right w:val="single" w:sz="8" w:space="0" w:color="auto"/>
            </w:tcBorders>
            <w:vAlign w:val="center"/>
          </w:tcPr>
          <w:p w14:paraId="1750494A" w14:textId="2144B109" w:rsidR="009D0C2E" w:rsidRPr="00B364CB" w:rsidRDefault="002B5150" w:rsidP="009D0C2E">
            <w:pPr>
              <w:widowControl/>
              <w:jc w:val="center"/>
              <w:rPr>
                <w:rFonts w:cs="Arial"/>
                <w:bCs/>
                <w:sz w:val="20"/>
                <w:szCs w:val="20"/>
                <w:lang w:eastAsia="en-GB" w:bidi="ar-SA"/>
              </w:rPr>
            </w:pPr>
            <w:r>
              <w:rPr>
                <w:rFonts w:cs="Arial"/>
                <w:bCs/>
                <w:sz w:val="20"/>
                <w:szCs w:val="20"/>
                <w:lang w:eastAsia="en-GB" w:bidi="ar-SA"/>
              </w:rPr>
              <w:t>5</w:t>
            </w:r>
          </w:p>
        </w:tc>
      </w:tr>
      <w:tr w:rsidR="009D0C2E" w:rsidRPr="00B364CB" w14:paraId="799103F4" w14:textId="77777777" w:rsidTr="00120F40">
        <w:trPr>
          <w:trHeight w:val="294"/>
        </w:trPr>
        <w:tc>
          <w:tcPr>
            <w:tcW w:w="413" w:type="pct"/>
            <w:tcBorders>
              <w:top w:val="nil"/>
              <w:left w:val="single" w:sz="8" w:space="0" w:color="000000"/>
              <w:bottom w:val="single" w:sz="8" w:space="0" w:color="000000"/>
              <w:right w:val="single" w:sz="8" w:space="0" w:color="000000"/>
            </w:tcBorders>
            <w:shd w:val="clear" w:color="auto" w:fill="auto"/>
            <w:vAlign w:val="center"/>
            <w:hideMark/>
          </w:tcPr>
          <w:p w14:paraId="07B4768F"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5</w:t>
            </w:r>
          </w:p>
        </w:tc>
        <w:tc>
          <w:tcPr>
            <w:tcW w:w="1789" w:type="pct"/>
            <w:tcBorders>
              <w:top w:val="nil"/>
              <w:left w:val="nil"/>
              <w:bottom w:val="single" w:sz="8" w:space="0" w:color="000000"/>
              <w:right w:val="single" w:sz="8" w:space="0" w:color="000000"/>
            </w:tcBorders>
            <w:shd w:val="clear" w:color="auto" w:fill="auto"/>
            <w:vAlign w:val="center"/>
            <w:hideMark/>
          </w:tcPr>
          <w:p w14:paraId="31351036" w14:textId="77777777" w:rsidR="009D0C2E" w:rsidRPr="00B364CB" w:rsidRDefault="009D0C2E" w:rsidP="009D0C2E">
            <w:pPr>
              <w:widowControl/>
              <w:rPr>
                <w:rFonts w:cs="Arial"/>
                <w:bCs/>
                <w:sz w:val="20"/>
                <w:szCs w:val="20"/>
                <w:lang w:eastAsia="en-GB" w:bidi="ar-SA"/>
              </w:rPr>
            </w:pPr>
            <w:r w:rsidRPr="00B364CB">
              <w:rPr>
                <w:rFonts w:cs="Arial"/>
                <w:bCs/>
                <w:sz w:val="20"/>
                <w:szCs w:val="20"/>
                <w:lang w:eastAsia="en-GB" w:bidi="ar-SA"/>
              </w:rPr>
              <w:t>Cold start ramp time</w:t>
            </w:r>
          </w:p>
        </w:tc>
        <w:tc>
          <w:tcPr>
            <w:tcW w:w="848" w:type="pct"/>
            <w:tcBorders>
              <w:top w:val="nil"/>
              <w:left w:val="nil"/>
              <w:bottom w:val="single" w:sz="8" w:space="0" w:color="000000"/>
              <w:right w:val="single" w:sz="8" w:space="0" w:color="000000"/>
            </w:tcBorders>
            <w:shd w:val="clear" w:color="auto" w:fill="auto"/>
            <w:vAlign w:val="center"/>
            <w:hideMark/>
          </w:tcPr>
          <w:p w14:paraId="5BBBAD4D"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sec</w:t>
            </w:r>
          </w:p>
        </w:tc>
        <w:tc>
          <w:tcPr>
            <w:tcW w:w="710" w:type="pct"/>
            <w:tcBorders>
              <w:top w:val="nil"/>
              <w:left w:val="nil"/>
              <w:bottom w:val="single" w:sz="8" w:space="0" w:color="000000"/>
              <w:right w:val="single" w:sz="8" w:space="0" w:color="auto"/>
            </w:tcBorders>
            <w:shd w:val="clear" w:color="auto" w:fill="auto"/>
            <w:vAlign w:val="center"/>
            <w:hideMark/>
          </w:tcPr>
          <w:p w14:paraId="49F439F7"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1,800</w:t>
            </w:r>
          </w:p>
        </w:tc>
        <w:tc>
          <w:tcPr>
            <w:tcW w:w="647" w:type="pct"/>
            <w:tcBorders>
              <w:top w:val="single" w:sz="8" w:space="0" w:color="auto"/>
              <w:left w:val="single" w:sz="8" w:space="0" w:color="auto"/>
              <w:bottom w:val="single" w:sz="8" w:space="0" w:color="auto"/>
              <w:right w:val="single" w:sz="8" w:space="0" w:color="auto"/>
            </w:tcBorders>
            <w:vAlign w:val="center"/>
          </w:tcPr>
          <w:p w14:paraId="39608E26" w14:textId="63486954" w:rsidR="009D0C2E" w:rsidRPr="00B364CB" w:rsidRDefault="002B5150" w:rsidP="009D0C2E">
            <w:pPr>
              <w:widowControl/>
              <w:jc w:val="center"/>
              <w:rPr>
                <w:rFonts w:cs="Arial"/>
                <w:bCs/>
                <w:sz w:val="20"/>
                <w:szCs w:val="20"/>
                <w:lang w:eastAsia="en-GB" w:bidi="ar-SA"/>
              </w:rPr>
            </w:pPr>
            <w:r>
              <w:rPr>
                <w:rFonts w:cs="Arial"/>
                <w:bCs/>
                <w:sz w:val="20"/>
                <w:szCs w:val="20"/>
                <w:lang w:eastAsia="en-GB" w:bidi="ar-SA"/>
              </w:rPr>
              <w:t>450</w:t>
            </w:r>
          </w:p>
        </w:tc>
        <w:tc>
          <w:tcPr>
            <w:tcW w:w="593" w:type="pct"/>
            <w:tcBorders>
              <w:top w:val="single" w:sz="8" w:space="0" w:color="auto"/>
              <w:left w:val="single" w:sz="8" w:space="0" w:color="auto"/>
              <w:bottom w:val="single" w:sz="8" w:space="0" w:color="auto"/>
              <w:right w:val="single" w:sz="8" w:space="0" w:color="auto"/>
            </w:tcBorders>
            <w:vAlign w:val="center"/>
          </w:tcPr>
          <w:p w14:paraId="483A2457" w14:textId="7D9C1018" w:rsidR="009D0C2E" w:rsidRPr="00B364CB" w:rsidRDefault="002B5150" w:rsidP="009D0C2E">
            <w:pPr>
              <w:widowControl/>
              <w:jc w:val="center"/>
              <w:rPr>
                <w:rFonts w:cs="Arial"/>
                <w:bCs/>
                <w:sz w:val="20"/>
                <w:szCs w:val="20"/>
                <w:lang w:eastAsia="en-GB" w:bidi="ar-SA"/>
              </w:rPr>
            </w:pPr>
            <w:r>
              <w:rPr>
                <w:rFonts w:cs="Arial"/>
                <w:bCs/>
                <w:sz w:val="20"/>
                <w:szCs w:val="20"/>
                <w:lang w:eastAsia="en-GB" w:bidi="ar-SA"/>
              </w:rPr>
              <w:t>150</w:t>
            </w:r>
          </w:p>
        </w:tc>
      </w:tr>
      <w:tr w:rsidR="009D0C2E" w:rsidRPr="00B364CB" w14:paraId="4EBEF92C" w14:textId="77777777" w:rsidTr="00120F40">
        <w:trPr>
          <w:trHeight w:val="294"/>
        </w:trPr>
        <w:tc>
          <w:tcPr>
            <w:tcW w:w="413" w:type="pct"/>
            <w:tcBorders>
              <w:top w:val="nil"/>
              <w:left w:val="single" w:sz="8" w:space="0" w:color="000000"/>
              <w:bottom w:val="single" w:sz="8" w:space="0" w:color="auto"/>
              <w:right w:val="single" w:sz="8" w:space="0" w:color="000000"/>
            </w:tcBorders>
            <w:shd w:val="clear" w:color="auto" w:fill="auto"/>
            <w:vAlign w:val="center"/>
            <w:hideMark/>
          </w:tcPr>
          <w:p w14:paraId="674F3B82" w14:textId="67225E94" w:rsidR="009D0C2E" w:rsidRPr="00B364CB" w:rsidRDefault="002B5150" w:rsidP="009D0C2E">
            <w:pPr>
              <w:widowControl/>
              <w:jc w:val="center"/>
              <w:rPr>
                <w:rFonts w:cs="Arial"/>
                <w:bCs/>
                <w:sz w:val="20"/>
                <w:szCs w:val="20"/>
                <w:lang w:eastAsia="en-GB" w:bidi="ar-SA"/>
              </w:rPr>
            </w:pPr>
            <w:r>
              <w:rPr>
                <w:rFonts w:cs="Arial"/>
                <w:bCs/>
                <w:sz w:val="20"/>
                <w:szCs w:val="20"/>
                <w:lang w:eastAsia="en-GB" w:bidi="ar-SA"/>
              </w:rPr>
              <w:t>6</w:t>
            </w:r>
          </w:p>
        </w:tc>
        <w:tc>
          <w:tcPr>
            <w:tcW w:w="1789" w:type="pct"/>
            <w:tcBorders>
              <w:top w:val="nil"/>
              <w:left w:val="nil"/>
              <w:bottom w:val="single" w:sz="8" w:space="0" w:color="auto"/>
              <w:right w:val="single" w:sz="8" w:space="0" w:color="000000"/>
            </w:tcBorders>
            <w:shd w:val="clear" w:color="auto" w:fill="auto"/>
            <w:vAlign w:val="center"/>
            <w:hideMark/>
          </w:tcPr>
          <w:p w14:paraId="65AAE7A8" w14:textId="77777777" w:rsidR="009D0C2E" w:rsidRPr="00B364CB" w:rsidRDefault="009D0C2E" w:rsidP="009D0C2E">
            <w:pPr>
              <w:widowControl/>
              <w:rPr>
                <w:rFonts w:cs="Arial"/>
                <w:bCs/>
                <w:sz w:val="20"/>
                <w:szCs w:val="20"/>
                <w:lang w:eastAsia="en-GB" w:bidi="ar-SA"/>
              </w:rPr>
            </w:pPr>
            <w:r w:rsidRPr="00B364CB">
              <w:rPr>
                <w:rFonts w:cs="Arial"/>
                <w:bCs/>
                <w:sz w:val="20"/>
                <w:szCs w:val="20"/>
                <w:lang w:eastAsia="en-GB" w:bidi="ar-SA"/>
              </w:rPr>
              <w:t>Degradation</w:t>
            </w:r>
          </w:p>
        </w:tc>
        <w:tc>
          <w:tcPr>
            <w:tcW w:w="848" w:type="pct"/>
            <w:tcBorders>
              <w:top w:val="nil"/>
              <w:left w:val="nil"/>
              <w:bottom w:val="single" w:sz="8" w:space="0" w:color="auto"/>
              <w:right w:val="single" w:sz="8" w:space="0" w:color="000000"/>
            </w:tcBorders>
            <w:shd w:val="clear" w:color="auto" w:fill="auto"/>
            <w:vAlign w:val="center"/>
            <w:hideMark/>
          </w:tcPr>
          <w:p w14:paraId="6885F46A"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%/1,000h</w:t>
            </w:r>
          </w:p>
        </w:tc>
        <w:tc>
          <w:tcPr>
            <w:tcW w:w="710" w:type="pct"/>
            <w:tcBorders>
              <w:top w:val="nil"/>
              <w:left w:val="nil"/>
              <w:bottom w:val="single" w:sz="8" w:space="0" w:color="auto"/>
              <w:right w:val="single" w:sz="8" w:space="0" w:color="auto"/>
            </w:tcBorders>
            <w:shd w:val="clear" w:color="auto" w:fill="auto"/>
            <w:vAlign w:val="center"/>
            <w:hideMark/>
          </w:tcPr>
          <w:p w14:paraId="75FE8549"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&gt; 1.0</w:t>
            </w:r>
          </w:p>
        </w:tc>
        <w:tc>
          <w:tcPr>
            <w:tcW w:w="647" w:type="pct"/>
            <w:tcBorders>
              <w:top w:val="single" w:sz="8" w:space="0" w:color="auto"/>
              <w:left w:val="single" w:sz="8" w:space="0" w:color="auto"/>
              <w:bottom w:val="single" w:sz="8" w:space="0" w:color="auto"/>
              <w:right w:val="single" w:sz="8" w:space="0" w:color="auto"/>
            </w:tcBorders>
            <w:vAlign w:val="center"/>
          </w:tcPr>
          <w:p w14:paraId="404C283F"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0.9</w:t>
            </w:r>
          </w:p>
        </w:tc>
        <w:tc>
          <w:tcPr>
            <w:tcW w:w="593" w:type="pct"/>
            <w:tcBorders>
              <w:top w:val="single" w:sz="8" w:space="0" w:color="auto"/>
              <w:left w:val="single" w:sz="8" w:space="0" w:color="auto"/>
              <w:bottom w:val="single" w:sz="8" w:space="0" w:color="auto"/>
              <w:right w:val="single" w:sz="8" w:space="0" w:color="auto"/>
            </w:tcBorders>
            <w:vAlign w:val="center"/>
          </w:tcPr>
          <w:p w14:paraId="44B0D3ED" w14:textId="2970F522" w:rsidR="009D0C2E" w:rsidRPr="00B364CB" w:rsidRDefault="002B5150" w:rsidP="009D0C2E">
            <w:pPr>
              <w:widowControl/>
              <w:jc w:val="center"/>
              <w:rPr>
                <w:rFonts w:cs="Arial"/>
                <w:bCs/>
                <w:sz w:val="20"/>
                <w:szCs w:val="20"/>
                <w:lang w:eastAsia="en-GB" w:bidi="ar-SA"/>
              </w:rPr>
            </w:pPr>
            <w:r>
              <w:rPr>
                <w:rFonts w:cs="Arial"/>
                <w:bCs/>
                <w:sz w:val="20"/>
                <w:szCs w:val="20"/>
                <w:lang w:eastAsia="en-GB" w:bidi="ar-SA"/>
              </w:rPr>
              <w:t>0.5</w:t>
            </w:r>
          </w:p>
        </w:tc>
      </w:tr>
      <w:tr w:rsidR="009D0C2E" w:rsidRPr="00B364CB" w14:paraId="24D0E872" w14:textId="77777777" w:rsidTr="00120F40">
        <w:trPr>
          <w:trHeight w:val="327"/>
        </w:trPr>
        <w:tc>
          <w:tcPr>
            <w:tcW w:w="41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F69F12B" w14:textId="6D78D61E" w:rsidR="009D0C2E" w:rsidRPr="00B364CB" w:rsidRDefault="002B5150" w:rsidP="009D0C2E">
            <w:pPr>
              <w:widowControl/>
              <w:jc w:val="center"/>
              <w:rPr>
                <w:rFonts w:cs="Arial"/>
                <w:bCs/>
                <w:sz w:val="20"/>
                <w:szCs w:val="20"/>
                <w:lang w:eastAsia="en-GB" w:bidi="ar-SA"/>
              </w:rPr>
            </w:pPr>
            <w:r>
              <w:rPr>
                <w:rFonts w:cs="Arial"/>
                <w:bCs/>
                <w:sz w:val="20"/>
                <w:szCs w:val="20"/>
                <w:lang w:eastAsia="en-GB" w:bidi="ar-SA"/>
              </w:rPr>
              <w:t>7</w:t>
            </w:r>
          </w:p>
        </w:tc>
        <w:tc>
          <w:tcPr>
            <w:tcW w:w="178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E55AC7A" w14:textId="77777777" w:rsidR="009D0C2E" w:rsidRPr="00B364CB" w:rsidRDefault="009D0C2E" w:rsidP="009D0C2E">
            <w:pPr>
              <w:widowControl/>
              <w:rPr>
                <w:rFonts w:cs="Arial"/>
                <w:bCs/>
                <w:sz w:val="20"/>
                <w:szCs w:val="20"/>
                <w:lang w:eastAsia="en-GB" w:bidi="ar-SA"/>
              </w:rPr>
            </w:pPr>
            <w:r w:rsidRPr="00B364CB">
              <w:rPr>
                <w:rFonts w:cs="Arial"/>
                <w:bCs/>
                <w:sz w:val="20"/>
                <w:szCs w:val="20"/>
                <w:lang w:eastAsia="en-GB" w:bidi="ar-SA"/>
              </w:rPr>
              <w:t>Current density</w:t>
            </w:r>
          </w:p>
        </w:tc>
        <w:tc>
          <w:tcPr>
            <w:tcW w:w="84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7C6A474"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A/cm</w:t>
            </w:r>
            <w:r w:rsidRPr="00B364CB">
              <w:rPr>
                <w:rFonts w:cs="Arial"/>
                <w:bCs/>
                <w:sz w:val="20"/>
                <w:szCs w:val="20"/>
                <w:vertAlign w:val="superscript"/>
                <w:lang w:eastAsia="en-GB" w:bidi="ar-SA"/>
              </w:rPr>
              <w:t>2</w:t>
            </w:r>
          </w:p>
        </w:tc>
        <w:tc>
          <w:tcPr>
            <w:tcW w:w="7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A9FD1C7"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0.5</w:t>
            </w:r>
          </w:p>
        </w:tc>
        <w:tc>
          <w:tcPr>
            <w:tcW w:w="647" w:type="pct"/>
            <w:tcBorders>
              <w:top w:val="single" w:sz="8" w:space="0" w:color="auto"/>
              <w:left w:val="single" w:sz="8" w:space="0" w:color="auto"/>
              <w:bottom w:val="single" w:sz="8" w:space="0" w:color="auto"/>
              <w:right w:val="single" w:sz="8" w:space="0" w:color="auto"/>
            </w:tcBorders>
            <w:vAlign w:val="center"/>
          </w:tcPr>
          <w:p w14:paraId="703F9EC0"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0.6</w:t>
            </w:r>
          </w:p>
        </w:tc>
        <w:tc>
          <w:tcPr>
            <w:tcW w:w="593" w:type="pct"/>
            <w:tcBorders>
              <w:top w:val="single" w:sz="8" w:space="0" w:color="auto"/>
              <w:left w:val="single" w:sz="8" w:space="0" w:color="auto"/>
              <w:bottom w:val="single" w:sz="8" w:space="0" w:color="auto"/>
              <w:right w:val="single" w:sz="8" w:space="0" w:color="auto"/>
            </w:tcBorders>
            <w:vAlign w:val="center"/>
          </w:tcPr>
          <w:p w14:paraId="53BA1553"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1.5</w:t>
            </w:r>
          </w:p>
        </w:tc>
      </w:tr>
      <w:tr w:rsidR="009D0C2E" w:rsidRPr="00B364CB" w14:paraId="6FB08A01" w14:textId="77777777" w:rsidTr="00120F40">
        <w:trPr>
          <w:trHeight w:val="572"/>
        </w:trPr>
        <w:tc>
          <w:tcPr>
            <w:tcW w:w="413" w:type="pct"/>
            <w:tcBorders>
              <w:top w:val="single" w:sz="8" w:space="0" w:color="auto"/>
              <w:left w:val="single" w:sz="8" w:space="0" w:color="auto"/>
              <w:bottom w:val="single" w:sz="8" w:space="0" w:color="auto"/>
              <w:right w:val="single" w:sz="8" w:space="0" w:color="auto"/>
            </w:tcBorders>
            <w:shd w:val="clear" w:color="auto" w:fill="auto"/>
            <w:vAlign w:val="center"/>
          </w:tcPr>
          <w:p w14:paraId="7D722857" w14:textId="4FBB22A7" w:rsidR="009D0C2E" w:rsidRPr="00B364CB" w:rsidRDefault="002B5150" w:rsidP="009D0C2E">
            <w:pPr>
              <w:widowControl/>
              <w:jc w:val="center"/>
              <w:rPr>
                <w:rFonts w:cs="Arial"/>
                <w:bCs/>
                <w:sz w:val="20"/>
                <w:szCs w:val="20"/>
                <w:lang w:eastAsia="en-GB" w:bidi="ar-SA"/>
              </w:rPr>
            </w:pPr>
            <w:r>
              <w:rPr>
                <w:rFonts w:cs="Arial"/>
                <w:bCs/>
                <w:sz w:val="20"/>
                <w:szCs w:val="20"/>
                <w:lang w:eastAsia="en-GB" w:bidi="ar-SA"/>
              </w:rPr>
              <w:t>8</w:t>
            </w:r>
          </w:p>
        </w:tc>
        <w:tc>
          <w:tcPr>
            <w:tcW w:w="1789" w:type="pct"/>
            <w:tcBorders>
              <w:top w:val="single" w:sz="8" w:space="0" w:color="auto"/>
              <w:left w:val="single" w:sz="8" w:space="0" w:color="auto"/>
              <w:bottom w:val="single" w:sz="8" w:space="0" w:color="auto"/>
              <w:right w:val="single" w:sz="8" w:space="0" w:color="auto"/>
            </w:tcBorders>
            <w:shd w:val="clear" w:color="auto" w:fill="auto"/>
            <w:vAlign w:val="center"/>
          </w:tcPr>
          <w:p w14:paraId="1F828406" w14:textId="77777777" w:rsidR="009D0C2E" w:rsidRPr="00B364CB" w:rsidRDefault="009D0C2E" w:rsidP="009D0C2E">
            <w:pPr>
              <w:widowControl/>
              <w:rPr>
                <w:rFonts w:cs="Arial"/>
                <w:bCs/>
                <w:sz w:val="20"/>
                <w:szCs w:val="20"/>
                <w:lang w:eastAsia="en-GB" w:bidi="ar-SA"/>
              </w:rPr>
            </w:pPr>
            <w:r w:rsidRPr="00B364CB">
              <w:rPr>
                <w:rFonts w:cs="Arial"/>
                <w:bCs/>
                <w:sz w:val="20"/>
                <w:szCs w:val="20"/>
                <w:lang w:eastAsia="en-GB" w:bidi="ar-SA"/>
              </w:rPr>
              <w:t>Use of critical raw materials as catalyst</w:t>
            </w:r>
          </w:p>
        </w:tc>
        <w:tc>
          <w:tcPr>
            <w:tcW w:w="84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D0F9BBD"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mg/W</w:t>
            </w:r>
          </w:p>
        </w:tc>
        <w:tc>
          <w:tcPr>
            <w:tcW w:w="7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AD69F65"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 1.7</w:t>
            </w:r>
          </w:p>
        </w:tc>
        <w:tc>
          <w:tcPr>
            <w:tcW w:w="647" w:type="pct"/>
            <w:tcBorders>
              <w:top w:val="single" w:sz="8" w:space="0" w:color="auto"/>
              <w:left w:val="single" w:sz="8" w:space="0" w:color="auto"/>
              <w:bottom w:val="single" w:sz="8" w:space="0" w:color="auto"/>
              <w:right w:val="single" w:sz="8" w:space="0" w:color="auto"/>
            </w:tcBorders>
            <w:vAlign w:val="center"/>
          </w:tcPr>
          <w:p w14:paraId="66AD915F"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0.4</w:t>
            </w:r>
          </w:p>
        </w:tc>
        <w:tc>
          <w:tcPr>
            <w:tcW w:w="593" w:type="pct"/>
            <w:tcBorders>
              <w:top w:val="single" w:sz="8" w:space="0" w:color="auto"/>
              <w:left w:val="single" w:sz="8" w:space="0" w:color="auto"/>
              <w:bottom w:val="single" w:sz="8" w:space="0" w:color="auto"/>
              <w:right w:val="single" w:sz="8" w:space="0" w:color="auto"/>
            </w:tcBorders>
            <w:vAlign w:val="center"/>
          </w:tcPr>
          <w:p w14:paraId="2BAEE5BF"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0</w:t>
            </w:r>
          </w:p>
        </w:tc>
      </w:tr>
    </w:tbl>
    <w:p w14:paraId="62AB3C5A" w14:textId="1A13F46E" w:rsidR="009D0C2E" w:rsidRPr="00B364CB" w:rsidRDefault="009D0C2E" w:rsidP="009D0C2E">
      <w:pPr>
        <w:rPr>
          <w:rFonts w:cstheme="minorHAnsi"/>
          <w:b/>
          <w:iCs/>
          <w:color w:val="auto"/>
          <w:sz w:val="16"/>
          <w:szCs w:val="16"/>
          <w:u w:val="single"/>
        </w:rPr>
      </w:pPr>
    </w:p>
    <w:p w14:paraId="5E37296D"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lastRenderedPageBreak/>
        <w:t>Notes:</w:t>
      </w:r>
    </w:p>
    <w:p w14:paraId="053D278C" w14:textId="6472B1F6"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General for system: Standard boundary conditions that apply to all system KPIs: input of AC power and tap water; output of hydrogen meeting ISO 14687-2 at atmospheric </w:t>
      </w:r>
      <w:r>
        <w:rPr>
          <w:rFonts w:cstheme="minorHAnsi"/>
          <w:iCs/>
          <w:color w:val="auto"/>
          <w:sz w:val="16"/>
          <w:szCs w:val="16"/>
        </w:rPr>
        <w:t>pressure</w:t>
      </w:r>
      <w:r w:rsidR="007F6A18" w:rsidRPr="007F6A18">
        <w:rPr>
          <w:rFonts w:cstheme="minorHAnsi"/>
          <w:iCs/>
          <w:color w:val="auto"/>
          <w:sz w:val="16"/>
          <w:szCs w:val="16"/>
        </w:rPr>
        <w:t xml:space="preserve"> </w:t>
      </w:r>
      <w:r w:rsidR="007F6A18">
        <w:rPr>
          <w:rFonts w:cstheme="minorHAnsi"/>
          <w:iCs/>
          <w:color w:val="auto"/>
          <w:sz w:val="16"/>
          <w:szCs w:val="16"/>
        </w:rPr>
        <w:t>and hydrogen purity 5</w:t>
      </w:r>
      <w:r w:rsidRPr="00B364CB">
        <w:rPr>
          <w:rFonts w:cstheme="minorHAnsi"/>
          <w:iCs/>
          <w:color w:val="auto"/>
          <w:sz w:val="16"/>
          <w:szCs w:val="16"/>
        </w:rPr>
        <w:t>. Correction factors may be applied if actual boundary conditions are different.</w:t>
      </w:r>
    </w:p>
    <w:p w14:paraId="1622DD62"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(KPI-1) to (KPI-7): Similar conditions as for alkaline technology (see table 2) and applying ISO 14687-2.</w:t>
      </w:r>
    </w:p>
    <w:p w14:paraId="5293C2EE" w14:textId="592D2DEB"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w:t>
      </w:r>
      <w:r w:rsidR="002B5150">
        <w:rPr>
          <w:rFonts w:cstheme="minorHAnsi"/>
          <w:iCs/>
          <w:color w:val="auto"/>
          <w:sz w:val="16"/>
          <w:szCs w:val="16"/>
        </w:rPr>
        <w:t>7</w:t>
      </w:r>
      <w:r w:rsidRPr="00B364CB">
        <w:rPr>
          <w:rFonts w:cstheme="minorHAnsi"/>
          <w:iCs/>
          <w:color w:val="auto"/>
          <w:sz w:val="16"/>
          <w:szCs w:val="16"/>
        </w:rPr>
        <w:t>: Only data from scientific papers available, target values for KOH based electrolyte &lt; 1.0 %mol.</w:t>
      </w:r>
    </w:p>
    <w:p w14:paraId="09AA057F" w14:textId="354774A0"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w:t>
      </w:r>
      <w:r w:rsidR="002B5150">
        <w:rPr>
          <w:rFonts w:cstheme="minorHAnsi"/>
          <w:iCs/>
          <w:color w:val="auto"/>
          <w:sz w:val="16"/>
          <w:szCs w:val="16"/>
        </w:rPr>
        <w:t>8</w:t>
      </w:r>
      <w:r w:rsidRPr="00B364CB">
        <w:rPr>
          <w:rFonts w:cstheme="minorHAnsi"/>
          <w:iCs/>
          <w:color w:val="auto"/>
          <w:sz w:val="16"/>
          <w:szCs w:val="16"/>
        </w:rPr>
        <w:t>: This is mainly IrOx as the anode catalyst and Pt/C as the cathode catalyst.</w:t>
      </w:r>
    </w:p>
    <w:p w14:paraId="7A2A6ECF" w14:textId="77777777" w:rsidR="00B264A8" w:rsidRPr="00B364CB" w:rsidRDefault="00B264A8" w:rsidP="009D0C2E">
      <w:pPr>
        <w:tabs>
          <w:tab w:val="left" w:pos="1805"/>
        </w:tabs>
        <w:spacing w:after="120"/>
        <w:jc w:val="both"/>
        <w:rPr>
          <w:rFonts w:cstheme="minorHAnsi"/>
          <w:iCs/>
          <w:color w:val="auto"/>
          <w:sz w:val="16"/>
          <w:szCs w:val="16"/>
        </w:rPr>
      </w:pPr>
    </w:p>
    <w:p w14:paraId="5AA1953A" w14:textId="796C7DFE" w:rsidR="009D0C2E" w:rsidRPr="00B364CB" w:rsidRDefault="009D0C2E" w:rsidP="009D0C2E">
      <w:pPr>
        <w:pStyle w:val="Caption"/>
        <w:rPr>
          <w:sz w:val="24"/>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6</w:t>
      </w:r>
      <w:r w:rsidRPr="00B364CB">
        <w:rPr>
          <w:sz w:val="24"/>
        </w:rPr>
        <w:fldChar w:fldCharType="end"/>
      </w:r>
      <w:r w:rsidRPr="00B364CB">
        <w:rPr>
          <w:sz w:val="24"/>
        </w:rPr>
        <w:t>: KPIs for Flexible electrolyser operation</w:t>
      </w:r>
    </w:p>
    <w:tbl>
      <w:tblPr>
        <w:tblpPr w:leftFromText="180" w:rightFromText="180" w:vertAnchor="text" w:tblpY="1"/>
        <w:tblOverlap w:val="neve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62"/>
        <w:gridCol w:w="2595"/>
        <w:gridCol w:w="1418"/>
        <w:gridCol w:w="1567"/>
        <w:gridCol w:w="1465"/>
        <w:gridCol w:w="1303"/>
      </w:tblGrid>
      <w:tr w:rsidR="009D0C2E" w:rsidRPr="00B364CB" w14:paraId="3BBCA557" w14:textId="77777777" w:rsidTr="00120F40">
        <w:trPr>
          <w:trHeight w:val="345"/>
        </w:trPr>
        <w:tc>
          <w:tcPr>
            <w:tcW w:w="419" w:type="pct"/>
            <w:vMerge w:val="restart"/>
            <w:shd w:val="clear" w:color="auto" w:fill="BFBFBF" w:themeFill="background1" w:themeFillShade="BF"/>
            <w:vAlign w:val="center"/>
            <w:hideMark/>
          </w:tcPr>
          <w:p w14:paraId="03E6C5D7"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No</w:t>
            </w:r>
          </w:p>
        </w:tc>
        <w:tc>
          <w:tcPr>
            <w:tcW w:w="1424" w:type="pct"/>
            <w:vMerge w:val="restart"/>
            <w:shd w:val="clear" w:color="auto" w:fill="BFBFBF" w:themeFill="background1" w:themeFillShade="BF"/>
            <w:vAlign w:val="center"/>
            <w:hideMark/>
          </w:tcPr>
          <w:p w14:paraId="47406E92"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Parameter</w:t>
            </w:r>
          </w:p>
        </w:tc>
        <w:tc>
          <w:tcPr>
            <w:tcW w:w="778" w:type="pct"/>
            <w:vMerge w:val="restart"/>
            <w:shd w:val="clear" w:color="auto" w:fill="BFBFBF" w:themeFill="background1" w:themeFillShade="BF"/>
            <w:vAlign w:val="center"/>
            <w:hideMark/>
          </w:tcPr>
          <w:p w14:paraId="0DDEA9FD"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Unit</w:t>
            </w:r>
          </w:p>
        </w:tc>
        <w:tc>
          <w:tcPr>
            <w:tcW w:w="860" w:type="pct"/>
            <w:shd w:val="clear" w:color="auto" w:fill="BFBFBF" w:themeFill="background1" w:themeFillShade="BF"/>
            <w:vAlign w:val="center"/>
            <w:hideMark/>
          </w:tcPr>
          <w:p w14:paraId="322C054F"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519" w:type="pct"/>
            <w:gridSpan w:val="2"/>
            <w:shd w:val="clear" w:color="auto" w:fill="BFBFBF" w:themeFill="background1" w:themeFillShade="BF"/>
          </w:tcPr>
          <w:p w14:paraId="5DD47C97"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35036D8F" w14:textId="77777777" w:rsidTr="00120F40">
        <w:trPr>
          <w:trHeight w:val="449"/>
        </w:trPr>
        <w:tc>
          <w:tcPr>
            <w:tcW w:w="419" w:type="pct"/>
            <w:vMerge/>
            <w:shd w:val="clear" w:color="auto" w:fill="BFBFBF" w:themeFill="background1" w:themeFillShade="BF"/>
            <w:vAlign w:val="center"/>
            <w:hideMark/>
          </w:tcPr>
          <w:p w14:paraId="4F1FD771" w14:textId="77777777" w:rsidR="009D0C2E" w:rsidRPr="00B364CB" w:rsidRDefault="009D0C2E" w:rsidP="009D0C2E">
            <w:pPr>
              <w:widowControl/>
              <w:jc w:val="center"/>
              <w:rPr>
                <w:rFonts w:cs="Arial"/>
                <w:b/>
                <w:bCs/>
                <w:sz w:val="20"/>
                <w:szCs w:val="20"/>
                <w:lang w:eastAsia="en-GB" w:bidi="ar-SA"/>
              </w:rPr>
            </w:pPr>
          </w:p>
        </w:tc>
        <w:tc>
          <w:tcPr>
            <w:tcW w:w="1424" w:type="pct"/>
            <w:vMerge/>
            <w:shd w:val="clear" w:color="auto" w:fill="BFBFBF" w:themeFill="background1" w:themeFillShade="BF"/>
            <w:vAlign w:val="center"/>
            <w:hideMark/>
          </w:tcPr>
          <w:p w14:paraId="1398E5EA" w14:textId="77777777" w:rsidR="009D0C2E" w:rsidRPr="00B364CB" w:rsidRDefault="009D0C2E" w:rsidP="009D0C2E">
            <w:pPr>
              <w:widowControl/>
              <w:jc w:val="center"/>
              <w:rPr>
                <w:rFonts w:cs="Arial"/>
                <w:b/>
                <w:bCs/>
                <w:sz w:val="20"/>
                <w:szCs w:val="20"/>
                <w:lang w:eastAsia="en-GB" w:bidi="ar-SA"/>
              </w:rPr>
            </w:pPr>
          </w:p>
        </w:tc>
        <w:tc>
          <w:tcPr>
            <w:tcW w:w="778" w:type="pct"/>
            <w:vMerge/>
            <w:shd w:val="clear" w:color="auto" w:fill="BFBFBF" w:themeFill="background1" w:themeFillShade="BF"/>
            <w:vAlign w:val="center"/>
            <w:hideMark/>
          </w:tcPr>
          <w:p w14:paraId="6BB91001" w14:textId="77777777" w:rsidR="009D0C2E" w:rsidRPr="00B364CB" w:rsidRDefault="009D0C2E" w:rsidP="009D0C2E">
            <w:pPr>
              <w:widowControl/>
              <w:jc w:val="center"/>
              <w:rPr>
                <w:rFonts w:cs="Arial"/>
                <w:b/>
                <w:bCs/>
                <w:sz w:val="20"/>
                <w:szCs w:val="20"/>
                <w:lang w:eastAsia="en-GB" w:bidi="ar-SA"/>
              </w:rPr>
            </w:pPr>
          </w:p>
        </w:tc>
        <w:tc>
          <w:tcPr>
            <w:tcW w:w="860" w:type="pct"/>
            <w:shd w:val="clear" w:color="auto" w:fill="BFBFBF" w:themeFill="background1" w:themeFillShade="BF"/>
            <w:vAlign w:val="center"/>
            <w:hideMark/>
          </w:tcPr>
          <w:p w14:paraId="35A7F9F0"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804" w:type="pct"/>
            <w:shd w:val="clear" w:color="auto" w:fill="BFBFBF" w:themeFill="background1" w:themeFillShade="BF"/>
            <w:vAlign w:val="center"/>
            <w:hideMark/>
          </w:tcPr>
          <w:p w14:paraId="082C4488"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715" w:type="pct"/>
            <w:shd w:val="clear" w:color="auto" w:fill="BFBFBF" w:themeFill="background1" w:themeFillShade="BF"/>
            <w:vAlign w:val="center"/>
            <w:hideMark/>
          </w:tcPr>
          <w:p w14:paraId="254DCECE"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3EB1B4A9" w14:textId="77777777" w:rsidTr="00120F40">
        <w:trPr>
          <w:trHeight w:val="487"/>
        </w:trPr>
        <w:tc>
          <w:tcPr>
            <w:tcW w:w="419" w:type="pct"/>
            <w:shd w:val="clear" w:color="auto" w:fill="auto"/>
            <w:vAlign w:val="center"/>
            <w:hideMark/>
          </w:tcPr>
          <w:p w14:paraId="5F8ECDAE"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1</w:t>
            </w:r>
          </w:p>
        </w:tc>
        <w:tc>
          <w:tcPr>
            <w:tcW w:w="1424" w:type="pct"/>
            <w:shd w:val="clear" w:color="auto" w:fill="auto"/>
            <w:vAlign w:val="center"/>
            <w:hideMark/>
          </w:tcPr>
          <w:p w14:paraId="0475780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Ramp duration</w:t>
            </w:r>
          </w:p>
        </w:tc>
        <w:tc>
          <w:tcPr>
            <w:tcW w:w="778" w:type="pct"/>
            <w:shd w:val="clear" w:color="auto" w:fill="auto"/>
            <w:vAlign w:val="center"/>
            <w:hideMark/>
          </w:tcPr>
          <w:p w14:paraId="298AB35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sec</w:t>
            </w:r>
          </w:p>
        </w:tc>
        <w:tc>
          <w:tcPr>
            <w:tcW w:w="860" w:type="pct"/>
            <w:shd w:val="clear" w:color="auto" w:fill="auto"/>
            <w:vAlign w:val="center"/>
            <w:hideMark/>
          </w:tcPr>
          <w:p w14:paraId="490F8BD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18</w:t>
            </w:r>
          </w:p>
        </w:tc>
        <w:tc>
          <w:tcPr>
            <w:tcW w:w="804" w:type="pct"/>
            <w:shd w:val="clear" w:color="auto" w:fill="auto"/>
            <w:vAlign w:val="center"/>
            <w:hideMark/>
          </w:tcPr>
          <w:p w14:paraId="7474928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18</w:t>
            </w:r>
          </w:p>
        </w:tc>
        <w:tc>
          <w:tcPr>
            <w:tcW w:w="715" w:type="pct"/>
            <w:shd w:val="clear" w:color="auto" w:fill="auto"/>
            <w:vAlign w:val="center"/>
            <w:hideMark/>
          </w:tcPr>
          <w:p w14:paraId="3725C2D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w:t>
            </w:r>
          </w:p>
        </w:tc>
      </w:tr>
      <w:tr w:rsidR="009D0C2E" w:rsidRPr="00B364CB" w14:paraId="4F163DBF" w14:textId="77777777" w:rsidTr="00120F40">
        <w:trPr>
          <w:trHeight w:val="529"/>
        </w:trPr>
        <w:tc>
          <w:tcPr>
            <w:tcW w:w="419" w:type="pct"/>
            <w:shd w:val="clear" w:color="auto" w:fill="auto"/>
            <w:vAlign w:val="center"/>
          </w:tcPr>
          <w:p w14:paraId="426C9475"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2</w:t>
            </w:r>
          </w:p>
        </w:tc>
        <w:tc>
          <w:tcPr>
            <w:tcW w:w="1424" w:type="pct"/>
            <w:shd w:val="clear" w:color="auto" w:fill="auto"/>
            <w:vAlign w:val="center"/>
          </w:tcPr>
          <w:p w14:paraId="5A8816E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Stability</w:t>
            </w:r>
          </w:p>
        </w:tc>
        <w:tc>
          <w:tcPr>
            <w:tcW w:w="778" w:type="pct"/>
            <w:shd w:val="clear" w:color="auto" w:fill="auto"/>
            <w:vAlign w:val="center"/>
          </w:tcPr>
          <w:p w14:paraId="31E3AA4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860" w:type="pct"/>
            <w:shd w:val="clear" w:color="auto" w:fill="auto"/>
            <w:vAlign w:val="center"/>
          </w:tcPr>
          <w:p w14:paraId="06086A7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2.9</w:t>
            </w:r>
          </w:p>
        </w:tc>
        <w:tc>
          <w:tcPr>
            <w:tcW w:w="804" w:type="pct"/>
            <w:shd w:val="clear" w:color="auto" w:fill="auto"/>
            <w:vAlign w:val="center"/>
          </w:tcPr>
          <w:p w14:paraId="0BEA318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2.5</w:t>
            </w:r>
          </w:p>
        </w:tc>
        <w:tc>
          <w:tcPr>
            <w:tcW w:w="715" w:type="pct"/>
            <w:shd w:val="clear" w:color="auto" w:fill="auto"/>
            <w:vAlign w:val="center"/>
          </w:tcPr>
          <w:p w14:paraId="327BB68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2.5</w:t>
            </w:r>
          </w:p>
        </w:tc>
      </w:tr>
      <w:tr w:rsidR="009D0C2E" w:rsidRPr="00B364CB" w14:paraId="575709CB" w14:textId="77777777" w:rsidTr="00120F40">
        <w:trPr>
          <w:trHeight w:val="529"/>
        </w:trPr>
        <w:tc>
          <w:tcPr>
            <w:tcW w:w="419" w:type="pct"/>
            <w:shd w:val="clear" w:color="auto" w:fill="auto"/>
            <w:vAlign w:val="center"/>
            <w:hideMark/>
          </w:tcPr>
          <w:p w14:paraId="234BA706"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3</w:t>
            </w:r>
          </w:p>
        </w:tc>
        <w:tc>
          <w:tcPr>
            <w:tcW w:w="1424" w:type="pct"/>
            <w:shd w:val="clear" w:color="auto" w:fill="auto"/>
            <w:vAlign w:val="center"/>
            <w:hideMark/>
          </w:tcPr>
          <w:p w14:paraId="2853547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Ramp precision</w:t>
            </w:r>
          </w:p>
        </w:tc>
        <w:tc>
          <w:tcPr>
            <w:tcW w:w="778" w:type="pct"/>
            <w:shd w:val="clear" w:color="auto" w:fill="auto"/>
            <w:vAlign w:val="center"/>
            <w:hideMark/>
          </w:tcPr>
          <w:p w14:paraId="1FDC376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860" w:type="pct"/>
            <w:shd w:val="clear" w:color="auto" w:fill="auto"/>
            <w:vAlign w:val="center"/>
            <w:hideMark/>
          </w:tcPr>
          <w:p w14:paraId="5E46C3B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1.9</w:t>
            </w:r>
          </w:p>
        </w:tc>
        <w:tc>
          <w:tcPr>
            <w:tcW w:w="804" w:type="pct"/>
            <w:shd w:val="clear" w:color="auto" w:fill="auto"/>
            <w:vAlign w:val="center"/>
            <w:hideMark/>
          </w:tcPr>
          <w:p w14:paraId="5BCEEDA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w:t>
            </w:r>
          </w:p>
        </w:tc>
        <w:tc>
          <w:tcPr>
            <w:tcW w:w="715" w:type="pct"/>
            <w:shd w:val="clear" w:color="auto" w:fill="auto"/>
            <w:vAlign w:val="center"/>
            <w:hideMark/>
          </w:tcPr>
          <w:p w14:paraId="2C8076B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w:t>
            </w:r>
          </w:p>
        </w:tc>
      </w:tr>
      <w:tr w:rsidR="009D0C2E" w:rsidRPr="00B364CB" w14:paraId="6E36F7C2" w14:textId="77777777" w:rsidTr="00120F40">
        <w:trPr>
          <w:trHeight w:val="408"/>
        </w:trPr>
        <w:tc>
          <w:tcPr>
            <w:tcW w:w="419" w:type="pct"/>
            <w:shd w:val="clear" w:color="auto" w:fill="auto"/>
            <w:vAlign w:val="center"/>
            <w:hideMark/>
          </w:tcPr>
          <w:p w14:paraId="411F9D3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1424" w:type="pct"/>
            <w:shd w:val="clear" w:color="auto" w:fill="auto"/>
            <w:vAlign w:val="center"/>
            <w:hideMark/>
          </w:tcPr>
          <w:p w14:paraId="74E02DF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Reliability</w:t>
            </w:r>
          </w:p>
        </w:tc>
        <w:tc>
          <w:tcPr>
            <w:tcW w:w="778" w:type="pct"/>
            <w:shd w:val="clear" w:color="auto" w:fill="auto"/>
            <w:vAlign w:val="center"/>
            <w:hideMark/>
          </w:tcPr>
          <w:p w14:paraId="5750196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860" w:type="pct"/>
            <w:shd w:val="clear" w:color="auto" w:fill="auto"/>
            <w:vAlign w:val="center"/>
            <w:hideMark/>
          </w:tcPr>
          <w:p w14:paraId="36EC232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90</w:t>
            </w:r>
          </w:p>
        </w:tc>
        <w:tc>
          <w:tcPr>
            <w:tcW w:w="804" w:type="pct"/>
            <w:shd w:val="clear" w:color="auto" w:fill="auto"/>
            <w:vAlign w:val="center"/>
            <w:hideMark/>
          </w:tcPr>
          <w:p w14:paraId="1C0E07C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99</w:t>
            </w:r>
          </w:p>
        </w:tc>
        <w:tc>
          <w:tcPr>
            <w:tcW w:w="715" w:type="pct"/>
            <w:shd w:val="clear" w:color="auto" w:fill="auto"/>
            <w:vAlign w:val="center"/>
            <w:hideMark/>
          </w:tcPr>
          <w:p w14:paraId="614D515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99</w:t>
            </w:r>
          </w:p>
        </w:tc>
      </w:tr>
    </w:tbl>
    <w:p w14:paraId="26599108" w14:textId="77777777" w:rsidR="009D0C2E" w:rsidRPr="00B364CB" w:rsidRDefault="009D0C2E" w:rsidP="009D0C2E">
      <w:pPr>
        <w:tabs>
          <w:tab w:val="left" w:pos="1805"/>
        </w:tabs>
        <w:spacing w:after="120"/>
        <w:jc w:val="both"/>
        <w:rPr>
          <w:rFonts w:cstheme="minorHAnsi"/>
          <w:iCs/>
          <w:color w:val="auto"/>
          <w:sz w:val="16"/>
          <w:szCs w:val="16"/>
        </w:rPr>
      </w:pPr>
      <w:bookmarkStart w:id="312" w:name="_Toc70088065"/>
    </w:p>
    <w:p w14:paraId="551D9EB2"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6C5DF4BE" w14:textId="10D64E14"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KPI-1: </w:t>
      </w:r>
      <w:r w:rsidR="007C571E">
        <w:rPr>
          <w:rFonts w:cstheme="minorHAnsi"/>
          <w:iCs/>
          <w:color w:val="auto"/>
          <w:sz w:val="16"/>
          <w:szCs w:val="16"/>
        </w:rPr>
        <w:t>R</w:t>
      </w:r>
      <w:r w:rsidRPr="00B364CB">
        <w:rPr>
          <w:rFonts w:cstheme="minorHAnsi"/>
          <w:iCs/>
          <w:color w:val="auto"/>
          <w:sz w:val="16"/>
          <w:szCs w:val="16"/>
        </w:rPr>
        <w:t xml:space="preserve">amp duration (time) </w:t>
      </w:r>
      <w:r w:rsidR="004440C5">
        <w:rPr>
          <w:rFonts w:cstheme="minorHAnsi"/>
          <w:iCs/>
          <w:color w:val="auto"/>
          <w:sz w:val="16"/>
          <w:szCs w:val="16"/>
        </w:rPr>
        <w:t>to reach full power</w:t>
      </w:r>
    </w:p>
    <w:p w14:paraId="6B83144F" w14:textId="55CD4B92"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KPI-2: </w:t>
      </w:r>
      <w:r w:rsidR="007C571E">
        <w:rPr>
          <w:rFonts w:cstheme="minorHAnsi"/>
          <w:iCs/>
          <w:color w:val="auto"/>
          <w:sz w:val="16"/>
          <w:szCs w:val="16"/>
        </w:rPr>
        <w:t>S</w:t>
      </w:r>
      <w:r w:rsidRPr="00B364CB">
        <w:rPr>
          <w:rFonts w:cstheme="minorHAnsi"/>
          <w:iCs/>
          <w:color w:val="auto"/>
          <w:sz w:val="16"/>
          <w:szCs w:val="16"/>
        </w:rPr>
        <w:t xml:space="preserve">tability in constant power sections, </w:t>
      </w:r>
    </w:p>
    <w:p w14:paraId="1EAEFB22" w14:textId="1F16EBDA"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KPI-3: </w:t>
      </w:r>
      <w:r w:rsidR="007C571E">
        <w:rPr>
          <w:rFonts w:cstheme="minorHAnsi"/>
          <w:iCs/>
          <w:color w:val="auto"/>
          <w:sz w:val="16"/>
          <w:szCs w:val="16"/>
        </w:rPr>
        <w:t>T</w:t>
      </w:r>
      <w:r w:rsidRPr="00B364CB">
        <w:rPr>
          <w:rFonts w:cstheme="minorHAnsi"/>
          <w:iCs/>
          <w:color w:val="auto"/>
          <w:sz w:val="16"/>
          <w:szCs w:val="16"/>
        </w:rPr>
        <w:t>he ramp precision is the percentage of data points outside of the desired range, linked to KPI 2, both KPIs are closely related because they describe the precision of power control of electrolyser systems</w:t>
      </w:r>
    </w:p>
    <w:p w14:paraId="39E51880" w14:textId="285107E9"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KPI-4: </w:t>
      </w:r>
      <w:r w:rsidR="007C571E">
        <w:rPr>
          <w:rFonts w:cstheme="minorHAnsi"/>
          <w:iCs/>
          <w:color w:val="auto"/>
          <w:sz w:val="16"/>
          <w:szCs w:val="16"/>
        </w:rPr>
        <w:t>P</w:t>
      </w:r>
      <w:r w:rsidRPr="00B364CB">
        <w:rPr>
          <w:rFonts w:cstheme="minorHAnsi"/>
          <w:iCs/>
          <w:color w:val="auto"/>
          <w:sz w:val="16"/>
          <w:szCs w:val="16"/>
        </w:rPr>
        <w:t>ercentage of operations following the ramping protocols that were successfully completed as described. linked to KPI 1 to 3. It is the success rate of following the protocols / procedures measured using KPIs 1 to 3.</w:t>
      </w:r>
    </w:p>
    <w:bookmarkEnd w:id="312"/>
    <w:p w14:paraId="36DF750E" w14:textId="77777777" w:rsidR="001B5735" w:rsidRDefault="001B5735" w:rsidP="009D0C2E">
      <w:pPr>
        <w:pStyle w:val="Caption"/>
        <w:rPr>
          <w:sz w:val="24"/>
        </w:rPr>
      </w:pPr>
    </w:p>
    <w:p w14:paraId="34E3CE08" w14:textId="52081682" w:rsidR="009D0C2E" w:rsidRPr="00B364CB" w:rsidRDefault="009D0C2E" w:rsidP="009D0C2E">
      <w:pPr>
        <w:pStyle w:val="Caption"/>
        <w:rPr>
          <w:sz w:val="24"/>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7</w:t>
      </w:r>
      <w:r w:rsidRPr="00B364CB">
        <w:rPr>
          <w:sz w:val="24"/>
        </w:rPr>
        <w:fldChar w:fldCharType="end"/>
      </w:r>
      <w:r w:rsidRPr="00B364CB">
        <w:rPr>
          <w:sz w:val="24"/>
        </w:rPr>
        <w:t xml:space="preserve">: KPIs for hydrogen production from raw biogas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23"/>
        <w:gridCol w:w="3555"/>
        <w:gridCol w:w="1206"/>
        <w:gridCol w:w="1547"/>
        <w:gridCol w:w="937"/>
        <w:gridCol w:w="942"/>
      </w:tblGrid>
      <w:tr w:rsidR="00BF0053" w:rsidRPr="00B364CB" w14:paraId="1A19BB91" w14:textId="77777777" w:rsidTr="00120F40">
        <w:trPr>
          <w:trHeight w:val="336"/>
        </w:trPr>
        <w:tc>
          <w:tcPr>
            <w:tcW w:w="507" w:type="pct"/>
            <w:vMerge w:val="restart"/>
            <w:shd w:val="clear" w:color="auto" w:fill="BFBFBF" w:themeFill="background1" w:themeFillShade="BF"/>
            <w:vAlign w:val="center"/>
            <w:hideMark/>
          </w:tcPr>
          <w:p w14:paraId="2263D20A"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No</w:t>
            </w:r>
          </w:p>
        </w:tc>
        <w:tc>
          <w:tcPr>
            <w:tcW w:w="1951" w:type="pct"/>
            <w:vMerge w:val="restart"/>
            <w:shd w:val="clear" w:color="auto" w:fill="BFBFBF" w:themeFill="background1" w:themeFillShade="BF"/>
            <w:vAlign w:val="center"/>
            <w:hideMark/>
          </w:tcPr>
          <w:p w14:paraId="6A7D87E5" w14:textId="77777777" w:rsidR="009D0C2E" w:rsidRPr="00B364CB" w:rsidRDefault="009D0C2E" w:rsidP="009D0C2E">
            <w:pPr>
              <w:widowControl/>
              <w:ind w:firstLineChars="100" w:firstLine="200"/>
              <w:jc w:val="center"/>
              <w:rPr>
                <w:rFonts w:cs="Arial"/>
                <w:b/>
                <w:bCs/>
                <w:sz w:val="20"/>
                <w:szCs w:val="20"/>
                <w:lang w:eastAsia="en-GB" w:bidi="ar-SA"/>
              </w:rPr>
            </w:pPr>
            <w:r w:rsidRPr="00B364CB">
              <w:rPr>
                <w:rFonts w:cs="Arial"/>
                <w:b/>
                <w:bCs/>
                <w:sz w:val="20"/>
                <w:szCs w:val="20"/>
                <w:lang w:eastAsia="en-GB" w:bidi="ar-SA"/>
              </w:rPr>
              <w:t>Parameter</w:t>
            </w:r>
          </w:p>
        </w:tc>
        <w:tc>
          <w:tcPr>
            <w:tcW w:w="662" w:type="pct"/>
            <w:vMerge w:val="restart"/>
            <w:shd w:val="clear" w:color="auto" w:fill="BFBFBF" w:themeFill="background1" w:themeFillShade="BF"/>
            <w:vAlign w:val="center"/>
            <w:hideMark/>
          </w:tcPr>
          <w:p w14:paraId="6CD35A38"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Unit</w:t>
            </w:r>
          </w:p>
        </w:tc>
        <w:tc>
          <w:tcPr>
            <w:tcW w:w="849" w:type="pct"/>
            <w:shd w:val="clear" w:color="auto" w:fill="BFBFBF" w:themeFill="background1" w:themeFillShade="BF"/>
            <w:vAlign w:val="center"/>
            <w:hideMark/>
          </w:tcPr>
          <w:p w14:paraId="0339041E"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032" w:type="pct"/>
            <w:gridSpan w:val="2"/>
            <w:shd w:val="clear" w:color="auto" w:fill="BFBFBF" w:themeFill="background1" w:themeFillShade="BF"/>
            <w:vAlign w:val="center"/>
            <w:hideMark/>
          </w:tcPr>
          <w:p w14:paraId="3D5FAA6C"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BF0053" w:rsidRPr="00B364CB" w14:paraId="706E4F4C" w14:textId="77777777" w:rsidTr="00120F40">
        <w:trPr>
          <w:trHeight w:val="336"/>
        </w:trPr>
        <w:tc>
          <w:tcPr>
            <w:tcW w:w="507" w:type="pct"/>
            <w:vMerge/>
            <w:shd w:val="clear" w:color="auto" w:fill="BFBFBF" w:themeFill="background1" w:themeFillShade="BF"/>
            <w:vAlign w:val="center"/>
            <w:hideMark/>
          </w:tcPr>
          <w:p w14:paraId="683D7B58" w14:textId="77777777" w:rsidR="009D0C2E" w:rsidRPr="00B364CB" w:rsidRDefault="009D0C2E" w:rsidP="009D0C2E">
            <w:pPr>
              <w:widowControl/>
              <w:jc w:val="center"/>
              <w:rPr>
                <w:rFonts w:cs="Arial"/>
                <w:b/>
                <w:bCs/>
                <w:sz w:val="20"/>
                <w:szCs w:val="20"/>
                <w:lang w:eastAsia="en-GB" w:bidi="ar-SA"/>
              </w:rPr>
            </w:pPr>
          </w:p>
        </w:tc>
        <w:tc>
          <w:tcPr>
            <w:tcW w:w="1951" w:type="pct"/>
            <w:vMerge/>
            <w:shd w:val="clear" w:color="auto" w:fill="BFBFBF" w:themeFill="background1" w:themeFillShade="BF"/>
            <w:vAlign w:val="center"/>
            <w:hideMark/>
          </w:tcPr>
          <w:p w14:paraId="19B1DEB9" w14:textId="77777777" w:rsidR="009D0C2E" w:rsidRPr="00B364CB" w:rsidRDefault="009D0C2E" w:rsidP="009D0C2E">
            <w:pPr>
              <w:widowControl/>
              <w:jc w:val="center"/>
              <w:rPr>
                <w:rFonts w:cs="Arial"/>
                <w:b/>
                <w:bCs/>
                <w:sz w:val="20"/>
                <w:szCs w:val="20"/>
                <w:lang w:eastAsia="en-GB" w:bidi="ar-SA"/>
              </w:rPr>
            </w:pPr>
          </w:p>
        </w:tc>
        <w:tc>
          <w:tcPr>
            <w:tcW w:w="662" w:type="pct"/>
            <w:vMerge/>
            <w:shd w:val="clear" w:color="auto" w:fill="BFBFBF" w:themeFill="background1" w:themeFillShade="BF"/>
            <w:vAlign w:val="center"/>
            <w:hideMark/>
          </w:tcPr>
          <w:p w14:paraId="57BA2D6E" w14:textId="77777777" w:rsidR="009D0C2E" w:rsidRPr="00B364CB" w:rsidRDefault="009D0C2E" w:rsidP="009D0C2E">
            <w:pPr>
              <w:widowControl/>
              <w:jc w:val="center"/>
              <w:rPr>
                <w:rFonts w:cs="Arial"/>
                <w:b/>
                <w:bCs/>
                <w:sz w:val="20"/>
                <w:szCs w:val="20"/>
                <w:lang w:eastAsia="en-GB" w:bidi="ar-SA"/>
              </w:rPr>
            </w:pPr>
          </w:p>
        </w:tc>
        <w:tc>
          <w:tcPr>
            <w:tcW w:w="849" w:type="pct"/>
            <w:shd w:val="clear" w:color="auto" w:fill="BFBFBF" w:themeFill="background1" w:themeFillShade="BF"/>
            <w:vAlign w:val="center"/>
            <w:hideMark/>
          </w:tcPr>
          <w:p w14:paraId="1C6DC714"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514" w:type="pct"/>
            <w:shd w:val="clear" w:color="auto" w:fill="BFBFBF" w:themeFill="background1" w:themeFillShade="BF"/>
            <w:vAlign w:val="center"/>
            <w:hideMark/>
          </w:tcPr>
          <w:p w14:paraId="3A7B163E"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518" w:type="pct"/>
            <w:shd w:val="clear" w:color="auto" w:fill="BFBFBF" w:themeFill="background1" w:themeFillShade="BF"/>
            <w:vAlign w:val="center"/>
            <w:hideMark/>
          </w:tcPr>
          <w:p w14:paraId="1F112968"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5CA77CD0" w14:textId="77777777" w:rsidTr="00120F40">
        <w:trPr>
          <w:trHeight w:val="336"/>
        </w:trPr>
        <w:tc>
          <w:tcPr>
            <w:tcW w:w="507" w:type="pct"/>
            <w:shd w:val="clear" w:color="auto" w:fill="auto"/>
            <w:vAlign w:val="center"/>
            <w:hideMark/>
          </w:tcPr>
          <w:p w14:paraId="52E5129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c>
          <w:tcPr>
            <w:tcW w:w="1951" w:type="pct"/>
            <w:shd w:val="clear" w:color="auto" w:fill="auto"/>
            <w:vAlign w:val="center"/>
            <w:hideMark/>
          </w:tcPr>
          <w:p w14:paraId="3908028D" w14:textId="77777777" w:rsidR="009D0C2E" w:rsidRPr="00B364CB" w:rsidRDefault="009D0C2E" w:rsidP="009D0C2E">
            <w:pPr>
              <w:widowControl/>
              <w:ind w:firstLineChars="100" w:firstLine="200"/>
              <w:jc w:val="center"/>
              <w:rPr>
                <w:rFonts w:cs="Arial"/>
                <w:sz w:val="20"/>
                <w:szCs w:val="20"/>
                <w:lang w:eastAsia="en-GB" w:bidi="ar-SA"/>
              </w:rPr>
            </w:pPr>
            <w:r w:rsidRPr="00B364CB">
              <w:rPr>
                <w:rFonts w:cs="Arial"/>
                <w:sz w:val="20"/>
                <w:szCs w:val="20"/>
                <w:lang w:eastAsia="en-GB" w:bidi="ar-SA"/>
              </w:rPr>
              <w:t>System energy use</w:t>
            </w:r>
          </w:p>
        </w:tc>
        <w:tc>
          <w:tcPr>
            <w:tcW w:w="662" w:type="pct"/>
            <w:shd w:val="clear" w:color="auto" w:fill="auto"/>
            <w:vAlign w:val="center"/>
            <w:hideMark/>
          </w:tcPr>
          <w:p w14:paraId="0356BC2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kWh/kg</w:t>
            </w:r>
          </w:p>
        </w:tc>
        <w:tc>
          <w:tcPr>
            <w:tcW w:w="849" w:type="pct"/>
            <w:shd w:val="clear" w:color="auto" w:fill="auto"/>
            <w:vAlign w:val="center"/>
          </w:tcPr>
          <w:p w14:paraId="317E0C3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64</w:t>
            </w:r>
          </w:p>
        </w:tc>
        <w:tc>
          <w:tcPr>
            <w:tcW w:w="514" w:type="pct"/>
            <w:shd w:val="clear" w:color="auto" w:fill="auto"/>
            <w:vAlign w:val="center"/>
            <w:hideMark/>
          </w:tcPr>
          <w:p w14:paraId="4BA6D20D" w14:textId="522B1E2B" w:rsidR="009D0C2E" w:rsidRPr="00B364CB" w:rsidRDefault="007F6A18" w:rsidP="009D0C2E">
            <w:pPr>
              <w:widowControl/>
              <w:jc w:val="center"/>
              <w:rPr>
                <w:rFonts w:cs="Arial"/>
                <w:sz w:val="20"/>
                <w:szCs w:val="20"/>
                <w:lang w:eastAsia="en-GB" w:bidi="ar-SA"/>
              </w:rPr>
            </w:pPr>
            <w:r>
              <w:rPr>
                <w:rFonts w:cs="Arial"/>
                <w:sz w:val="20"/>
                <w:szCs w:val="20"/>
                <w:lang w:eastAsia="en-GB" w:bidi="ar-SA"/>
              </w:rPr>
              <w:t>6</w:t>
            </w:r>
            <w:r w:rsidRPr="00B364CB">
              <w:rPr>
                <w:rFonts w:cs="Arial"/>
                <w:sz w:val="20"/>
                <w:szCs w:val="20"/>
                <w:lang w:eastAsia="en-GB" w:bidi="ar-SA"/>
              </w:rPr>
              <w:t>0</w:t>
            </w:r>
          </w:p>
        </w:tc>
        <w:tc>
          <w:tcPr>
            <w:tcW w:w="518" w:type="pct"/>
            <w:shd w:val="clear" w:color="auto" w:fill="auto"/>
            <w:vAlign w:val="center"/>
            <w:hideMark/>
          </w:tcPr>
          <w:p w14:paraId="59D5082D" w14:textId="26252403"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57</w:t>
            </w:r>
          </w:p>
        </w:tc>
      </w:tr>
      <w:tr w:rsidR="009D0C2E" w:rsidRPr="00B364CB" w14:paraId="3DC76C02" w14:textId="77777777" w:rsidTr="007F6A18">
        <w:trPr>
          <w:trHeight w:val="336"/>
        </w:trPr>
        <w:tc>
          <w:tcPr>
            <w:tcW w:w="507" w:type="pct"/>
            <w:shd w:val="clear" w:color="auto" w:fill="auto"/>
            <w:vAlign w:val="center"/>
            <w:hideMark/>
          </w:tcPr>
          <w:p w14:paraId="206C28E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c>
          <w:tcPr>
            <w:tcW w:w="1951" w:type="pct"/>
            <w:shd w:val="clear" w:color="auto" w:fill="auto"/>
            <w:vAlign w:val="center"/>
            <w:hideMark/>
          </w:tcPr>
          <w:p w14:paraId="706B057B" w14:textId="77777777" w:rsidR="009D0C2E" w:rsidRPr="00B364CB" w:rsidRDefault="009D0C2E" w:rsidP="009D0C2E">
            <w:pPr>
              <w:widowControl/>
              <w:ind w:firstLineChars="100" w:firstLine="200"/>
              <w:jc w:val="center"/>
              <w:rPr>
                <w:rFonts w:cs="Arial"/>
                <w:sz w:val="20"/>
                <w:szCs w:val="20"/>
                <w:lang w:eastAsia="en-GB" w:bidi="ar-SA"/>
              </w:rPr>
            </w:pPr>
            <w:r w:rsidRPr="00B364CB">
              <w:rPr>
                <w:rFonts w:cs="Arial"/>
                <w:sz w:val="20"/>
                <w:szCs w:val="20"/>
                <w:lang w:eastAsia="en-GB" w:bidi="ar-SA"/>
              </w:rPr>
              <w:t>System capital cost</w:t>
            </w:r>
          </w:p>
        </w:tc>
        <w:tc>
          <w:tcPr>
            <w:tcW w:w="662" w:type="pct"/>
            <w:shd w:val="clear" w:color="auto" w:fill="auto"/>
            <w:vAlign w:val="center"/>
            <w:hideMark/>
          </w:tcPr>
          <w:p w14:paraId="54BE236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€/(kg/d)</w:t>
            </w:r>
          </w:p>
        </w:tc>
        <w:tc>
          <w:tcPr>
            <w:tcW w:w="849" w:type="pct"/>
            <w:shd w:val="clear" w:color="auto" w:fill="auto"/>
            <w:vAlign w:val="center"/>
          </w:tcPr>
          <w:p w14:paraId="1D616A5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1,250</w:t>
            </w:r>
          </w:p>
        </w:tc>
        <w:tc>
          <w:tcPr>
            <w:tcW w:w="514" w:type="pct"/>
            <w:shd w:val="clear" w:color="auto" w:fill="auto"/>
            <w:vAlign w:val="center"/>
            <w:hideMark/>
          </w:tcPr>
          <w:p w14:paraId="3D39FE8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1,150</w:t>
            </w:r>
          </w:p>
        </w:tc>
        <w:tc>
          <w:tcPr>
            <w:tcW w:w="518" w:type="pct"/>
            <w:shd w:val="clear" w:color="auto" w:fill="auto"/>
            <w:vAlign w:val="center"/>
            <w:hideMark/>
          </w:tcPr>
          <w:p w14:paraId="74E62FD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1,000</w:t>
            </w:r>
          </w:p>
        </w:tc>
      </w:tr>
      <w:tr w:rsidR="009D0C2E" w:rsidRPr="00B364CB" w14:paraId="25DF5C9B" w14:textId="77777777" w:rsidTr="007F6A18">
        <w:trPr>
          <w:trHeight w:val="336"/>
        </w:trPr>
        <w:tc>
          <w:tcPr>
            <w:tcW w:w="507" w:type="pct"/>
            <w:shd w:val="clear" w:color="auto" w:fill="auto"/>
            <w:vAlign w:val="center"/>
            <w:hideMark/>
          </w:tcPr>
          <w:p w14:paraId="2687551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c>
          <w:tcPr>
            <w:tcW w:w="1951" w:type="pct"/>
            <w:shd w:val="clear" w:color="auto" w:fill="auto"/>
            <w:vAlign w:val="center"/>
            <w:hideMark/>
          </w:tcPr>
          <w:p w14:paraId="30D7BDA1" w14:textId="77777777" w:rsidR="009D0C2E" w:rsidRPr="00B364CB" w:rsidRDefault="009D0C2E" w:rsidP="009D0C2E">
            <w:pPr>
              <w:widowControl/>
              <w:ind w:firstLineChars="100" w:firstLine="200"/>
              <w:jc w:val="center"/>
              <w:rPr>
                <w:rFonts w:cs="Arial"/>
                <w:sz w:val="20"/>
                <w:szCs w:val="20"/>
                <w:lang w:eastAsia="en-GB" w:bidi="ar-SA"/>
              </w:rPr>
            </w:pPr>
            <w:r w:rsidRPr="00B364CB">
              <w:rPr>
                <w:rFonts w:cs="Arial"/>
                <w:sz w:val="20"/>
                <w:szCs w:val="20"/>
                <w:lang w:eastAsia="en-GB" w:bidi="ar-SA"/>
              </w:rPr>
              <w:t>System operational cost</w:t>
            </w:r>
          </w:p>
        </w:tc>
        <w:tc>
          <w:tcPr>
            <w:tcW w:w="662" w:type="pct"/>
            <w:shd w:val="clear" w:color="auto" w:fill="auto"/>
            <w:vAlign w:val="center"/>
            <w:hideMark/>
          </w:tcPr>
          <w:p w14:paraId="5F92896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849" w:type="pct"/>
            <w:shd w:val="clear" w:color="auto" w:fill="auto"/>
            <w:vAlign w:val="center"/>
          </w:tcPr>
          <w:p w14:paraId="13AE0BF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1.35</w:t>
            </w:r>
          </w:p>
        </w:tc>
        <w:tc>
          <w:tcPr>
            <w:tcW w:w="514" w:type="pct"/>
            <w:shd w:val="clear" w:color="auto" w:fill="auto"/>
            <w:vAlign w:val="center"/>
            <w:hideMark/>
          </w:tcPr>
          <w:p w14:paraId="170CAFA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1.32</w:t>
            </w:r>
          </w:p>
        </w:tc>
        <w:tc>
          <w:tcPr>
            <w:tcW w:w="518" w:type="pct"/>
            <w:shd w:val="clear" w:color="auto" w:fill="auto"/>
            <w:vAlign w:val="center"/>
            <w:hideMark/>
          </w:tcPr>
          <w:p w14:paraId="5CBBA61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1.28</w:t>
            </w:r>
          </w:p>
        </w:tc>
      </w:tr>
    </w:tbl>
    <w:p w14:paraId="04F06C25" w14:textId="77777777" w:rsidR="009D0C2E" w:rsidRPr="00B364CB" w:rsidRDefault="009D0C2E" w:rsidP="009D0C2E">
      <w:pPr>
        <w:jc w:val="both"/>
        <w:rPr>
          <w:rFonts w:cstheme="minorHAnsi"/>
          <w:iCs/>
          <w:color w:val="1F497D" w:themeColor="text2"/>
          <w:sz w:val="16"/>
          <w:szCs w:val="16"/>
        </w:rPr>
      </w:pPr>
    </w:p>
    <w:p w14:paraId="1FA1E6B4" w14:textId="77777777" w:rsidR="00D041D1" w:rsidRPr="00B364CB" w:rsidRDefault="00D041D1" w:rsidP="00D041D1">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16718602" w14:textId="72196E65" w:rsidR="009D0C2E" w:rsidRPr="00B364CB" w:rsidRDefault="009D0C2E" w:rsidP="009D0C2E">
      <w:pPr>
        <w:rPr>
          <w:rFonts w:cstheme="minorHAnsi"/>
          <w:iCs/>
          <w:color w:val="auto"/>
          <w:sz w:val="16"/>
          <w:szCs w:val="16"/>
        </w:rPr>
      </w:pPr>
      <w:r w:rsidRPr="00B364CB">
        <w:rPr>
          <w:rFonts w:cstheme="minorHAnsi"/>
          <w:iCs/>
          <w:color w:val="auto"/>
          <w:sz w:val="16"/>
          <w:szCs w:val="16"/>
        </w:rPr>
        <w:t xml:space="preserve">KPI-1: </w:t>
      </w:r>
      <w:r w:rsidR="007C571E">
        <w:rPr>
          <w:rFonts w:cstheme="minorHAnsi"/>
          <w:iCs/>
          <w:color w:val="auto"/>
          <w:sz w:val="16"/>
          <w:szCs w:val="16"/>
        </w:rPr>
        <w:t>T</w:t>
      </w:r>
      <w:r w:rsidRPr="00B364CB">
        <w:rPr>
          <w:rFonts w:cstheme="minorHAnsi"/>
          <w:iCs/>
          <w:color w:val="auto"/>
          <w:sz w:val="16"/>
          <w:szCs w:val="16"/>
        </w:rPr>
        <w:t>he energy use here considers both heat and electricity. (N.B.: The electricity consumption is reported as an equivalent heat consumption considering a reference thermal-to-electricity conversion efficiency of 45%).  The system energy use is based on the efficiency value of 51</w:t>
      </w:r>
      <w:r w:rsidR="00B264A8">
        <w:rPr>
          <w:rFonts w:cstheme="minorHAnsi"/>
          <w:iCs/>
          <w:color w:val="auto"/>
          <w:sz w:val="16"/>
          <w:szCs w:val="16"/>
        </w:rPr>
        <w:t>.</w:t>
      </w:r>
      <w:r w:rsidRPr="00B364CB">
        <w:rPr>
          <w:rFonts w:cstheme="minorHAnsi"/>
          <w:iCs/>
          <w:color w:val="auto"/>
          <w:sz w:val="16"/>
          <w:szCs w:val="16"/>
        </w:rPr>
        <w:t>7% related to a plant on Anaerobic Digestion (AD) based on steam reforming conversion process. It is considering the LHV as calorific value of the Hydrogen. The best steam reforming case with AD biogas (58% of CH4) and a plant size is 100 kgH</w:t>
      </w:r>
      <w:r w:rsidRPr="00E4788A">
        <w:rPr>
          <w:rFonts w:cstheme="minorHAnsi"/>
          <w:iCs/>
          <w:color w:val="auto"/>
          <w:sz w:val="16"/>
          <w:szCs w:val="16"/>
          <w:vertAlign w:val="subscript"/>
        </w:rPr>
        <w:t>2</w:t>
      </w:r>
      <w:r w:rsidRPr="00B364CB">
        <w:rPr>
          <w:rFonts w:cstheme="minorHAnsi"/>
          <w:iCs/>
          <w:color w:val="auto"/>
          <w:sz w:val="16"/>
          <w:szCs w:val="16"/>
        </w:rPr>
        <w:t>/day, including P</w:t>
      </w:r>
      <w:r>
        <w:rPr>
          <w:rFonts w:cstheme="minorHAnsi"/>
          <w:iCs/>
          <w:color w:val="auto"/>
          <w:sz w:val="16"/>
          <w:szCs w:val="16"/>
        </w:rPr>
        <w:t xml:space="preserve">ressure </w:t>
      </w:r>
      <w:r w:rsidRPr="00B364CB">
        <w:rPr>
          <w:rFonts w:cstheme="minorHAnsi"/>
          <w:iCs/>
          <w:color w:val="auto"/>
          <w:sz w:val="16"/>
          <w:szCs w:val="16"/>
        </w:rPr>
        <w:t>S</w:t>
      </w:r>
      <w:r>
        <w:rPr>
          <w:rFonts w:cstheme="minorHAnsi"/>
          <w:iCs/>
          <w:color w:val="auto"/>
          <w:sz w:val="16"/>
          <w:szCs w:val="16"/>
        </w:rPr>
        <w:t xml:space="preserve">wing </w:t>
      </w:r>
      <w:r w:rsidRPr="00B364CB">
        <w:rPr>
          <w:rFonts w:cstheme="minorHAnsi"/>
          <w:iCs/>
          <w:color w:val="auto"/>
          <w:sz w:val="16"/>
          <w:szCs w:val="16"/>
        </w:rPr>
        <w:t>A</w:t>
      </w:r>
      <w:r>
        <w:rPr>
          <w:rFonts w:cstheme="minorHAnsi"/>
          <w:iCs/>
          <w:color w:val="auto"/>
          <w:sz w:val="16"/>
          <w:szCs w:val="16"/>
        </w:rPr>
        <w:t>dsorption (PSA)</w:t>
      </w:r>
      <w:r w:rsidRPr="00B364CB">
        <w:rPr>
          <w:rFonts w:cstheme="minorHAnsi"/>
          <w:iCs/>
          <w:color w:val="auto"/>
          <w:sz w:val="16"/>
          <w:szCs w:val="16"/>
        </w:rPr>
        <w:t xml:space="preserve"> system.</w:t>
      </w:r>
    </w:p>
    <w:p w14:paraId="1C2EC7E8" w14:textId="77777777" w:rsidR="009D0C2E" w:rsidRPr="00B364CB" w:rsidRDefault="009D0C2E" w:rsidP="009D0C2E">
      <w:pPr>
        <w:rPr>
          <w:rFonts w:cstheme="minorHAnsi"/>
          <w:iCs/>
          <w:color w:val="auto"/>
          <w:sz w:val="16"/>
          <w:szCs w:val="16"/>
        </w:rPr>
      </w:pPr>
    </w:p>
    <w:p w14:paraId="49B7C634" w14:textId="0142AE60" w:rsidR="009D0C2E" w:rsidRPr="00B364CB" w:rsidRDefault="009D0C2E" w:rsidP="009D0C2E">
      <w:pPr>
        <w:rPr>
          <w:rFonts w:cstheme="minorHAnsi"/>
          <w:iCs/>
          <w:color w:val="auto"/>
          <w:sz w:val="16"/>
          <w:szCs w:val="16"/>
        </w:rPr>
      </w:pPr>
      <w:r w:rsidRPr="00B364CB">
        <w:rPr>
          <w:rFonts w:cstheme="minorHAnsi"/>
          <w:iCs/>
          <w:color w:val="auto"/>
          <w:sz w:val="16"/>
          <w:szCs w:val="16"/>
        </w:rPr>
        <w:t xml:space="preserve">KPI-2: </w:t>
      </w:r>
      <w:r w:rsidR="007C571E">
        <w:rPr>
          <w:rFonts w:cstheme="minorHAnsi"/>
          <w:iCs/>
          <w:color w:val="auto"/>
          <w:sz w:val="16"/>
          <w:szCs w:val="16"/>
        </w:rPr>
        <w:t>C</w:t>
      </w:r>
      <w:r w:rsidRPr="00B364CB">
        <w:rPr>
          <w:rFonts w:cstheme="minorHAnsi"/>
          <w:iCs/>
          <w:color w:val="auto"/>
          <w:sz w:val="16"/>
          <w:szCs w:val="16"/>
        </w:rPr>
        <w:t>apital cost of the production plant per nominal daily production (€/(kg/d)). Capital cost should include all the cost related to all the equipment necessary for the normal operation of the plant. Plant size is 100 kgH</w:t>
      </w:r>
      <w:r w:rsidRPr="00E4788A">
        <w:rPr>
          <w:rFonts w:cstheme="minorHAnsi"/>
          <w:iCs/>
          <w:color w:val="auto"/>
          <w:sz w:val="16"/>
          <w:szCs w:val="16"/>
          <w:vertAlign w:val="subscript"/>
        </w:rPr>
        <w:t>2</w:t>
      </w:r>
      <w:r w:rsidRPr="00B364CB">
        <w:rPr>
          <w:rFonts w:cstheme="minorHAnsi"/>
          <w:iCs/>
          <w:color w:val="auto"/>
          <w:sz w:val="16"/>
          <w:szCs w:val="16"/>
        </w:rPr>
        <w:t>/day. Output of hydrogen meeting ISO 14687-2 at a pressure of 20 bar and hydrogen purity 5.0. Clean biogas without H2S is assumed.</w:t>
      </w:r>
    </w:p>
    <w:p w14:paraId="2A3B9833" w14:textId="77777777" w:rsidR="009D0C2E" w:rsidRPr="00B364CB" w:rsidRDefault="009D0C2E" w:rsidP="009D0C2E">
      <w:pPr>
        <w:rPr>
          <w:rFonts w:cstheme="minorHAnsi"/>
          <w:iCs/>
          <w:color w:val="auto"/>
          <w:sz w:val="16"/>
          <w:szCs w:val="16"/>
        </w:rPr>
      </w:pPr>
    </w:p>
    <w:p w14:paraId="4B4AB82A" w14:textId="04A6439A" w:rsidR="009D0C2E" w:rsidRPr="00B364CB" w:rsidRDefault="009D0C2E" w:rsidP="009D0C2E">
      <w:pPr>
        <w:rPr>
          <w:rFonts w:cstheme="minorHAnsi"/>
          <w:iCs/>
          <w:color w:val="auto"/>
          <w:sz w:val="16"/>
          <w:szCs w:val="16"/>
        </w:rPr>
      </w:pPr>
      <w:r w:rsidRPr="00B364CB">
        <w:rPr>
          <w:rFonts w:cstheme="minorHAnsi"/>
          <w:iCs/>
          <w:color w:val="auto"/>
          <w:sz w:val="16"/>
          <w:szCs w:val="16"/>
        </w:rPr>
        <w:t xml:space="preserve">KPI-3: </w:t>
      </w:r>
      <w:r w:rsidR="007C571E">
        <w:rPr>
          <w:rFonts w:cstheme="minorHAnsi"/>
          <w:iCs/>
          <w:color w:val="auto"/>
          <w:sz w:val="16"/>
          <w:szCs w:val="16"/>
        </w:rPr>
        <w:t>T</w:t>
      </w:r>
      <w:r w:rsidRPr="00B364CB">
        <w:rPr>
          <w:rFonts w:cstheme="minorHAnsi"/>
          <w:iCs/>
          <w:color w:val="auto"/>
          <w:sz w:val="16"/>
          <w:szCs w:val="16"/>
        </w:rPr>
        <w:t>he value includes the expenditures for biogas and water, electrical and heat consumption, maintenance, spare parts, catalyst, adsorbent material and desulphurisation.</w:t>
      </w:r>
    </w:p>
    <w:p w14:paraId="6B133B21" w14:textId="1D23B472" w:rsidR="009D0C2E" w:rsidRPr="00B364CB" w:rsidRDefault="009D0C2E" w:rsidP="009D0C2E">
      <w:pPr>
        <w:pStyle w:val="Caption"/>
        <w:rPr>
          <w:sz w:val="24"/>
        </w:rPr>
      </w:pPr>
      <w:r w:rsidRPr="00B364CB">
        <w:rPr>
          <w:sz w:val="24"/>
        </w:rPr>
        <w:lastRenderedPageBreak/>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8</w:t>
      </w:r>
      <w:r w:rsidRPr="00B364CB">
        <w:rPr>
          <w:sz w:val="24"/>
        </w:rPr>
        <w:fldChar w:fldCharType="end"/>
      </w:r>
      <w:r w:rsidRPr="00B364CB">
        <w:rPr>
          <w:sz w:val="24"/>
        </w:rPr>
        <w:t>: KPIs for biological production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818"/>
        <w:gridCol w:w="2622"/>
        <w:gridCol w:w="1383"/>
        <w:gridCol w:w="1940"/>
        <w:gridCol w:w="966"/>
        <w:gridCol w:w="1381"/>
      </w:tblGrid>
      <w:tr w:rsidR="009D0C2E" w:rsidRPr="00B364CB" w14:paraId="0D6545C3" w14:textId="77777777" w:rsidTr="00120F40">
        <w:trPr>
          <w:trHeight w:val="319"/>
        </w:trPr>
        <w:tc>
          <w:tcPr>
            <w:tcW w:w="449" w:type="pct"/>
            <w:vMerge w:val="restart"/>
            <w:shd w:val="clear" w:color="auto" w:fill="BFBFBF" w:themeFill="background1" w:themeFillShade="BF"/>
            <w:vAlign w:val="center"/>
            <w:hideMark/>
          </w:tcPr>
          <w:p w14:paraId="5BD05B45" w14:textId="77777777" w:rsidR="009D0C2E" w:rsidRPr="00B364CB" w:rsidRDefault="009D0C2E" w:rsidP="009D0C2E">
            <w:pPr>
              <w:jc w:val="center"/>
              <w:rPr>
                <w:rFonts w:cstheme="minorHAnsi"/>
                <w:b/>
                <w:bCs/>
                <w:sz w:val="20"/>
                <w:szCs w:val="20"/>
              </w:rPr>
            </w:pPr>
            <w:r w:rsidRPr="00B364CB">
              <w:rPr>
                <w:rFonts w:cstheme="minorHAnsi"/>
                <w:b/>
                <w:bCs/>
                <w:sz w:val="20"/>
                <w:szCs w:val="20"/>
              </w:rPr>
              <w:t>No</w:t>
            </w:r>
          </w:p>
        </w:tc>
        <w:tc>
          <w:tcPr>
            <w:tcW w:w="1439" w:type="pct"/>
            <w:vMerge w:val="restart"/>
            <w:shd w:val="clear" w:color="auto" w:fill="BFBFBF" w:themeFill="background1" w:themeFillShade="BF"/>
            <w:vAlign w:val="center"/>
            <w:hideMark/>
          </w:tcPr>
          <w:p w14:paraId="634A50B0" w14:textId="77777777" w:rsidR="009D0C2E" w:rsidRPr="00B364CB" w:rsidRDefault="009D0C2E" w:rsidP="009D0C2E">
            <w:pPr>
              <w:ind w:firstLineChars="100" w:firstLine="200"/>
              <w:jc w:val="center"/>
              <w:rPr>
                <w:rFonts w:cstheme="minorHAnsi"/>
                <w:b/>
                <w:bCs/>
                <w:sz w:val="20"/>
                <w:szCs w:val="20"/>
              </w:rPr>
            </w:pPr>
            <w:r w:rsidRPr="00B364CB">
              <w:rPr>
                <w:rFonts w:cstheme="minorHAnsi"/>
                <w:b/>
                <w:bCs/>
                <w:sz w:val="20"/>
                <w:szCs w:val="20"/>
              </w:rPr>
              <w:t>Parameter</w:t>
            </w:r>
          </w:p>
        </w:tc>
        <w:tc>
          <w:tcPr>
            <w:tcW w:w="759" w:type="pct"/>
            <w:vMerge w:val="restart"/>
            <w:shd w:val="clear" w:color="auto" w:fill="BFBFBF" w:themeFill="background1" w:themeFillShade="BF"/>
            <w:vAlign w:val="center"/>
            <w:hideMark/>
          </w:tcPr>
          <w:p w14:paraId="35065BFC" w14:textId="77777777" w:rsidR="009D0C2E" w:rsidRPr="00B364CB" w:rsidRDefault="009D0C2E" w:rsidP="009D0C2E">
            <w:pPr>
              <w:ind w:firstLineChars="200" w:firstLine="400"/>
              <w:rPr>
                <w:rFonts w:cstheme="minorHAnsi"/>
                <w:b/>
                <w:bCs/>
                <w:sz w:val="20"/>
                <w:szCs w:val="20"/>
              </w:rPr>
            </w:pPr>
            <w:r w:rsidRPr="00B364CB">
              <w:rPr>
                <w:rFonts w:cstheme="minorHAnsi"/>
                <w:b/>
                <w:bCs/>
                <w:sz w:val="20"/>
                <w:szCs w:val="20"/>
              </w:rPr>
              <w:t>Unit</w:t>
            </w:r>
          </w:p>
        </w:tc>
        <w:tc>
          <w:tcPr>
            <w:tcW w:w="1065" w:type="pct"/>
            <w:shd w:val="clear" w:color="auto" w:fill="BFBFBF" w:themeFill="background1" w:themeFillShade="BF"/>
            <w:vAlign w:val="center"/>
            <w:hideMark/>
          </w:tcPr>
          <w:p w14:paraId="5003A98A" w14:textId="77777777" w:rsidR="009D0C2E" w:rsidRPr="00B364CB" w:rsidRDefault="009D0C2E" w:rsidP="009D0C2E">
            <w:pPr>
              <w:jc w:val="center"/>
              <w:rPr>
                <w:rFonts w:cstheme="minorHAnsi"/>
                <w:b/>
                <w:bCs/>
                <w:sz w:val="20"/>
                <w:szCs w:val="20"/>
              </w:rPr>
            </w:pPr>
            <w:r w:rsidRPr="00B364CB">
              <w:rPr>
                <w:rFonts w:cstheme="minorHAnsi"/>
                <w:b/>
                <w:bCs/>
                <w:sz w:val="20"/>
                <w:szCs w:val="20"/>
              </w:rPr>
              <w:t>SoA</w:t>
            </w:r>
          </w:p>
        </w:tc>
        <w:tc>
          <w:tcPr>
            <w:tcW w:w="1289" w:type="pct"/>
            <w:gridSpan w:val="2"/>
            <w:shd w:val="clear" w:color="auto" w:fill="BFBFBF" w:themeFill="background1" w:themeFillShade="BF"/>
            <w:vAlign w:val="center"/>
            <w:hideMark/>
          </w:tcPr>
          <w:p w14:paraId="378BE88D" w14:textId="77777777" w:rsidR="009D0C2E" w:rsidRPr="00B364CB" w:rsidRDefault="009D0C2E" w:rsidP="009D0C2E">
            <w:pPr>
              <w:jc w:val="center"/>
              <w:rPr>
                <w:rFonts w:cstheme="minorHAnsi"/>
                <w:b/>
                <w:bCs/>
                <w:sz w:val="20"/>
                <w:szCs w:val="20"/>
              </w:rPr>
            </w:pPr>
            <w:r w:rsidRPr="00B364CB">
              <w:rPr>
                <w:rFonts w:cstheme="minorHAnsi"/>
                <w:b/>
                <w:bCs/>
                <w:sz w:val="20"/>
                <w:szCs w:val="20"/>
              </w:rPr>
              <w:t>Targets</w:t>
            </w:r>
          </w:p>
        </w:tc>
      </w:tr>
      <w:tr w:rsidR="009D0C2E" w:rsidRPr="00B364CB" w14:paraId="550D2E40" w14:textId="77777777" w:rsidTr="00120F40">
        <w:trPr>
          <w:trHeight w:val="319"/>
        </w:trPr>
        <w:tc>
          <w:tcPr>
            <w:tcW w:w="449" w:type="pct"/>
            <w:vMerge/>
            <w:shd w:val="clear" w:color="auto" w:fill="BFBFBF" w:themeFill="background1" w:themeFillShade="BF"/>
            <w:vAlign w:val="center"/>
            <w:hideMark/>
          </w:tcPr>
          <w:p w14:paraId="013209D5" w14:textId="77777777" w:rsidR="009D0C2E" w:rsidRPr="00B364CB" w:rsidRDefault="009D0C2E" w:rsidP="009D0C2E">
            <w:pPr>
              <w:jc w:val="center"/>
              <w:rPr>
                <w:rFonts w:cstheme="minorHAnsi"/>
                <w:b/>
                <w:bCs/>
                <w:sz w:val="20"/>
                <w:szCs w:val="20"/>
              </w:rPr>
            </w:pPr>
          </w:p>
        </w:tc>
        <w:tc>
          <w:tcPr>
            <w:tcW w:w="1439" w:type="pct"/>
            <w:vMerge/>
            <w:shd w:val="clear" w:color="auto" w:fill="BFBFBF" w:themeFill="background1" w:themeFillShade="BF"/>
            <w:vAlign w:val="center"/>
            <w:hideMark/>
          </w:tcPr>
          <w:p w14:paraId="77AFE87F" w14:textId="77777777" w:rsidR="009D0C2E" w:rsidRPr="00B364CB" w:rsidRDefault="009D0C2E" w:rsidP="009D0C2E">
            <w:pPr>
              <w:jc w:val="center"/>
              <w:rPr>
                <w:rFonts w:cstheme="minorHAnsi"/>
                <w:b/>
                <w:bCs/>
                <w:sz w:val="20"/>
                <w:szCs w:val="20"/>
              </w:rPr>
            </w:pPr>
          </w:p>
        </w:tc>
        <w:tc>
          <w:tcPr>
            <w:tcW w:w="759" w:type="pct"/>
            <w:vMerge/>
            <w:shd w:val="clear" w:color="auto" w:fill="BFBFBF" w:themeFill="background1" w:themeFillShade="BF"/>
            <w:vAlign w:val="center"/>
            <w:hideMark/>
          </w:tcPr>
          <w:p w14:paraId="32775237" w14:textId="77777777" w:rsidR="009D0C2E" w:rsidRPr="00B364CB" w:rsidRDefault="009D0C2E" w:rsidP="009D0C2E">
            <w:pPr>
              <w:jc w:val="center"/>
              <w:rPr>
                <w:rFonts w:cstheme="minorHAnsi"/>
                <w:b/>
                <w:bCs/>
                <w:sz w:val="20"/>
                <w:szCs w:val="20"/>
              </w:rPr>
            </w:pPr>
          </w:p>
        </w:tc>
        <w:tc>
          <w:tcPr>
            <w:tcW w:w="1065" w:type="pct"/>
            <w:shd w:val="clear" w:color="auto" w:fill="BFBFBF" w:themeFill="background1" w:themeFillShade="BF"/>
            <w:vAlign w:val="center"/>
            <w:hideMark/>
          </w:tcPr>
          <w:p w14:paraId="2699D396" w14:textId="77777777" w:rsidR="009D0C2E" w:rsidRPr="00B364CB" w:rsidRDefault="009D0C2E" w:rsidP="009D0C2E">
            <w:pPr>
              <w:jc w:val="center"/>
              <w:rPr>
                <w:rFonts w:cstheme="minorHAnsi"/>
                <w:b/>
                <w:bCs/>
                <w:sz w:val="20"/>
                <w:szCs w:val="20"/>
              </w:rPr>
            </w:pPr>
            <w:r w:rsidRPr="00B364CB">
              <w:rPr>
                <w:rFonts w:cstheme="minorHAnsi"/>
                <w:b/>
                <w:bCs/>
                <w:sz w:val="20"/>
                <w:szCs w:val="20"/>
              </w:rPr>
              <w:t>2020</w:t>
            </w:r>
          </w:p>
        </w:tc>
        <w:tc>
          <w:tcPr>
            <w:tcW w:w="530" w:type="pct"/>
            <w:shd w:val="clear" w:color="auto" w:fill="BFBFBF" w:themeFill="background1" w:themeFillShade="BF"/>
            <w:vAlign w:val="center"/>
            <w:hideMark/>
          </w:tcPr>
          <w:p w14:paraId="7656DF88" w14:textId="77777777" w:rsidR="009D0C2E" w:rsidRPr="00B364CB" w:rsidRDefault="009D0C2E" w:rsidP="009D0C2E">
            <w:pPr>
              <w:jc w:val="center"/>
              <w:rPr>
                <w:rFonts w:cstheme="minorHAnsi"/>
                <w:b/>
                <w:bCs/>
                <w:sz w:val="20"/>
                <w:szCs w:val="20"/>
              </w:rPr>
            </w:pPr>
            <w:r w:rsidRPr="00B364CB">
              <w:rPr>
                <w:rFonts w:cstheme="minorHAnsi"/>
                <w:b/>
                <w:bCs/>
                <w:sz w:val="20"/>
                <w:szCs w:val="20"/>
              </w:rPr>
              <w:t>2024</w:t>
            </w:r>
          </w:p>
        </w:tc>
        <w:tc>
          <w:tcPr>
            <w:tcW w:w="759" w:type="pct"/>
            <w:shd w:val="clear" w:color="auto" w:fill="BFBFBF" w:themeFill="background1" w:themeFillShade="BF"/>
            <w:vAlign w:val="center"/>
            <w:hideMark/>
          </w:tcPr>
          <w:p w14:paraId="7DCA4D87" w14:textId="77777777" w:rsidR="009D0C2E" w:rsidRPr="00B364CB" w:rsidRDefault="009D0C2E" w:rsidP="009D0C2E">
            <w:pPr>
              <w:jc w:val="center"/>
              <w:rPr>
                <w:rFonts w:cstheme="minorHAnsi"/>
                <w:b/>
                <w:bCs/>
                <w:sz w:val="20"/>
                <w:szCs w:val="20"/>
              </w:rPr>
            </w:pPr>
            <w:r w:rsidRPr="00B364CB">
              <w:rPr>
                <w:rFonts w:cstheme="minorHAnsi"/>
                <w:b/>
                <w:bCs/>
                <w:sz w:val="20"/>
                <w:szCs w:val="20"/>
              </w:rPr>
              <w:t>2030</w:t>
            </w:r>
          </w:p>
        </w:tc>
      </w:tr>
      <w:tr w:rsidR="009D0C2E" w:rsidRPr="00B364CB" w14:paraId="19292AF5" w14:textId="77777777" w:rsidTr="00120F40">
        <w:trPr>
          <w:trHeight w:val="593"/>
        </w:trPr>
        <w:tc>
          <w:tcPr>
            <w:tcW w:w="449" w:type="pct"/>
            <w:shd w:val="clear" w:color="auto" w:fill="auto"/>
            <w:vAlign w:val="center"/>
            <w:hideMark/>
          </w:tcPr>
          <w:p w14:paraId="75B430FA" w14:textId="77777777" w:rsidR="009D0C2E" w:rsidRPr="00B364CB" w:rsidRDefault="009D0C2E" w:rsidP="009D0C2E">
            <w:pPr>
              <w:jc w:val="center"/>
              <w:rPr>
                <w:rFonts w:cstheme="minorHAnsi"/>
                <w:bCs/>
                <w:sz w:val="20"/>
                <w:szCs w:val="20"/>
              </w:rPr>
            </w:pPr>
            <w:r w:rsidRPr="00B364CB">
              <w:rPr>
                <w:rFonts w:cstheme="minorHAnsi"/>
                <w:bCs/>
                <w:sz w:val="20"/>
                <w:szCs w:val="20"/>
              </w:rPr>
              <w:t>1</w:t>
            </w:r>
          </w:p>
        </w:tc>
        <w:tc>
          <w:tcPr>
            <w:tcW w:w="1439" w:type="pct"/>
            <w:shd w:val="clear" w:color="auto" w:fill="auto"/>
            <w:vAlign w:val="center"/>
            <w:hideMark/>
          </w:tcPr>
          <w:p w14:paraId="1CC7DDF5" w14:textId="77777777" w:rsidR="009D0C2E" w:rsidRPr="00B364CB" w:rsidRDefault="009D0C2E" w:rsidP="009D0C2E">
            <w:pPr>
              <w:jc w:val="center"/>
              <w:rPr>
                <w:rFonts w:cstheme="minorHAnsi"/>
                <w:bCs/>
                <w:sz w:val="20"/>
                <w:szCs w:val="20"/>
              </w:rPr>
            </w:pPr>
            <w:r w:rsidRPr="00B364CB">
              <w:rPr>
                <w:rFonts w:cstheme="minorHAnsi"/>
                <w:bCs/>
                <w:sz w:val="20"/>
                <w:szCs w:val="20"/>
              </w:rPr>
              <w:t>System carbon yield</w:t>
            </w:r>
          </w:p>
        </w:tc>
        <w:tc>
          <w:tcPr>
            <w:tcW w:w="759" w:type="pct"/>
            <w:shd w:val="clear" w:color="auto" w:fill="auto"/>
            <w:vAlign w:val="center"/>
            <w:hideMark/>
          </w:tcPr>
          <w:p w14:paraId="3A9AD2A7" w14:textId="77777777" w:rsidR="009D0C2E" w:rsidRPr="00B364CB" w:rsidRDefault="009D0C2E" w:rsidP="009D0C2E">
            <w:pPr>
              <w:jc w:val="center"/>
              <w:rPr>
                <w:rFonts w:cstheme="minorHAnsi"/>
                <w:bCs/>
                <w:sz w:val="20"/>
                <w:szCs w:val="20"/>
                <w:vertAlign w:val="subscript"/>
              </w:rPr>
            </w:pPr>
            <w:r w:rsidRPr="00B364CB">
              <w:rPr>
                <w:rFonts w:cstheme="minorHAnsi"/>
                <w:bCs/>
                <w:sz w:val="20"/>
                <w:szCs w:val="20"/>
              </w:rPr>
              <w:t>kg H</w:t>
            </w:r>
            <w:r w:rsidRPr="00B364CB">
              <w:rPr>
                <w:rFonts w:cstheme="minorHAnsi"/>
                <w:bCs/>
                <w:sz w:val="20"/>
                <w:szCs w:val="20"/>
                <w:vertAlign w:val="subscript"/>
              </w:rPr>
              <w:t>2</w:t>
            </w:r>
          </w:p>
          <w:p w14:paraId="6090118E" w14:textId="77777777" w:rsidR="009D0C2E" w:rsidRPr="00B364CB" w:rsidRDefault="009D0C2E" w:rsidP="009D0C2E">
            <w:pPr>
              <w:jc w:val="center"/>
              <w:rPr>
                <w:rFonts w:cstheme="minorHAnsi"/>
                <w:bCs/>
                <w:sz w:val="20"/>
                <w:szCs w:val="20"/>
              </w:rPr>
            </w:pPr>
            <w:r w:rsidRPr="00B364CB">
              <w:rPr>
                <w:rFonts w:cstheme="minorHAnsi"/>
                <w:bCs/>
                <w:sz w:val="20"/>
                <w:szCs w:val="20"/>
              </w:rPr>
              <w:t xml:space="preserve">/ kg COD </w:t>
            </w:r>
          </w:p>
        </w:tc>
        <w:tc>
          <w:tcPr>
            <w:tcW w:w="1065" w:type="pct"/>
            <w:shd w:val="clear" w:color="auto" w:fill="auto"/>
            <w:vAlign w:val="center"/>
          </w:tcPr>
          <w:p w14:paraId="11FE59F8" w14:textId="77777777" w:rsidR="009D0C2E" w:rsidRPr="00B364CB" w:rsidRDefault="009D0C2E" w:rsidP="009D0C2E">
            <w:pPr>
              <w:jc w:val="center"/>
              <w:rPr>
                <w:rFonts w:cstheme="minorHAnsi"/>
                <w:bCs/>
                <w:sz w:val="20"/>
                <w:szCs w:val="20"/>
              </w:rPr>
            </w:pPr>
            <w:r w:rsidRPr="00B364CB">
              <w:rPr>
                <w:rFonts w:cstheme="minorHAnsi"/>
                <w:bCs/>
                <w:sz w:val="20"/>
                <w:szCs w:val="20"/>
              </w:rPr>
              <w:t>0.012</w:t>
            </w:r>
          </w:p>
        </w:tc>
        <w:tc>
          <w:tcPr>
            <w:tcW w:w="530" w:type="pct"/>
            <w:shd w:val="clear" w:color="auto" w:fill="auto"/>
            <w:vAlign w:val="center"/>
            <w:hideMark/>
          </w:tcPr>
          <w:p w14:paraId="65CE295A" w14:textId="77777777" w:rsidR="009D0C2E" w:rsidRPr="00B364CB" w:rsidRDefault="009D0C2E" w:rsidP="009D0C2E">
            <w:pPr>
              <w:jc w:val="center"/>
              <w:rPr>
                <w:rFonts w:cstheme="minorHAnsi"/>
                <w:bCs/>
                <w:sz w:val="20"/>
                <w:szCs w:val="20"/>
              </w:rPr>
            </w:pPr>
            <w:r w:rsidRPr="00B364CB">
              <w:rPr>
                <w:rFonts w:cstheme="minorHAnsi"/>
                <w:bCs/>
                <w:sz w:val="20"/>
                <w:szCs w:val="20"/>
              </w:rPr>
              <w:t>0.015</w:t>
            </w:r>
          </w:p>
        </w:tc>
        <w:tc>
          <w:tcPr>
            <w:tcW w:w="759" w:type="pct"/>
            <w:shd w:val="clear" w:color="auto" w:fill="auto"/>
            <w:vAlign w:val="center"/>
            <w:hideMark/>
          </w:tcPr>
          <w:p w14:paraId="31154C9F" w14:textId="77777777" w:rsidR="009D0C2E" w:rsidRPr="00B364CB" w:rsidRDefault="009D0C2E" w:rsidP="009D0C2E">
            <w:pPr>
              <w:jc w:val="center"/>
              <w:rPr>
                <w:rFonts w:cstheme="minorHAnsi"/>
                <w:bCs/>
                <w:sz w:val="20"/>
                <w:szCs w:val="20"/>
              </w:rPr>
            </w:pPr>
            <w:r w:rsidRPr="00B364CB">
              <w:rPr>
                <w:rFonts w:cstheme="minorHAnsi"/>
                <w:bCs/>
                <w:sz w:val="20"/>
                <w:szCs w:val="20"/>
              </w:rPr>
              <w:t>0.021</w:t>
            </w:r>
          </w:p>
        </w:tc>
      </w:tr>
      <w:tr w:rsidR="009D0C2E" w:rsidRPr="00B364CB" w14:paraId="32FE777E" w14:textId="77777777" w:rsidTr="00120F40">
        <w:trPr>
          <w:trHeight w:val="531"/>
        </w:trPr>
        <w:tc>
          <w:tcPr>
            <w:tcW w:w="449" w:type="pct"/>
            <w:shd w:val="clear" w:color="auto" w:fill="auto"/>
            <w:vAlign w:val="center"/>
            <w:hideMark/>
          </w:tcPr>
          <w:p w14:paraId="5B61BF83" w14:textId="77777777" w:rsidR="009D0C2E" w:rsidRPr="00B364CB" w:rsidRDefault="009D0C2E" w:rsidP="009D0C2E">
            <w:pPr>
              <w:jc w:val="center"/>
              <w:rPr>
                <w:rFonts w:cstheme="minorHAnsi"/>
                <w:bCs/>
                <w:sz w:val="20"/>
                <w:szCs w:val="20"/>
              </w:rPr>
            </w:pPr>
            <w:r w:rsidRPr="00B364CB">
              <w:rPr>
                <w:rFonts w:cstheme="minorHAnsi"/>
                <w:bCs/>
                <w:sz w:val="20"/>
                <w:szCs w:val="20"/>
              </w:rPr>
              <w:t>2</w:t>
            </w:r>
          </w:p>
        </w:tc>
        <w:tc>
          <w:tcPr>
            <w:tcW w:w="1439" w:type="pct"/>
            <w:shd w:val="clear" w:color="auto" w:fill="auto"/>
            <w:vAlign w:val="center"/>
            <w:hideMark/>
          </w:tcPr>
          <w:p w14:paraId="4FFCDB82" w14:textId="77777777" w:rsidR="009D0C2E" w:rsidRPr="00B364CB" w:rsidRDefault="009D0C2E" w:rsidP="009D0C2E">
            <w:pPr>
              <w:jc w:val="center"/>
              <w:rPr>
                <w:rFonts w:cstheme="minorHAnsi"/>
                <w:bCs/>
                <w:sz w:val="20"/>
                <w:szCs w:val="20"/>
              </w:rPr>
            </w:pPr>
            <w:r w:rsidRPr="00B364CB">
              <w:rPr>
                <w:rFonts w:cstheme="minorHAnsi"/>
                <w:bCs/>
                <w:sz w:val="20"/>
                <w:szCs w:val="20"/>
              </w:rPr>
              <w:t>Reactor production rate</w:t>
            </w:r>
          </w:p>
        </w:tc>
        <w:tc>
          <w:tcPr>
            <w:tcW w:w="759" w:type="pct"/>
            <w:shd w:val="clear" w:color="auto" w:fill="auto"/>
            <w:vAlign w:val="center"/>
            <w:hideMark/>
          </w:tcPr>
          <w:p w14:paraId="327DD8AD" w14:textId="02F600D2" w:rsidR="009D0C2E" w:rsidRPr="001A4EFF" w:rsidRDefault="009D0C2E" w:rsidP="009D0C2E">
            <w:pPr>
              <w:jc w:val="center"/>
              <w:rPr>
                <w:rFonts w:cstheme="minorHAnsi"/>
                <w:bCs/>
                <w:sz w:val="20"/>
                <w:szCs w:val="20"/>
                <w:vertAlign w:val="subscript"/>
              </w:rPr>
            </w:pPr>
            <w:r w:rsidRPr="00B364CB">
              <w:rPr>
                <w:rFonts w:cstheme="minorHAnsi"/>
                <w:bCs/>
                <w:sz w:val="20"/>
                <w:szCs w:val="20"/>
              </w:rPr>
              <w:t>kg H</w:t>
            </w:r>
            <w:r w:rsidRPr="00B364CB">
              <w:rPr>
                <w:rFonts w:cstheme="minorHAnsi"/>
                <w:bCs/>
                <w:sz w:val="20"/>
                <w:szCs w:val="20"/>
                <w:vertAlign w:val="subscript"/>
              </w:rPr>
              <w:t>2</w:t>
            </w:r>
            <w:r w:rsidRPr="00B364CB">
              <w:rPr>
                <w:rFonts w:cstheme="minorHAnsi"/>
                <w:bCs/>
                <w:sz w:val="20"/>
                <w:szCs w:val="20"/>
              </w:rPr>
              <w:t>/m</w:t>
            </w:r>
            <w:r>
              <w:rPr>
                <w:rFonts w:cstheme="minorHAnsi"/>
                <w:bCs/>
                <w:sz w:val="20"/>
                <w:szCs w:val="20"/>
              </w:rPr>
              <w:t>³</w:t>
            </w:r>
            <w:r w:rsidR="005A6B51">
              <w:rPr>
                <w:rFonts w:cstheme="minorHAnsi"/>
                <w:bCs/>
                <w:sz w:val="20"/>
                <w:szCs w:val="20"/>
              </w:rPr>
              <w:t>/d</w:t>
            </w:r>
          </w:p>
        </w:tc>
        <w:tc>
          <w:tcPr>
            <w:tcW w:w="1065" w:type="pct"/>
            <w:shd w:val="clear" w:color="auto" w:fill="auto"/>
            <w:vAlign w:val="center"/>
          </w:tcPr>
          <w:p w14:paraId="20EE4582" w14:textId="77777777" w:rsidR="009D0C2E" w:rsidRPr="00B364CB" w:rsidRDefault="009D0C2E" w:rsidP="009D0C2E">
            <w:pPr>
              <w:jc w:val="center"/>
              <w:rPr>
                <w:rFonts w:cstheme="minorHAnsi"/>
                <w:bCs/>
                <w:sz w:val="20"/>
                <w:szCs w:val="20"/>
              </w:rPr>
            </w:pPr>
            <w:r w:rsidRPr="00B364CB">
              <w:rPr>
                <w:rFonts w:cstheme="minorHAnsi"/>
                <w:bCs/>
                <w:sz w:val="20"/>
                <w:szCs w:val="20"/>
              </w:rPr>
              <w:t>7.5</w:t>
            </w:r>
          </w:p>
        </w:tc>
        <w:tc>
          <w:tcPr>
            <w:tcW w:w="530" w:type="pct"/>
            <w:shd w:val="clear" w:color="auto" w:fill="auto"/>
            <w:vAlign w:val="center"/>
            <w:hideMark/>
          </w:tcPr>
          <w:p w14:paraId="6FED4BD7" w14:textId="77777777" w:rsidR="009D0C2E" w:rsidRPr="00B364CB" w:rsidRDefault="009D0C2E" w:rsidP="009D0C2E">
            <w:pPr>
              <w:jc w:val="center"/>
              <w:rPr>
                <w:rFonts w:cstheme="minorHAnsi"/>
                <w:bCs/>
                <w:sz w:val="20"/>
                <w:szCs w:val="20"/>
              </w:rPr>
            </w:pPr>
            <w:r w:rsidRPr="00B364CB">
              <w:rPr>
                <w:rFonts w:cstheme="minorHAnsi"/>
                <w:bCs/>
                <w:sz w:val="20"/>
                <w:szCs w:val="20"/>
              </w:rPr>
              <w:t>15</w:t>
            </w:r>
          </w:p>
        </w:tc>
        <w:tc>
          <w:tcPr>
            <w:tcW w:w="759" w:type="pct"/>
            <w:shd w:val="clear" w:color="auto" w:fill="auto"/>
            <w:vAlign w:val="center"/>
            <w:hideMark/>
          </w:tcPr>
          <w:p w14:paraId="7D83591C" w14:textId="77777777" w:rsidR="009D0C2E" w:rsidRPr="00B364CB" w:rsidRDefault="009D0C2E" w:rsidP="009D0C2E">
            <w:pPr>
              <w:jc w:val="center"/>
              <w:rPr>
                <w:rFonts w:cstheme="minorHAnsi"/>
                <w:bCs/>
                <w:sz w:val="20"/>
                <w:szCs w:val="20"/>
              </w:rPr>
            </w:pPr>
            <w:r w:rsidRPr="00B364CB">
              <w:rPr>
                <w:rFonts w:cstheme="minorHAnsi"/>
                <w:bCs/>
                <w:sz w:val="20"/>
                <w:szCs w:val="20"/>
              </w:rPr>
              <w:t>&gt;15</w:t>
            </w:r>
          </w:p>
        </w:tc>
      </w:tr>
      <w:tr w:rsidR="009D0C2E" w:rsidRPr="00B364CB" w14:paraId="76B174E2" w14:textId="77777777" w:rsidTr="00120F40">
        <w:trPr>
          <w:trHeight w:val="411"/>
        </w:trPr>
        <w:tc>
          <w:tcPr>
            <w:tcW w:w="449" w:type="pct"/>
            <w:shd w:val="clear" w:color="auto" w:fill="auto"/>
            <w:vAlign w:val="center"/>
            <w:hideMark/>
          </w:tcPr>
          <w:p w14:paraId="673ADB09" w14:textId="77777777" w:rsidR="009D0C2E" w:rsidRPr="00B364CB" w:rsidRDefault="009D0C2E" w:rsidP="009D0C2E">
            <w:pPr>
              <w:jc w:val="center"/>
              <w:rPr>
                <w:rFonts w:cstheme="minorHAnsi"/>
                <w:bCs/>
                <w:sz w:val="20"/>
                <w:szCs w:val="20"/>
              </w:rPr>
            </w:pPr>
            <w:r w:rsidRPr="00B364CB">
              <w:rPr>
                <w:rFonts w:cstheme="minorHAnsi"/>
                <w:bCs/>
                <w:sz w:val="20"/>
                <w:szCs w:val="20"/>
              </w:rPr>
              <w:t>3</w:t>
            </w:r>
          </w:p>
        </w:tc>
        <w:tc>
          <w:tcPr>
            <w:tcW w:w="1439" w:type="pct"/>
            <w:shd w:val="clear" w:color="auto" w:fill="auto"/>
            <w:vAlign w:val="center"/>
            <w:hideMark/>
          </w:tcPr>
          <w:p w14:paraId="57F1E64C" w14:textId="77777777" w:rsidR="009D0C2E" w:rsidRPr="00B364CB" w:rsidRDefault="009D0C2E" w:rsidP="009D0C2E">
            <w:pPr>
              <w:jc w:val="center"/>
              <w:rPr>
                <w:rFonts w:cstheme="minorHAnsi"/>
                <w:bCs/>
                <w:sz w:val="20"/>
                <w:szCs w:val="20"/>
              </w:rPr>
            </w:pPr>
            <w:r w:rsidRPr="00B364CB">
              <w:rPr>
                <w:rFonts w:cstheme="minorHAnsi"/>
                <w:bCs/>
                <w:sz w:val="20"/>
                <w:szCs w:val="20"/>
              </w:rPr>
              <w:t>Reactor scale</w:t>
            </w:r>
          </w:p>
        </w:tc>
        <w:tc>
          <w:tcPr>
            <w:tcW w:w="759" w:type="pct"/>
            <w:shd w:val="clear" w:color="auto" w:fill="auto"/>
            <w:vAlign w:val="center"/>
            <w:hideMark/>
          </w:tcPr>
          <w:p w14:paraId="761CDF60" w14:textId="77777777" w:rsidR="009D0C2E" w:rsidRPr="00B364CB" w:rsidRDefault="009D0C2E" w:rsidP="009D0C2E">
            <w:pPr>
              <w:jc w:val="center"/>
              <w:rPr>
                <w:rFonts w:cstheme="minorHAnsi"/>
                <w:bCs/>
                <w:sz w:val="20"/>
                <w:szCs w:val="20"/>
              </w:rPr>
            </w:pPr>
            <w:r w:rsidRPr="00B364CB">
              <w:rPr>
                <w:rFonts w:cstheme="minorHAnsi"/>
                <w:bCs/>
                <w:sz w:val="20"/>
                <w:szCs w:val="20"/>
              </w:rPr>
              <w:t>m³</w:t>
            </w:r>
          </w:p>
        </w:tc>
        <w:tc>
          <w:tcPr>
            <w:tcW w:w="1065" w:type="pct"/>
            <w:shd w:val="clear" w:color="auto" w:fill="auto"/>
            <w:vAlign w:val="center"/>
          </w:tcPr>
          <w:p w14:paraId="4CB26A0C" w14:textId="77777777" w:rsidR="009D0C2E" w:rsidRPr="00B364CB" w:rsidRDefault="009D0C2E" w:rsidP="009D0C2E">
            <w:pPr>
              <w:jc w:val="center"/>
              <w:rPr>
                <w:rFonts w:cstheme="minorHAnsi"/>
                <w:bCs/>
                <w:sz w:val="20"/>
                <w:szCs w:val="20"/>
              </w:rPr>
            </w:pPr>
            <w:r w:rsidRPr="00B364CB">
              <w:rPr>
                <w:rFonts w:cstheme="minorHAnsi"/>
                <w:bCs/>
                <w:sz w:val="20"/>
                <w:szCs w:val="20"/>
              </w:rPr>
              <w:t>3</w:t>
            </w:r>
          </w:p>
        </w:tc>
        <w:tc>
          <w:tcPr>
            <w:tcW w:w="530" w:type="pct"/>
            <w:shd w:val="clear" w:color="auto" w:fill="auto"/>
            <w:vAlign w:val="center"/>
            <w:hideMark/>
          </w:tcPr>
          <w:p w14:paraId="739B3815" w14:textId="77777777" w:rsidR="009D0C2E" w:rsidRPr="00B364CB" w:rsidRDefault="009D0C2E" w:rsidP="009D0C2E">
            <w:pPr>
              <w:jc w:val="center"/>
              <w:rPr>
                <w:rFonts w:cstheme="minorHAnsi"/>
                <w:bCs/>
                <w:sz w:val="20"/>
                <w:szCs w:val="20"/>
              </w:rPr>
            </w:pPr>
            <w:r w:rsidRPr="00B364CB">
              <w:rPr>
                <w:rFonts w:cstheme="minorHAnsi"/>
                <w:bCs/>
                <w:sz w:val="20"/>
                <w:szCs w:val="20"/>
              </w:rPr>
              <w:t>10</w:t>
            </w:r>
          </w:p>
        </w:tc>
        <w:tc>
          <w:tcPr>
            <w:tcW w:w="759" w:type="pct"/>
            <w:shd w:val="clear" w:color="auto" w:fill="auto"/>
            <w:vAlign w:val="center"/>
            <w:hideMark/>
          </w:tcPr>
          <w:p w14:paraId="24C362C9" w14:textId="77777777" w:rsidR="009D0C2E" w:rsidRPr="00B364CB" w:rsidRDefault="009D0C2E" w:rsidP="009D0C2E">
            <w:pPr>
              <w:jc w:val="center"/>
              <w:rPr>
                <w:rFonts w:cstheme="minorHAnsi"/>
                <w:bCs/>
                <w:sz w:val="20"/>
                <w:szCs w:val="20"/>
              </w:rPr>
            </w:pPr>
            <w:r w:rsidRPr="00B364CB">
              <w:rPr>
                <w:rFonts w:cstheme="minorHAnsi"/>
                <w:bCs/>
                <w:sz w:val="20"/>
                <w:szCs w:val="20"/>
              </w:rPr>
              <w:t>100</w:t>
            </w:r>
          </w:p>
        </w:tc>
      </w:tr>
      <w:tr w:rsidR="009D0C2E" w:rsidRPr="00B364CB" w14:paraId="55217206" w14:textId="77777777" w:rsidTr="00120F40">
        <w:trPr>
          <w:trHeight w:val="411"/>
        </w:trPr>
        <w:tc>
          <w:tcPr>
            <w:tcW w:w="449" w:type="pct"/>
            <w:shd w:val="clear" w:color="auto" w:fill="auto"/>
            <w:vAlign w:val="center"/>
          </w:tcPr>
          <w:p w14:paraId="10DE0754" w14:textId="77777777" w:rsidR="009D0C2E" w:rsidRPr="00B364CB" w:rsidRDefault="009D0C2E" w:rsidP="009D0C2E">
            <w:pPr>
              <w:jc w:val="center"/>
              <w:rPr>
                <w:rFonts w:cstheme="minorHAnsi"/>
                <w:bCs/>
                <w:sz w:val="20"/>
                <w:szCs w:val="20"/>
              </w:rPr>
            </w:pPr>
            <w:r w:rsidRPr="00B364CB">
              <w:rPr>
                <w:rFonts w:cs="Arial"/>
                <w:sz w:val="20"/>
                <w:szCs w:val="20"/>
                <w:lang w:eastAsia="en-GB" w:bidi="ar-SA"/>
              </w:rPr>
              <w:t>4</w:t>
            </w:r>
          </w:p>
        </w:tc>
        <w:tc>
          <w:tcPr>
            <w:tcW w:w="1439" w:type="pct"/>
            <w:shd w:val="clear" w:color="auto" w:fill="auto"/>
            <w:vAlign w:val="center"/>
          </w:tcPr>
          <w:p w14:paraId="30CBD37E" w14:textId="77777777" w:rsidR="009D0C2E" w:rsidRPr="00B364CB" w:rsidRDefault="009D0C2E" w:rsidP="009D0C2E">
            <w:pPr>
              <w:jc w:val="center"/>
              <w:rPr>
                <w:rFonts w:cstheme="minorHAnsi"/>
                <w:bCs/>
                <w:sz w:val="20"/>
                <w:szCs w:val="20"/>
              </w:rPr>
            </w:pPr>
            <w:r w:rsidRPr="00B364CB">
              <w:rPr>
                <w:rFonts w:cs="Arial"/>
                <w:sz w:val="20"/>
                <w:szCs w:val="20"/>
                <w:lang w:eastAsia="en-GB" w:bidi="ar-SA"/>
              </w:rPr>
              <w:t>System capital cost</w:t>
            </w:r>
          </w:p>
        </w:tc>
        <w:tc>
          <w:tcPr>
            <w:tcW w:w="759" w:type="pct"/>
            <w:shd w:val="clear" w:color="auto" w:fill="auto"/>
            <w:vAlign w:val="center"/>
          </w:tcPr>
          <w:p w14:paraId="167D6889" w14:textId="77777777" w:rsidR="009D0C2E" w:rsidRPr="00B364CB" w:rsidRDefault="009D0C2E" w:rsidP="009D0C2E">
            <w:pPr>
              <w:jc w:val="center"/>
              <w:rPr>
                <w:rFonts w:cstheme="minorHAnsi"/>
                <w:bCs/>
                <w:sz w:val="20"/>
                <w:szCs w:val="20"/>
              </w:rPr>
            </w:pPr>
            <w:r w:rsidRPr="00B364CB">
              <w:rPr>
                <w:rFonts w:cs="Arial"/>
                <w:sz w:val="20"/>
                <w:szCs w:val="20"/>
                <w:lang w:eastAsia="en-GB" w:bidi="ar-SA"/>
              </w:rPr>
              <w:t>€/(kg/d)</w:t>
            </w:r>
          </w:p>
        </w:tc>
        <w:tc>
          <w:tcPr>
            <w:tcW w:w="1065" w:type="pct"/>
            <w:shd w:val="clear" w:color="auto" w:fill="auto"/>
            <w:vAlign w:val="center"/>
          </w:tcPr>
          <w:p w14:paraId="6420087D" w14:textId="77777777" w:rsidR="009D0C2E" w:rsidRPr="00B364CB" w:rsidRDefault="009D0C2E" w:rsidP="009D0C2E">
            <w:pPr>
              <w:jc w:val="center"/>
              <w:rPr>
                <w:rFonts w:cstheme="minorHAnsi"/>
                <w:bCs/>
                <w:sz w:val="20"/>
                <w:szCs w:val="20"/>
              </w:rPr>
            </w:pPr>
            <w:r w:rsidRPr="00B364CB">
              <w:rPr>
                <w:rFonts w:cs="Arial"/>
                <w:sz w:val="20"/>
                <w:szCs w:val="20"/>
                <w:lang w:eastAsia="en-GB" w:bidi="ar-SA"/>
              </w:rPr>
              <w:t>450</w:t>
            </w:r>
          </w:p>
        </w:tc>
        <w:tc>
          <w:tcPr>
            <w:tcW w:w="530" w:type="pct"/>
            <w:shd w:val="clear" w:color="auto" w:fill="auto"/>
            <w:vAlign w:val="center"/>
          </w:tcPr>
          <w:p w14:paraId="3BF29082" w14:textId="77777777" w:rsidR="009D0C2E" w:rsidRPr="00B364CB" w:rsidRDefault="009D0C2E" w:rsidP="009D0C2E">
            <w:pPr>
              <w:jc w:val="center"/>
              <w:rPr>
                <w:rFonts w:cstheme="minorHAnsi"/>
                <w:bCs/>
                <w:sz w:val="20"/>
                <w:szCs w:val="20"/>
              </w:rPr>
            </w:pPr>
            <w:r w:rsidRPr="00B364CB">
              <w:rPr>
                <w:rFonts w:cs="Arial"/>
                <w:sz w:val="20"/>
                <w:szCs w:val="20"/>
                <w:lang w:eastAsia="en-GB" w:bidi="ar-SA"/>
              </w:rPr>
              <w:t>400</w:t>
            </w:r>
          </w:p>
        </w:tc>
        <w:tc>
          <w:tcPr>
            <w:tcW w:w="759" w:type="pct"/>
            <w:shd w:val="clear" w:color="auto" w:fill="auto"/>
            <w:vAlign w:val="center"/>
          </w:tcPr>
          <w:p w14:paraId="639E90AF" w14:textId="77777777" w:rsidR="009D0C2E" w:rsidRPr="00B364CB" w:rsidRDefault="009D0C2E" w:rsidP="009D0C2E">
            <w:pPr>
              <w:jc w:val="center"/>
              <w:rPr>
                <w:rFonts w:cstheme="minorHAnsi"/>
                <w:bCs/>
                <w:sz w:val="20"/>
                <w:szCs w:val="20"/>
              </w:rPr>
            </w:pPr>
            <w:r w:rsidRPr="00B364CB">
              <w:rPr>
                <w:rFonts w:cs="Arial"/>
                <w:sz w:val="20"/>
                <w:szCs w:val="20"/>
                <w:lang w:eastAsia="en-GB" w:bidi="ar-SA"/>
              </w:rPr>
              <w:t>350</w:t>
            </w:r>
          </w:p>
        </w:tc>
      </w:tr>
      <w:tr w:rsidR="009D0C2E" w:rsidRPr="00B364CB" w14:paraId="0104FF39" w14:textId="77777777" w:rsidTr="00120F40">
        <w:trPr>
          <w:trHeight w:val="411"/>
        </w:trPr>
        <w:tc>
          <w:tcPr>
            <w:tcW w:w="449" w:type="pct"/>
            <w:shd w:val="clear" w:color="auto" w:fill="auto"/>
            <w:vAlign w:val="center"/>
          </w:tcPr>
          <w:p w14:paraId="7F2031F5" w14:textId="77777777" w:rsidR="009D0C2E" w:rsidRPr="00B364CB" w:rsidRDefault="009D0C2E" w:rsidP="009D0C2E">
            <w:pPr>
              <w:jc w:val="center"/>
              <w:rPr>
                <w:rFonts w:cstheme="minorHAnsi"/>
                <w:bCs/>
                <w:sz w:val="20"/>
                <w:szCs w:val="20"/>
              </w:rPr>
            </w:pPr>
            <w:r w:rsidRPr="00B364CB">
              <w:rPr>
                <w:rFonts w:cs="Arial"/>
                <w:sz w:val="20"/>
                <w:szCs w:val="20"/>
                <w:lang w:eastAsia="en-GB" w:bidi="ar-SA"/>
              </w:rPr>
              <w:t>5</w:t>
            </w:r>
          </w:p>
        </w:tc>
        <w:tc>
          <w:tcPr>
            <w:tcW w:w="1439" w:type="pct"/>
            <w:shd w:val="clear" w:color="auto" w:fill="auto"/>
            <w:vAlign w:val="center"/>
          </w:tcPr>
          <w:p w14:paraId="112985C8" w14:textId="77777777" w:rsidR="009D0C2E" w:rsidRPr="00B364CB" w:rsidRDefault="009D0C2E" w:rsidP="009D0C2E">
            <w:pPr>
              <w:jc w:val="center"/>
              <w:rPr>
                <w:rFonts w:cstheme="minorHAnsi"/>
                <w:bCs/>
                <w:sz w:val="20"/>
                <w:szCs w:val="20"/>
              </w:rPr>
            </w:pPr>
            <w:r w:rsidRPr="00B364CB">
              <w:rPr>
                <w:rFonts w:cs="Arial"/>
                <w:sz w:val="20"/>
                <w:szCs w:val="20"/>
                <w:lang w:eastAsia="en-GB" w:bidi="ar-SA"/>
              </w:rPr>
              <w:t>System operational cost</w:t>
            </w:r>
          </w:p>
        </w:tc>
        <w:tc>
          <w:tcPr>
            <w:tcW w:w="759" w:type="pct"/>
            <w:shd w:val="clear" w:color="auto" w:fill="auto"/>
            <w:vAlign w:val="center"/>
          </w:tcPr>
          <w:p w14:paraId="00FE1437" w14:textId="77777777" w:rsidR="009D0C2E" w:rsidRPr="00B364CB" w:rsidRDefault="009D0C2E" w:rsidP="009D0C2E">
            <w:pPr>
              <w:jc w:val="center"/>
              <w:rPr>
                <w:rFonts w:cstheme="minorHAnsi"/>
                <w:bCs/>
                <w:sz w:val="20"/>
                <w:szCs w:val="20"/>
              </w:rPr>
            </w:pPr>
            <w:r w:rsidRPr="00B364CB">
              <w:rPr>
                <w:rFonts w:cs="Arial"/>
                <w:sz w:val="20"/>
                <w:szCs w:val="20"/>
                <w:lang w:eastAsia="en-GB" w:bidi="ar-SA"/>
              </w:rPr>
              <w:t>€/kg</w:t>
            </w:r>
          </w:p>
        </w:tc>
        <w:tc>
          <w:tcPr>
            <w:tcW w:w="1065" w:type="pct"/>
            <w:shd w:val="clear" w:color="auto" w:fill="auto"/>
            <w:vAlign w:val="center"/>
          </w:tcPr>
          <w:p w14:paraId="2E5A2B31" w14:textId="77777777" w:rsidR="009D0C2E" w:rsidRPr="00B364CB" w:rsidRDefault="009D0C2E" w:rsidP="009D0C2E">
            <w:pPr>
              <w:jc w:val="center"/>
              <w:rPr>
                <w:rFonts w:cstheme="minorHAnsi"/>
                <w:bCs/>
                <w:sz w:val="20"/>
                <w:szCs w:val="20"/>
              </w:rPr>
            </w:pPr>
            <w:r w:rsidRPr="00B364CB">
              <w:rPr>
                <w:rFonts w:cs="Arial"/>
                <w:sz w:val="20"/>
                <w:szCs w:val="20"/>
                <w:lang w:eastAsia="en-GB" w:bidi="ar-SA"/>
              </w:rPr>
              <w:t>3.2</w:t>
            </w:r>
          </w:p>
        </w:tc>
        <w:tc>
          <w:tcPr>
            <w:tcW w:w="530" w:type="pct"/>
            <w:shd w:val="clear" w:color="auto" w:fill="auto"/>
            <w:vAlign w:val="center"/>
          </w:tcPr>
          <w:p w14:paraId="5437CCE5" w14:textId="77777777" w:rsidR="009D0C2E" w:rsidRPr="00B364CB" w:rsidRDefault="009D0C2E" w:rsidP="009D0C2E">
            <w:pPr>
              <w:jc w:val="center"/>
              <w:rPr>
                <w:rFonts w:cstheme="minorHAnsi"/>
                <w:bCs/>
                <w:sz w:val="20"/>
                <w:szCs w:val="20"/>
              </w:rPr>
            </w:pPr>
            <w:r w:rsidRPr="00B364CB">
              <w:rPr>
                <w:rFonts w:cstheme="minorHAnsi"/>
                <w:bCs/>
                <w:sz w:val="20"/>
                <w:szCs w:val="20"/>
              </w:rPr>
              <w:t>3</w:t>
            </w:r>
          </w:p>
        </w:tc>
        <w:tc>
          <w:tcPr>
            <w:tcW w:w="759" w:type="pct"/>
            <w:shd w:val="clear" w:color="auto" w:fill="auto"/>
            <w:vAlign w:val="center"/>
          </w:tcPr>
          <w:p w14:paraId="7BBC4737" w14:textId="77777777" w:rsidR="009D0C2E" w:rsidRPr="00B364CB" w:rsidRDefault="009D0C2E" w:rsidP="009D0C2E">
            <w:pPr>
              <w:jc w:val="center"/>
              <w:rPr>
                <w:rFonts w:cstheme="minorHAnsi"/>
                <w:bCs/>
                <w:sz w:val="20"/>
                <w:szCs w:val="20"/>
              </w:rPr>
            </w:pPr>
            <w:r w:rsidRPr="00B364CB">
              <w:rPr>
                <w:rFonts w:cs="Arial"/>
                <w:sz w:val="20"/>
                <w:szCs w:val="20"/>
                <w:lang w:eastAsia="en-GB" w:bidi="ar-SA"/>
              </w:rPr>
              <w:t>2.5</w:t>
            </w:r>
          </w:p>
        </w:tc>
      </w:tr>
    </w:tbl>
    <w:p w14:paraId="37BFD319" w14:textId="77777777" w:rsidR="009D0C2E" w:rsidRPr="00B364CB" w:rsidRDefault="009D0C2E" w:rsidP="009D0C2E">
      <w:pPr>
        <w:jc w:val="both"/>
        <w:rPr>
          <w:rFonts w:cstheme="minorHAnsi"/>
          <w:iCs/>
          <w:color w:val="auto"/>
          <w:sz w:val="16"/>
          <w:szCs w:val="16"/>
        </w:rPr>
      </w:pPr>
    </w:p>
    <w:p w14:paraId="5512320F"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361755CC" w14:textId="5C5B75B0"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KPI-1: System carbon yield: Kg H</w:t>
      </w:r>
      <w:r w:rsidRPr="00B364CB">
        <w:rPr>
          <w:rFonts w:cstheme="minorHAnsi"/>
          <w:iCs/>
          <w:color w:val="auto"/>
          <w:sz w:val="16"/>
          <w:szCs w:val="16"/>
          <w:vertAlign w:val="subscript"/>
        </w:rPr>
        <w:t>2</w:t>
      </w:r>
      <w:r w:rsidRPr="00B364CB">
        <w:rPr>
          <w:rFonts w:cstheme="minorHAnsi"/>
          <w:iCs/>
          <w:color w:val="auto"/>
          <w:sz w:val="16"/>
          <w:szCs w:val="16"/>
        </w:rPr>
        <w:t xml:space="preserve"> obtained from biomass fed to the reactor expressed in Kg COD (Chemical Oxygen Demand). Max theoretically obtainable is 0</w:t>
      </w:r>
      <w:r w:rsidR="00B264A8">
        <w:rPr>
          <w:rFonts w:cstheme="minorHAnsi"/>
          <w:iCs/>
          <w:color w:val="auto"/>
          <w:sz w:val="16"/>
          <w:szCs w:val="16"/>
        </w:rPr>
        <w:t>.</w:t>
      </w:r>
      <w:r w:rsidRPr="00B364CB">
        <w:rPr>
          <w:rFonts w:cstheme="minorHAnsi"/>
          <w:iCs/>
          <w:color w:val="auto"/>
          <w:sz w:val="16"/>
          <w:szCs w:val="16"/>
        </w:rPr>
        <w:t>041 KgH</w:t>
      </w:r>
      <w:r w:rsidRPr="00B364CB">
        <w:rPr>
          <w:rFonts w:cstheme="minorHAnsi"/>
          <w:iCs/>
          <w:color w:val="auto"/>
          <w:sz w:val="16"/>
          <w:szCs w:val="16"/>
          <w:vertAlign w:val="subscript"/>
        </w:rPr>
        <w:t>2</w:t>
      </w:r>
      <w:r w:rsidRPr="00B364CB">
        <w:rPr>
          <w:rFonts w:cstheme="minorHAnsi"/>
          <w:iCs/>
          <w:color w:val="auto"/>
          <w:sz w:val="16"/>
          <w:szCs w:val="16"/>
        </w:rPr>
        <w:t>/kg.</w:t>
      </w:r>
    </w:p>
    <w:p w14:paraId="38433F9D"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KPI-2: kg H</w:t>
      </w:r>
      <w:r w:rsidRPr="00E4788A">
        <w:rPr>
          <w:rFonts w:cstheme="minorHAnsi"/>
          <w:iCs/>
          <w:color w:val="auto"/>
          <w:sz w:val="16"/>
          <w:szCs w:val="16"/>
          <w:vertAlign w:val="subscript"/>
        </w:rPr>
        <w:t xml:space="preserve">2 </w:t>
      </w:r>
      <w:r w:rsidRPr="00B364CB">
        <w:rPr>
          <w:rFonts w:cstheme="minorHAnsi"/>
          <w:iCs/>
          <w:color w:val="auto"/>
          <w:sz w:val="16"/>
          <w:szCs w:val="16"/>
        </w:rPr>
        <w:t>produced per day per m</w:t>
      </w:r>
      <w:r w:rsidRPr="00E4788A">
        <w:rPr>
          <w:rFonts w:cstheme="minorHAnsi"/>
          <w:iCs/>
          <w:color w:val="auto"/>
          <w:sz w:val="16"/>
          <w:szCs w:val="16"/>
          <w:vertAlign w:val="superscript"/>
        </w:rPr>
        <w:t>3</w:t>
      </w:r>
      <w:r w:rsidRPr="00B364CB">
        <w:rPr>
          <w:rFonts w:cstheme="minorHAnsi"/>
          <w:iCs/>
          <w:color w:val="auto"/>
          <w:sz w:val="16"/>
          <w:szCs w:val="16"/>
        </w:rPr>
        <w:t xml:space="preserve"> of reactor volume</w:t>
      </w:r>
    </w:p>
    <w:p w14:paraId="06EC2EF9" w14:textId="6FEAF64F"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KPI-3: </w:t>
      </w:r>
      <w:r w:rsidR="007C571E">
        <w:rPr>
          <w:rFonts w:cstheme="minorHAnsi"/>
          <w:iCs/>
          <w:color w:val="auto"/>
          <w:sz w:val="16"/>
          <w:szCs w:val="16"/>
        </w:rPr>
        <w:t>R</w:t>
      </w:r>
      <w:r w:rsidRPr="00B364CB">
        <w:rPr>
          <w:rFonts w:cstheme="minorHAnsi"/>
          <w:iCs/>
          <w:color w:val="auto"/>
          <w:sz w:val="16"/>
          <w:szCs w:val="16"/>
        </w:rPr>
        <w:t>eactor size measured in m</w:t>
      </w:r>
      <w:r w:rsidRPr="00E4788A">
        <w:rPr>
          <w:rFonts w:cstheme="minorHAnsi"/>
          <w:iCs/>
          <w:color w:val="auto"/>
          <w:sz w:val="16"/>
          <w:szCs w:val="16"/>
          <w:vertAlign w:val="superscript"/>
        </w:rPr>
        <w:t>3</w:t>
      </w:r>
      <w:r w:rsidRPr="00B364CB">
        <w:rPr>
          <w:rFonts w:cstheme="minorHAnsi"/>
          <w:iCs/>
          <w:color w:val="auto"/>
          <w:sz w:val="16"/>
          <w:szCs w:val="16"/>
        </w:rPr>
        <w:t xml:space="preserve"> of fermenter</w:t>
      </w:r>
    </w:p>
    <w:p w14:paraId="2DD2BE21" w14:textId="69F7D0C8"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KP-4: </w:t>
      </w:r>
      <w:r w:rsidR="007C571E">
        <w:rPr>
          <w:rFonts w:cstheme="minorHAnsi"/>
          <w:iCs/>
          <w:color w:val="auto"/>
          <w:sz w:val="16"/>
          <w:szCs w:val="16"/>
        </w:rPr>
        <w:t>C</w:t>
      </w:r>
      <w:r w:rsidRPr="00B364CB">
        <w:rPr>
          <w:rFonts w:cstheme="minorHAnsi"/>
          <w:iCs/>
          <w:color w:val="auto"/>
          <w:sz w:val="16"/>
          <w:szCs w:val="16"/>
        </w:rPr>
        <w:t>apital cost of plant divided by the nominal hydrogen production. Capital cost includes all the cost related to all the equipment necessary for the normal operation of the plant. Based on an estimated production of 949,200 m</w:t>
      </w:r>
      <w:r w:rsidRPr="00E4788A">
        <w:rPr>
          <w:rFonts w:cstheme="minorHAnsi"/>
          <w:iCs/>
          <w:color w:val="auto"/>
          <w:sz w:val="16"/>
          <w:szCs w:val="16"/>
          <w:vertAlign w:val="superscript"/>
        </w:rPr>
        <w:t>3</w:t>
      </w:r>
      <w:r w:rsidRPr="00B364CB">
        <w:rPr>
          <w:rFonts w:cstheme="minorHAnsi"/>
          <w:iCs/>
          <w:color w:val="auto"/>
          <w:sz w:val="16"/>
          <w:szCs w:val="16"/>
        </w:rPr>
        <w:t xml:space="preserve"> H</w:t>
      </w:r>
      <w:r w:rsidRPr="00E4788A">
        <w:rPr>
          <w:rFonts w:cstheme="minorHAnsi"/>
          <w:iCs/>
          <w:color w:val="auto"/>
          <w:sz w:val="16"/>
          <w:szCs w:val="16"/>
          <w:vertAlign w:val="subscript"/>
        </w:rPr>
        <w:t>2</w:t>
      </w:r>
      <w:r w:rsidRPr="00B364CB">
        <w:rPr>
          <w:rFonts w:cstheme="minorHAnsi"/>
          <w:iCs/>
          <w:color w:val="auto"/>
          <w:sz w:val="16"/>
          <w:szCs w:val="16"/>
        </w:rPr>
        <w:t xml:space="preserve"> per year, therefore the capacity of the reference plant is 232 kg H</w:t>
      </w:r>
      <w:r w:rsidRPr="00E4788A">
        <w:rPr>
          <w:rFonts w:cstheme="minorHAnsi"/>
          <w:iCs/>
          <w:color w:val="auto"/>
          <w:sz w:val="16"/>
          <w:szCs w:val="16"/>
          <w:vertAlign w:val="subscript"/>
        </w:rPr>
        <w:t>2</w:t>
      </w:r>
      <w:r w:rsidRPr="00B364CB">
        <w:rPr>
          <w:rFonts w:cstheme="minorHAnsi"/>
          <w:iCs/>
          <w:color w:val="auto"/>
          <w:sz w:val="16"/>
          <w:szCs w:val="16"/>
        </w:rPr>
        <w:t>/d.</w:t>
      </w:r>
    </w:p>
    <w:p w14:paraId="08D4D042" w14:textId="07C904A8"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KPI-5: </w:t>
      </w:r>
      <w:r w:rsidR="007C571E">
        <w:rPr>
          <w:rFonts w:cstheme="minorHAnsi"/>
          <w:iCs/>
          <w:color w:val="auto"/>
          <w:sz w:val="16"/>
          <w:szCs w:val="16"/>
        </w:rPr>
        <w:t>O</w:t>
      </w:r>
      <w:r w:rsidRPr="00B364CB">
        <w:rPr>
          <w:rFonts w:cstheme="minorHAnsi"/>
          <w:iCs/>
          <w:color w:val="auto"/>
          <w:sz w:val="16"/>
          <w:szCs w:val="16"/>
        </w:rPr>
        <w:t>peration and maintenance cost averaged over the first 10 years of the system. Routine maintenance and "wear and tear" (rotating parts, cleaning of equipment...) considering a lifespan of 20 years. Costs such as water use, personnel and chemicals are included. The fermenter size is assumed as 200 m</w:t>
      </w:r>
      <w:r w:rsidRPr="00E4788A">
        <w:rPr>
          <w:rFonts w:cstheme="minorHAnsi"/>
          <w:iCs/>
          <w:color w:val="auto"/>
          <w:sz w:val="16"/>
          <w:szCs w:val="16"/>
          <w:vertAlign w:val="superscript"/>
        </w:rPr>
        <w:t>3</w:t>
      </w:r>
      <w:r w:rsidRPr="00B364CB">
        <w:rPr>
          <w:rFonts w:cstheme="minorHAnsi"/>
          <w:iCs/>
          <w:color w:val="auto"/>
          <w:sz w:val="16"/>
          <w:szCs w:val="16"/>
        </w:rPr>
        <w:t>, treating 100 tons of food waste per day.</w:t>
      </w:r>
    </w:p>
    <w:p w14:paraId="67462667" w14:textId="77777777" w:rsidR="009D0C2E" w:rsidRPr="00B364CB" w:rsidRDefault="009D0C2E" w:rsidP="009D0C2E">
      <w:pPr>
        <w:rPr>
          <w:lang w:bidi="ar-SA"/>
        </w:rPr>
      </w:pPr>
    </w:p>
    <w:p w14:paraId="093C20A0" w14:textId="27128D8F" w:rsidR="009D0C2E" w:rsidRPr="00B364CB" w:rsidRDefault="009D0C2E" w:rsidP="009D0C2E">
      <w:pPr>
        <w:pStyle w:val="Caption"/>
        <w:rPr>
          <w:rFonts w:ascii="Calibri" w:hAnsi="Calibri"/>
          <w:b/>
          <w:bCs/>
          <w:szCs w:val="22"/>
          <w:lang w:eastAsia="en-GB"/>
        </w:rPr>
      </w:pPr>
      <w:r w:rsidRPr="00B364CB">
        <w:rPr>
          <w:sz w:val="24"/>
        </w:rPr>
        <w:t xml:space="preserve">Table </w:t>
      </w:r>
      <w:r w:rsidRPr="00B364CB">
        <w:rPr>
          <w:i w:val="0"/>
          <w:iCs w:val="0"/>
          <w:sz w:val="24"/>
        </w:rPr>
        <w:fldChar w:fldCharType="begin"/>
      </w:r>
      <w:r w:rsidRPr="00B364CB">
        <w:rPr>
          <w:sz w:val="24"/>
        </w:rPr>
        <w:instrText xml:space="preserve"> SEQ Table \* ARABIC </w:instrText>
      </w:r>
      <w:r w:rsidRPr="00B364CB">
        <w:rPr>
          <w:i w:val="0"/>
          <w:iCs w:val="0"/>
          <w:sz w:val="24"/>
        </w:rPr>
        <w:fldChar w:fldCharType="separate"/>
      </w:r>
      <w:r w:rsidR="00797920">
        <w:rPr>
          <w:noProof/>
          <w:sz w:val="24"/>
        </w:rPr>
        <w:t>9</w:t>
      </w:r>
      <w:r w:rsidRPr="00B364CB">
        <w:rPr>
          <w:i w:val="0"/>
          <w:iCs w:val="0"/>
          <w:sz w:val="24"/>
        </w:rPr>
        <w:fldChar w:fldCharType="end"/>
      </w:r>
      <w:r w:rsidRPr="00B364CB">
        <w:rPr>
          <w:i w:val="0"/>
          <w:iCs w:val="0"/>
          <w:sz w:val="24"/>
        </w:rPr>
        <w:t>:</w:t>
      </w:r>
      <w:r w:rsidRPr="00B364CB">
        <w:rPr>
          <w:sz w:val="24"/>
        </w:rPr>
        <w:t xml:space="preserve"> KPIs for solar thermal production</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7"/>
        <w:gridCol w:w="3527"/>
        <w:gridCol w:w="1469"/>
        <w:gridCol w:w="1177"/>
        <w:gridCol w:w="1031"/>
        <w:gridCol w:w="1029"/>
      </w:tblGrid>
      <w:tr w:rsidR="009D0C2E" w:rsidRPr="00B364CB" w14:paraId="1A492AE4" w14:textId="77777777" w:rsidTr="00120F40">
        <w:trPr>
          <w:trHeight w:val="375"/>
          <w:jc w:val="center"/>
        </w:trPr>
        <w:tc>
          <w:tcPr>
            <w:tcW w:w="481" w:type="pct"/>
            <w:vMerge w:val="restart"/>
            <w:shd w:val="clear" w:color="auto" w:fill="BFBFBF" w:themeFill="background1" w:themeFillShade="BF"/>
            <w:vAlign w:val="center"/>
            <w:hideMark/>
          </w:tcPr>
          <w:p w14:paraId="62BC607B" w14:textId="77777777" w:rsidR="009D0C2E" w:rsidRPr="00B364CB" w:rsidRDefault="009D0C2E" w:rsidP="009D0C2E">
            <w:pPr>
              <w:jc w:val="center"/>
              <w:rPr>
                <w:rFonts w:cstheme="minorHAnsi"/>
                <w:b/>
                <w:bCs/>
                <w:sz w:val="20"/>
                <w:szCs w:val="20"/>
              </w:rPr>
            </w:pPr>
            <w:r w:rsidRPr="00B364CB">
              <w:rPr>
                <w:rFonts w:cstheme="minorHAnsi"/>
                <w:b/>
                <w:bCs/>
                <w:sz w:val="20"/>
                <w:szCs w:val="20"/>
              </w:rPr>
              <w:t>No</w:t>
            </w:r>
          </w:p>
        </w:tc>
        <w:tc>
          <w:tcPr>
            <w:tcW w:w="1936" w:type="pct"/>
            <w:vMerge w:val="restart"/>
            <w:shd w:val="clear" w:color="auto" w:fill="BFBFBF" w:themeFill="background1" w:themeFillShade="BF"/>
            <w:vAlign w:val="center"/>
            <w:hideMark/>
          </w:tcPr>
          <w:p w14:paraId="6FCE3E06" w14:textId="77777777" w:rsidR="009D0C2E" w:rsidRPr="00B364CB" w:rsidRDefault="009D0C2E" w:rsidP="009D0C2E">
            <w:pPr>
              <w:jc w:val="center"/>
              <w:rPr>
                <w:rFonts w:cstheme="minorHAnsi"/>
                <w:b/>
                <w:bCs/>
                <w:sz w:val="20"/>
                <w:szCs w:val="20"/>
              </w:rPr>
            </w:pPr>
            <w:r w:rsidRPr="00B364CB">
              <w:rPr>
                <w:rFonts w:cstheme="minorHAnsi"/>
                <w:b/>
                <w:bCs/>
                <w:sz w:val="20"/>
                <w:szCs w:val="20"/>
              </w:rPr>
              <w:t>Parameter</w:t>
            </w:r>
          </w:p>
        </w:tc>
        <w:tc>
          <w:tcPr>
            <w:tcW w:w="806" w:type="pct"/>
            <w:vMerge w:val="restart"/>
            <w:shd w:val="clear" w:color="auto" w:fill="BFBFBF" w:themeFill="background1" w:themeFillShade="BF"/>
            <w:vAlign w:val="center"/>
            <w:hideMark/>
          </w:tcPr>
          <w:p w14:paraId="562E693C" w14:textId="77777777" w:rsidR="009D0C2E" w:rsidRPr="00B364CB" w:rsidRDefault="009D0C2E" w:rsidP="009D0C2E">
            <w:pPr>
              <w:jc w:val="center"/>
              <w:rPr>
                <w:rFonts w:cstheme="minorHAnsi"/>
                <w:b/>
                <w:bCs/>
                <w:sz w:val="20"/>
                <w:szCs w:val="20"/>
              </w:rPr>
            </w:pPr>
            <w:r w:rsidRPr="00B364CB">
              <w:rPr>
                <w:rFonts w:cstheme="minorHAnsi"/>
                <w:b/>
                <w:bCs/>
                <w:sz w:val="20"/>
                <w:szCs w:val="20"/>
              </w:rPr>
              <w:t>Unit</w:t>
            </w:r>
          </w:p>
        </w:tc>
        <w:tc>
          <w:tcPr>
            <w:tcW w:w="646" w:type="pct"/>
            <w:shd w:val="clear" w:color="auto" w:fill="BFBFBF" w:themeFill="background1" w:themeFillShade="BF"/>
            <w:vAlign w:val="center"/>
            <w:hideMark/>
          </w:tcPr>
          <w:p w14:paraId="4D8802C8" w14:textId="77777777" w:rsidR="009D0C2E" w:rsidRPr="00B364CB" w:rsidRDefault="009D0C2E" w:rsidP="009D0C2E">
            <w:pPr>
              <w:jc w:val="center"/>
              <w:rPr>
                <w:rFonts w:cstheme="minorHAnsi"/>
                <w:b/>
                <w:bCs/>
                <w:sz w:val="20"/>
                <w:szCs w:val="20"/>
              </w:rPr>
            </w:pPr>
            <w:r w:rsidRPr="00B364CB">
              <w:rPr>
                <w:rFonts w:cstheme="minorHAnsi"/>
                <w:b/>
                <w:bCs/>
                <w:sz w:val="20"/>
                <w:szCs w:val="20"/>
              </w:rPr>
              <w:t>SoA</w:t>
            </w:r>
          </w:p>
        </w:tc>
        <w:tc>
          <w:tcPr>
            <w:tcW w:w="1131" w:type="pct"/>
            <w:gridSpan w:val="2"/>
            <w:shd w:val="clear" w:color="auto" w:fill="BFBFBF" w:themeFill="background1" w:themeFillShade="BF"/>
            <w:vAlign w:val="center"/>
            <w:hideMark/>
          </w:tcPr>
          <w:p w14:paraId="75DF8047" w14:textId="77777777" w:rsidR="009D0C2E" w:rsidRPr="00B364CB" w:rsidRDefault="009D0C2E" w:rsidP="009D0C2E">
            <w:pPr>
              <w:jc w:val="center"/>
              <w:rPr>
                <w:rFonts w:cstheme="minorHAnsi"/>
                <w:b/>
                <w:bCs/>
                <w:sz w:val="20"/>
                <w:szCs w:val="20"/>
              </w:rPr>
            </w:pPr>
            <w:r w:rsidRPr="00B364CB">
              <w:rPr>
                <w:rFonts w:cstheme="minorHAnsi"/>
                <w:b/>
                <w:bCs/>
                <w:sz w:val="20"/>
                <w:szCs w:val="20"/>
              </w:rPr>
              <w:t>Targets</w:t>
            </w:r>
          </w:p>
        </w:tc>
      </w:tr>
      <w:tr w:rsidR="009D0C2E" w:rsidRPr="00B364CB" w14:paraId="628F079B" w14:textId="77777777" w:rsidTr="00120F40">
        <w:trPr>
          <w:trHeight w:val="375"/>
          <w:jc w:val="center"/>
        </w:trPr>
        <w:tc>
          <w:tcPr>
            <w:tcW w:w="481" w:type="pct"/>
            <w:vMerge/>
            <w:shd w:val="clear" w:color="auto" w:fill="BFBFBF" w:themeFill="background1" w:themeFillShade="BF"/>
            <w:vAlign w:val="center"/>
            <w:hideMark/>
          </w:tcPr>
          <w:p w14:paraId="03FF337D" w14:textId="77777777" w:rsidR="009D0C2E" w:rsidRPr="00B364CB" w:rsidRDefault="009D0C2E" w:rsidP="009D0C2E">
            <w:pPr>
              <w:jc w:val="center"/>
              <w:rPr>
                <w:rFonts w:cstheme="minorHAnsi"/>
                <w:b/>
                <w:bCs/>
                <w:sz w:val="20"/>
                <w:szCs w:val="20"/>
              </w:rPr>
            </w:pPr>
          </w:p>
        </w:tc>
        <w:tc>
          <w:tcPr>
            <w:tcW w:w="1936" w:type="pct"/>
            <w:vMerge/>
            <w:shd w:val="clear" w:color="auto" w:fill="BFBFBF" w:themeFill="background1" w:themeFillShade="BF"/>
            <w:vAlign w:val="center"/>
            <w:hideMark/>
          </w:tcPr>
          <w:p w14:paraId="706700E6" w14:textId="77777777" w:rsidR="009D0C2E" w:rsidRPr="00B364CB" w:rsidRDefault="009D0C2E" w:rsidP="009D0C2E">
            <w:pPr>
              <w:jc w:val="center"/>
              <w:rPr>
                <w:rFonts w:cstheme="minorHAnsi"/>
                <w:b/>
                <w:bCs/>
                <w:sz w:val="20"/>
                <w:szCs w:val="20"/>
              </w:rPr>
            </w:pPr>
          </w:p>
        </w:tc>
        <w:tc>
          <w:tcPr>
            <w:tcW w:w="806" w:type="pct"/>
            <w:vMerge/>
            <w:shd w:val="clear" w:color="auto" w:fill="BFBFBF" w:themeFill="background1" w:themeFillShade="BF"/>
            <w:vAlign w:val="center"/>
            <w:hideMark/>
          </w:tcPr>
          <w:p w14:paraId="3A9A6420" w14:textId="77777777" w:rsidR="009D0C2E" w:rsidRPr="00B364CB" w:rsidRDefault="009D0C2E" w:rsidP="009D0C2E">
            <w:pPr>
              <w:jc w:val="center"/>
              <w:rPr>
                <w:rFonts w:cstheme="minorHAnsi"/>
                <w:b/>
                <w:bCs/>
                <w:sz w:val="20"/>
                <w:szCs w:val="20"/>
              </w:rPr>
            </w:pPr>
          </w:p>
        </w:tc>
        <w:tc>
          <w:tcPr>
            <w:tcW w:w="646" w:type="pct"/>
            <w:shd w:val="clear" w:color="auto" w:fill="BFBFBF" w:themeFill="background1" w:themeFillShade="BF"/>
            <w:vAlign w:val="center"/>
            <w:hideMark/>
          </w:tcPr>
          <w:p w14:paraId="5000011B" w14:textId="77777777" w:rsidR="009D0C2E" w:rsidRPr="00B364CB" w:rsidRDefault="009D0C2E" w:rsidP="009D0C2E">
            <w:pPr>
              <w:jc w:val="center"/>
              <w:rPr>
                <w:rFonts w:cstheme="minorHAnsi"/>
                <w:b/>
                <w:bCs/>
                <w:sz w:val="20"/>
                <w:szCs w:val="20"/>
              </w:rPr>
            </w:pPr>
            <w:r w:rsidRPr="00B364CB">
              <w:rPr>
                <w:rFonts w:cstheme="minorHAnsi"/>
                <w:b/>
                <w:bCs/>
                <w:sz w:val="20"/>
                <w:szCs w:val="20"/>
              </w:rPr>
              <w:t>2020</w:t>
            </w:r>
          </w:p>
        </w:tc>
        <w:tc>
          <w:tcPr>
            <w:tcW w:w="566" w:type="pct"/>
            <w:shd w:val="clear" w:color="auto" w:fill="BFBFBF" w:themeFill="background1" w:themeFillShade="BF"/>
            <w:vAlign w:val="center"/>
            <w:hideMark/>
          </w:tcPr>
          <w:p w14:paraId="2B374EB6" w14:textId="77777777" w:rsidR="009D0C2E" w:rsidRPr="00B364CB" w:rsidRDefault="009D0C2E" w:rsidP="009D0C2E">
            <w:pPr>
              <w:jc w:val="center"/>
              <w:rPr>
                <w:rFonts w:cstheme="minorHAnsi"/>
                <w:b/>
                <w:bCs/>
                <w:sz w:val="20"/>
                <w:szCs w:val="20"/>
              </w:rPr>
            </w:pPr>
            <w:r w:rsidRPr="00B364CB">
              <w:rPr>
                <w:rFonts w:cstheme="minorHAnsi"/>
                <w:b/>
                <w:bCs/>
                <w:sz w:val="20"/>
                <w:szCs w:val="20"/>
              </w:rPr>
              <w:t>2024</w:t>
            </w:r>
          </w:p>
        </w:tc>
        <w:tc>
          <w:tcPr>
            <w:tcW w:w="565" w:type="pct"/>
            <w:shd w:val="clear" w:color="auto" w:fill="BFBFBF" w:themeFill="background1" w:themeFillShade="BF"/>
            <w:vAlign w:val="center"/>
            <w:hideMark/>
          </w:tcPr>
          <w:p w14:paraId="03D37729" w14:textId="77777777" w:rsidR="009D0C2E" w:rsidRPr="00B364CB" w:rsidRDefault="009D0C2E" w:rsidP="009D0C2E">
            <w:pPr>
              <w:jc w:val="center"/>
              <w:rPr>
                <w:rFonts w:cstheme="minorHAnsi"/>
                <w:b/>
                <w:bCs/>
                <w:sz w:val="20"/>
                <w:szCs w:val="20"/>
              </w:rPr>
            </w:pPr>
            <w:r w:rsidRPr="00B364CB">
              <w:rPr>
                <w:rFonts w:cstheme="minorHAnsi"/>
                <w:b/>
                <w:bCs/>
                <w:sz w:val="20"/>
                <w:szCs w:val="20"/>
              </w:rPr>
              <w:t>2030</w:t>
            </w:r>
          </w:p>
        </w:tc>
      </w:tr>
      <w:tr w:rsidR="009D0C2E" w:rsidRPr="00B364CB" w14:paraId="5116DC0D" w14:textId="77777777" w:rsidTr="00120F40">
        <w:trPr>
          <w:trHeight w:val="505"/>
          <w:jc w:val="center"/>
        </w:trPr>
        <w:tc>
          <w:tcPr>
            <w:tcW w:w="481" w:type="pct"/>
            <w:shd w:val="clear" w:color="auto" w:fill="auto"/>
            <w:vAlign w:val="center"/>
            <w:hideMark/>
          </w:tcPr>
          <w:p w14:paraId="2423A97D" w14:textId="77777777" w:rsidR="009D0C2E" w:rsidRPr="00B364CB" w:rsidRDefault="009D0C2E" w:rsidP="009D0C2E">
            <w:pPr>
              <w:jc w:val="center"/>
              <w:rPr>
                <w:rFonts w:cstheme="minorHAnsi"/>
                <w:sz w:val="20"/>
                <w:szCs w:val="20"/>
              </w:rPr>
            </w:pPr>
            <w:r w:rsidRPr="00B364CB">
              <w:rPr>
                <w:rFonts w:cstheme="minorHAnsi"/>
                <w:sz w:val="20"/>
                <w:szCs w:val="20"/>
              </w:rPr>
              <w:t>1</w:t>
            </w:r>
          </w:p>
        </w:tc>
        <w:tc>
          <w:tcPr>
            <w:tcW w:w="1936" w:type="pct"/>
            <w:shd w:val="clear" w:color="auto" w:fill="auto"/>
            <w:vAlign w:val="center"/>
            <w:hideMark/>
          </w:tcPr>
          <w:p w14:paraId="0729F4A2" w14:textId="77777777" w:rsidR="009D0C2E" w:rsidRPr="00B364CB" w:rsidRDefault="009D0C2E" w:rsidP="009D0C2E">
            <w:pPr>
              <w:jc w:val="center"/>
              <w:rPr>
                <w:rFonts w:cstheme="minorHAnsi"/>
                <w:sz w:val="20"/>
                <w:szCs w:val="20"/>
              </w:rPr>
            </w:pPr>
            <w:r w:rsidRPr="00B364CB">
              <w:rPr>
                <w:rFonts w:cstheme="minorHAnsi"/>
                <w:sz w:val="20"/>
                <w:szCs w:val="20"/>
              </w:rPr>
              <w:t>Hydrogen production rate</w:t>
            </w:r>
            <w:r w:rsidRPr="00B364CB">
              <w:rPr>
                <w:sz w:val="24"/>
              </w:rPr>
              <w:t>*</w:t>
            </w:r>
          </w:p>
        </w:tc>
        <w:tc>
          <w:tcPr>
            <w:tcW w:w="806" w:type="pct"/>
            <w:shd w:val="clear" w:color="auto" w:fill="auto"/>
            <w:vAlign w:val="center"/>
            <w:hideMark/>
          </w:tcPr>
          <w:p w14:paraId="6F9AA49E" w14:textId="55E9D980" w:rsidR="009D0C2E" w:rsidRPr="005A6B51" w:rsidRDefault="009D0C2E" w:rsidP="009D0C2E">
            <w:pPr>
              <w:jc w:val="center"/>
              <w:rPr>
                <w:rFonts w:cstheme="minorHAnsi"/>
                <w:sz w:val="20"/>
                <w:szCs w:val="20"/>
              </w:rPr>
            </w:pPr>
            <w:r w:rsidRPr="00B364CB">
              <w:rPr>
                <w:rFonts w:cstheme="minorHAnsi"/>
                <w:sz w:val="20"/>
                <w:szCs w:val="20"/>
              </w:rPr>
              <w:t>kg/m</w:t>
            </w:r>
            <w:r w:rsidRPr="00B364CB">
              <w:rPr>
                <w:rFonts w:cstheme="minorHAnsi"/>
                <w:b/>
                <w:bCs/>
                <w:sz w:val="20"/>
                <w:szCs w:val="20"/>
                <w:vertAlign w:val="superscript"/>
              </w:rPr>
              <w:t>2</w:t>
            </w:r>
            <w:r w:rsidR="005A6B51" w:rsidRPr="005A6B51">
              <w:rPr>
                <w:rFonts w:cstheme="minorHAnsi"/>
                <w:sz w:val="20"/>
                <w:szCs w:val="20"/>
              </w:rPr>
              <w:t>/d</w:t>
            </w:r>
          </w:p>
        </w:tc>
        <w:tc>
          <w:tcPr>
            <w:tcW w:w="646" w:type="pct"/>
            <w:shd w:val="clear" w:color="auto" w:fill="auto"/>
            <w:vAlign w:val="center"/>
            <w:hideMark/>
          </w:tcPr>
          <w:p w14:paraId="1AAA4354" w14:textId="77777777" w:rsidR="009D0C2E" w:rsidRPr="00B364CB" w:rsidRDefault="009D0C2E" w:rsidP="009D0C2E">
            <w:pPr>
              <w:jc w:val="center"/>
              <w:rPr>
                <w:rFonts w:cstheme="minorHAnsi"/>
                <w:sz w:val="20"/>
                <w:szCs w:val="20"/>
              </w:rPr>
            </w:pPr>
            <w:r w:rsidRPr="00B364CB">
              <w:rPr>
                <w:rFonts w:cstheme="minorHAnsi"/>
                <w:sz w:val="20"/>
                <w:szCs w:val="20"/>
              </w:rPr>
              <w:t>1.13</w:t>
            </w:r>
          </w:p>
        </w:tc>
        <w:tc>
          <w:tcPr>
            <w:tcW w:w="566" w:type="pct"/>
            <w:shd w:val="clear" w:color="auto" w:fill="auto"/>
            <w:vAlign w:val="center"/>
            <w:hideMark/>
          </w:tcPr>
          <w:p w14:paraId="10E59FCC" w14:textId="77777777" w:rsidR="009D0C2E" w:rsidRPr="00B364CB" w:rsidRDefault="009D0C2E" w:rsidP="009D0C2E">
            <w:pPr>
              <w:jc w:val="center"/>
              <w:rPr>
                <w:rFonts w:cstheme="minorHAnsi"/>
                <w:sz w:val="20"/>
                <w:szCs w:val="20"/>
              </w:rPr>
            </w:pPr>
            <w:r w:rsidRPr="00B364CB">
              <w:rPr>
                <w:rFonts w:cstheme="minorHAnsi"/>
                <w:sz w:val="20"/>
                <w:szCs w:val="20"/>
              </w:rPr>
              <w:t>2.16</w:t>
            </w:r>
          </w:p>
        </w:tc>
        <w:tc>
          <w:tcPr>
            <w:tcW w:w="565" w:type="pct"/>
            <w:shd w:val="clear" w:color="auto" w:fill="auto"/>
            <w:vAlign w:val="center"/>
            <w:hideMark/>
          </w:tcPr>
          <w:p w14:paraId="54300403" w14:textId="77777777" w:rsidR="009D0C2E" w:rsidRPr="00B364CB" w:rsidRDefault="009D0C2E" w:rsidP="009D0C2E">
            <w:pPr>
              <w:jc w:val="center"/>
              <w:rPr>
                <w:rFonts w:cstheme="minorHAnsi"/>
                <w:sz w:val="20"/>
                <w:szCs w:val="20"/>
              </w:rPr>
            </w:pPr>
            <w:r w:rsidRPr="00B364CB">
              <w:rPr>
                <w:rFonts w:cstheme="minorHAnsi"/>
                <w:sz w:val="20"/>
                <w:szCs w:val="20"/>
              </w:rPr>
              <w:t>4.11</w:t>
            </w:r>
          </w:p>
        </w:tc>
      </w:tr>
      <w:tr w:rsidR="009D0C2E" w:rsidRPr="00B364CB" w14:paraId="4622D076" w14:textId="77777777" w:rsidTr="00120F40">
        <w:trPr>
          <w:trHeight w:val="428"/>
          <w:jc w:val="center"/>
        </w:trPr>
        <w:tc>
          <w:tcPr>
            <w:tcW w:w="481" w:type="pct"/>
            <w:shd w:val="clear" w:color="auto" w:fill="auto"/>
            <w:vAlign w:val="center"/>
            <w:hideMark/>
          </w:tcPr>
          <w:p w14:paraId="7504CD50" w14:textId="77777777" w:rsidR="009D0C2E" w:rsidRPr="00B364CB" w:rsidRDefault="009D0C2E" w:rsidP="009D0C2E">
            <w:pPr>
              <w:jc w:val="center"/>
              <w:rPr>
                <w:rFonts w:cstheme="minorHAnsi"/>
                <w:sz w:val="20"/>
                <w:szCs w:val="20"/>
              </w:rPr>
            </w:pPr>
            <w:r w:rsidRPr="00B364CB">
              <w:rPr>
                <w:rFonts w:cstheme="minorHAnsi"/>
                <w:sz w:val="20"/>
                <w:szCs w:val="20"/>
              </w:rPr>
              <w:t>2</w:t>
            </w:r>
          </w:p>
        </w:tc>
        <w:tc>
          <w:tcPr>
            <w:tcW w:w="1936" w:type="pct"/>
            <w:shd w:val="clear" w:color="auto" w:fill="auto"/>
            <w:vAlign w:val="center"/>
            <w:hideMark/>
          </w:tcPr>
          <w:p w14:paraId="54457A29" w14:textId="77777777" w:rsidR="009D0C2E" w:rsidRPr="00B364CB" w:rsidRDefault="009D0C2E" w:rsidP="009D0C2E">
            <w:pPr>
              <w:jc w:val="center"/>
              <w:rPr>
                <w:rFonts w:cstheme="minorHAnsi"/>
                <w:sz w:val="20"/>
                <w:szCs w:val="20"/>
              </w:rPr>
            </w:pPr>
            <w:r w:rsidRPr="00B364CB">
              <w:rPr>
                <w:rFonts w:cstheme="minorHAnsi"/>
                <w:sz w:val="20"/>
                <w:szCs w:val="20"/>
              </w:rPr>
              <w:t>System capital cost</w:t>
            </w:r>
          </w:p>
        </w:tc>
        <w:tc>
          <w:tcPr>
            <w:tcW w:w="806" w:type="pct"/>
            <w:shd w:val="clear" w:color="auto" w:fill="auto"/>
            <w:vAlign w:val="center"/>
            <w:hideMark/>
          </w:tcPr>
          <w:p w14:paraId="086C59BB" w14:textId="77777777" w:rsidR="009D0C2E" w:rsidRPr="00B364CB" w:rsidRDefault="009D0C2E" w:rsidP="009D0C2E">
            <w:pPr>
              <w:jc w:val="center"/>
              <w:rPr>
                <w:rFonts w:cstheme="minorHAnsi"/>
                <w:sz w:val="20"/>
                <w:szCs w:val="20"/>
              </w:rPr>
            </w:pPr>
            <w:r w:rsidRPr="00B364CB">
              <w:rPr>
                <w:rFonts w:cstheme="minorHAnsi"/>
                <w:sz w:val="20"/>
                <w:szCs w:val="20"/>
              </w:rPr>
              <w:t>k€/(kg/d)</w:t>
            </w:r>
          </w:p>
        </w:tc>
        <w:tc>
          <w:tcPr>
            <w:tcW w:w="646" w:type="pct"/>
            <w:shd w:val="clear" w:color="auto" w:fill="auto"/>
            <w:vAlign w:val="center"/>
            <w:hideMark/>
          </w:tcPr>
          <w:p w14:paraId="3FBAFE73" w14:textId="77777777" w:rsidR="009D0C2E" w:rsidRPr="00B364CB" w:rsidRDefault="009D0C2E" w:rsidP="009D0C2E">
            <w:pPr>
              <w:jc w:val="center"/>
              <w:rPr>
                <w:rFonts w:cstheme="minorHAnsi"/>
                <w:sz w:val="20"/>
                <w:szCs w:val="20"/>
              </w:rPr>
            </w:pPr>
            <w:r w:rsidRPr="00B364CB">
              <w:rPr>
                <w:rFonts w:cstheme="minorHAnsi"/>
                <w:sz w:val="20"/>
                <w:szCs w:val="20"/>
              </w:rPr>
              <w:t>29.99</w:t>
            </w:r>
          </w:p>
        </w:tc>
        <w:tc>
          <w:tcPr>
            <w:tcW w:w="566" w:type="pct"/>
            <w:shd w:val="clear" w:color="auto" w:fill="auto"/>
            <w:vAlign w:val="center"/>
            <w:hideMark/>
          </w:tcPr>
          <w:p w14:paraId="03C05F5E" w14:textId="77777777" w:rsidR="009D0C2E" w:rsidRPr="00B364CB" w:rsidRDefault="009D0C2E" w:rsidP="009D0C2E">
            <w:pPr>
              <w:jc w:val="center"/>
              <w:rPr>
                <w:rFonts w:cstheme="minorHAnsi"/>
                <w:sz w:val="20"/>
                <w:szCs w:val="20"/>
              </w:rPr>
            </w:pPr>
            <w:r w:rsidRPr="00B364CB">
              <w:rPr>
                <w:rFonts w:cstheme="minorHAnsi"/>
                <w:sz w:val="20"/>
                <w:szCs w:val="20"/>
              </w:rPr>
              <w:t>15.19</w:t>
            </w:r>
          </w:p>
        </w:tc>
        <w:tc>
          <w:tcPr>
            <w:tcW w:w="565" w:type="pct"/>
            <w:shd w:val="clear" w:color="auto" w:fill="auto"/>
            <w:vAlign w:val="center"/>
            <w:hideMark/>
          </w:tcPr>
          <w:p w14:paraId="0617479C" w14:textId="77777777" w:rsidR="009D0C2E" w:rsidRPr="00B364CB" w:rsidRDefault="009D0C2E" w:rsidP="009D0C2E">
            <w:pPr>
              <w:jc w:val="center"/>
              <w:rPr>
                <w:rFonts w:cstheme="minorHAnsi"/>
                <w:sz w:val="20"/>
                <w:szCs w:val="20"/>
              </w:rPr>
            </w:pPr>
            <w:r w:rsidRPr="00B364CB">
              <w:rPr>
                <w:rFonts w:cstheme="minorHAnsi"/>
                <w:sz w:val="20"/>
                <w:szCs w:val="20"/>
              </w:rPr>
              <w:t>7.41</w:t>
            </w:r>
          </w:p>
        </w:tc>
      </w:tr>
      <w:tr w:rsidR="009D0C2E" w:rsidRPr="00B364CB" w14:paraId="0EA8D099" w14:textId="77777777" w:rsidTr="00120F40">
        <w:trPr>
          <w:trHeight w:val="406"/>
          <w:jc w:val="center"/>
        </w:trPr>
        <w:tc>
          <w:tcPr>
            <w:tcW w:w="481" w:type="pct"/>
            <w:shd w:val="clear" w:color="auto" w:fill="auto"/>
            <w:vAlign w:val="center"/>
            <w:hideMark/>
          </w:tcPr>
          <w:p w14:paraId="40A41FD3" w14:textId="77777777" w:rsidR="009D0C2E" w:rsidRPr="00B364CB" w:rsidRDefault="009D0C2E" w:rsidP="009D0C2E">
            <w:pPr>
              <w:jc w:val="center"/>
              <w:rPr>
                <w:rFonts w:cstheme="minorHAnsi"/>
                <w:sz w:val="20"/>
                <w:szCs w:val="20"/>
              </w:rPr>
            </w:pPr>
            <w:r w:rsidRPr="00B364CB">
              <w:rPr>
                <w:rFonts w:cstheme="minorHAnsi"/>
                <w:sz w:val="20"/>
                <w:szCs w:val="20"/>
              </w:rPr>
              <w:t>3</w:t>
            </w:r>
          </w:p>
        </w:tc>
        <w:tc>
          <w:tcPr>
            <w:tcW w:w="1936" w:type="pct"/>
            <w:shd w:val="clear" w:color="auto" w:fill="auto"/>
            <w:vAlign w:val="center"/>
            <w:hideMark/>
          </w:tcPr>
          <w:p w14:paraId="7365BD23" w14:textId="77777777" w:rsidR="009D0C2E" w:rsidRPr="00B364CB" w:rsidRDefault="009D0C2E" w:rsidP="009D0C2E">
            <w:pPr>
              <w:jc w:val="center"/>
              <w:rPr>
                <w:rFonts w:cstheme="minorHAnsi"/>
                <w:sz w:val="20"/>
                <w:szCs w:val="20"/>
              </w:rPr>
            </w:pPr>
            <w:r w:rsidRPr="00B364CB">
              <w:rPr>
                <w:rFonts w:cstheme="minorHAnsi"/>
                <w:sz w:val="20"/>
                <w:szCs w:val="20"/>
              </w:rPr>
              <w:t>System operational cost</w:t>
            </w:r>
          </w:p>
        </w:tc>
        <w:tc>
          <w:tcPr>
            <w:tcW w:w="806" w:type="pct"/>
            <w:shd w:val="clear" w:color="auto" w:fill="auto"/>
            <w:vAlign w:val="center"/>
            <w:hideMark/>
          </w:tcPr>
          <w:p w14:paraId="2115DF9A" w14:textId="77777777" w:rsidR="009D0C2E" w:rsidRPr="00B364CB" w:rsidRDefault="009D0C2E" w:rsidP="009D0C2E">
            <w:pPr>
              <w:jc w:val="center"/>
              <w:rPr>
                <w:rFonts w:cstheme="minorHAnsi"/>
                <w:sz w:val="20"/>
                <w:szCs w:val="20"/>
              </w:rPr>
            </w:pPr>
            <w:r w:rsidRPr="00B364CB">
              <w:rPr>
                <w:rFonts w:cstheme="minorHAnsi"/>
                <w:sz w:val="20"/>
                <w:szCs w:val="20"/>
              </w:rPr>
              <w:t>€/kg</w:t>
            </w:r>
          </w:p>
        </w:tc>
        <w:tc>
          <w:tcPr>
            <w:tcW w:w="646" w:type="pct"/>
            <w:shd w:val="clear" w:color="auto" w:fill="auto"/>
            <w:vAlign w:val="center"/>
            <w:hideMark/>
          </w:tcPr>
          <w:p w14:paraId="5F2FE266" w14:textId="77777777" w:rsidR="009D0C2E" w:rsidRPr="00B364CB" w:rsidRDefault="009D0C2E" w:rsidP="009D0C2E">
            <w:pPr>
              <w:jc w:val="center"/>
              <w:rPr>
                <w:rFonts w:cstheme="minorHAnsi"/>
                <w:sz w:val="20"/>
                <w:szCs w:val="20"/>
              </w:rPr>
            </w:pPr>
            <w:r w:rsidRPr="00B364CB">
              <w:rPr>
                <w:rFonts w:cstheme="minorHAnsi"/>
                <w:sz w:val="20"/>
                <w:szCs w:val="20"/>
              </w:rPr>
              <w:t>1.17</w:t>
            </w:r>
          </w:p>
        </w:tc>
        <w:tc>
          <w:tcPr>
            <w:tcW w:w="566" w:type="pct"/>
            <w:shd w:val="clear" w:color="auto" w:fill="auto"/>
            <w:vAlign w:val="center"/>
            <w:hideMark/>
          </w:tcPr>
          <w:p w14:paraId="4B0D3986" w14:textId="77777777" w:rsidR="009D0C2E" w:rsidRPr="00B364CB" w:rsidRDefault="009D0C2E" w:rsidP="009D0C2E">
            <w:pPr>
              <w:jc w:val="center"/>
              <w:rPr>
                <w:rFonts w:cstheme="minorHAnsi"/>
                <w:sz w:val="20"/>
                <w:szCs w:val="20"/>
              </w:rPr>
            </w:pPr>
            <w:r w:rsidRPr="00B364CB">
              <w:rPr>
                <w:rFonts w:cstheme="minorHAnsi"/>
                <w:sz w:val="20"/>
                <w:szCs w:val="20"/>
              </w:rPr>
              <w:t>0.59</w:t>
            </w:r>
          </w:p>
        </w:tc>
        <w:tc>
          <w:tcPr>
            <w:tcW w:w="565" w:type="pct"/>
            <w:shd w:val="clear" w:color="auto" w:fill="auto"/>
            <w:vAlign w:val="center"/>
            <w:hideMark/>
          </w:tcPr>
          <w:p w14:paraId="556494AF" w14:textId="77777777" w:rsidR="009D0C2E" w:rsidRPr="00B364CB" w:rsidRDefault="009D0C2E" w:rsidP="009D0C2E">
            <w:pPr>
              <w:jc w:val="center"/>
              <w:rPr>
                <w:rFonts w:cstheme="minorHAnsi"/>
                <w:sz w:val="20"/>
                <w:szCs w:val="20"/>
              </w:rPr>
            </w:pPr>
            <w:r w:rsidRPr="00B364CB">
              <w:rPr>
                <w:rFonts w:cstheme="minorHAnsi"/>
                <w:sz w:val="20"/>
                <w:szCs w:val="20"/>
              </w:rPr>
              <w:t>0.30</w:t>
            </w:r>
          </w:p>
        </w:tc>
      </w:tr>
    </w:tbl>
    <w:p w14:paraId="7D573AF2" w14:textId="77777777" w:rsidR="009D0C2E" w:rsidRPr="00B364CB" w:rsidRDefault="009D0C2E" w:rsidP="009D0C2E">
      <w:pPr>
        <w:jc w:val="both"/>
        <w:rPr>
          <w:rFonts w:cstheme="minorHAnsi"/>
          <w:iCs/>
          <w:color w:val="1F497D" w:themeColor="text2"/>
          <w:sz w:val="16"/>
          <w:szCs w:val="16"/>
        </w:rPr>
      </w:pPr>
    </w:p>
    <w:p w14:paraId="167D4D0E"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6001BE5E" w14:textId="21F8B479"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Boundary conditions: location with direct normal irradiation (DNI) of 2500 kWh/m</w:t>
      </w:r>
      <w:r w:rsidRPr="00B364CB">
        <w:rPr>
          <w:rFonts w:cstheme="minorHAnsi"/>
          <w:iCs/>
          <w:color w:val="auto"/>
          <w:sz w:val="16"/>
          <w:szCs w:val="16"/>
          <w:vertAlign w:val="superscript"/>
        </w:rPr>
        <w:t>2</w:t>
      </w:r>
      <w:r w:rsidRPr="00B364CB">
        <w:rPr>
          <w:rFonts w:cstheme="minorHAnsi"/>
          <w:iCs/>
          <w:color w:val="auto"/>
          <w:sz w:val="16"/>
          <w:szCs w:val="16"/>
        </w:rPr>
        <w:t>/year. Output of hydrogen meeting ISO 14687-2 at a pressure of 15 bar and hydrogen purity 5.0.</w:t>
      </w:r>
    </w:p>
    <w:p w14:paraId="3DF10366" w14:textId="07ABDA0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KPI-2: </w:t>
      </w:r>
      <w:r w:rsidR="007C571E">
        <w:rPr>
          <w:rFonts w:cstheme="minorHAnsi"/>
          <w:iCs/>
          <w:color w:val="auto"/>
          <w:sz w:val="16"/>
          <w:szCs w:val="16"/>
        </w:rPr>
        <w:t>S</w:t>
      </w:r>
      <w:r w:rsidRPr="00B364CB">
        <w:rPr>
          <w:rFonts w:cstheme="minorHAnsi"/>
          <w:iCs/>
          <w:color w:val="auto"/>
          <w:sz w:val="16"/>
          <w:szCs w:val="16"/>
        </w:rPr>
        <w:t xml:space="preserve">ystem capital cost for a specific hydrogen production rate based on kg of hydrogen generated per day at a given cumulative DNI per year. Capital cost should include all the cost related to all the equipment necessary for the normal operation of the plant. </w:t>
      </w:r>
    </w:p>
    <w:p w14:paraId="621C456E"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KPI-3: O&amp;M cost averaged over the first 10 years of the system. Routine maintenance and "wear and tear" (rotating parts, cleaning of equipment, etc). Electricity costs for operation of auxiliary units included. System level losses such as heliostat collector area losses, replacement parts, operation, and maintenance are included in the cost calculations.</w:t>
      </w:r>
    </w:p>
    <w:p w14:paraId="71A083F2" w14:textId="77777777" w:rsidR="009D0C2E" w:rsidRPr="00B364CB" w:rsidRDefault="009D0C2E" w:rsidP="009D0C2E">
      <w:pPr>
        <w:rPr>
          <w:rFonts w:cstheme="minorHAnsi"/>
          <w:iCs/>
          <w:color w:val="auto"/>
          <w:sz w:val="16"/>
          <w:szCs w:val="16"/>
        </w:rPr>
      </w:pPr>
    </w:p>
    <w:p w14:paraId="35F2C5D6" w14:textId="77777777" w:rsidR="009D0C2E" w:rsidRPr="00B364CB" w:rsidRDefault="009D0C2E" w:rsidP="009D0C2E">
      <w:pPr>
        <w:rPr>
          <w:rFonts w:asciiTheme="minorHAnsi" w:eastAsiaTheme="minorHAnsi" w:hAnsiTheme="minorHAnsi" w:cstheme="minorBidi"/>
          <w:i/>
          <w:iCs/>
          <w:color w:val="1F497D" w:themeColor="text2"/>
          <w:sz w:val="24"/>
          <w:szCs w:val="18"/>
          <w:u w:val="single"/>
          <w:lang w:bidi="ar-SA"/>
        </w:rPr>
      </w:pPr>
      <w:r w:rsidRPr="00B364CB">
        <w:rPr>
          <w:sz w:val="24"/>
        </w:rPr>
        <w:br w:type="page"/>
      </w:r>
    </w:p>
    <w:p w14:paraId="4B94AF63" w14:textId="1913AA0F" w:rsidR="009D0C2E" w:rsidRPr="00B364CB" w:rsidRDefault="009D0C2E" w:rsidP="009D0C2E">
      <w:pPr>
        <w:pStyle w:val="Caption"/>
        <w:rPr>
          <w:sz w:val="24"/>
        </w:rPr>
      </w:pPr>
      <w:r w:rsidRPr="00B364CB">
        <w:rPr>
          <w:sz w:val="24"/>
        </w:rPr>
        <w:lastRenderedPageBreak/>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10</w:t>
      </w:r>
      <w:r w:rsidRPr="00B364CB">
        <w:rPr>
          <w:sz w:val="24"/>
        </w:rPr>
        <w:fldChar w:fldCharType="end"/>
      </w:r>
      <w:r w:rsidRPr="00B364CB">
        <w:rPr>
          <w:sz w:val="24"/>
        </w:rPr>
        <w:t>: KPIs for hydrogen production via waste/biomass gasification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17"/>
        <w:gridCol w:w="3473"/>
        <w:gridCol w:w="1110"/>
        <w:gridCol w:w="1328"/>
        <w:gridCol w:w="1141"/>
        <w:gridCol w:w="1141"/>
      </w:tblGrid>
      <w:tr w:rsidR="009D0C2E" w:rsidRPr="00B364CB" w14:paraId="1E792C58" w14:textId="77777777" w:rsidTr="00120F40">
        <w:trPr>
          <w:trHeight w:val="285"/>
        </w:trPr>
        <w:tc>
          <w:tcPr>
            <w:tcW w:w="504" w:type="pct"/>
            <w:vMerge w:val="restart"/>
            <w:shd w:val="clear" w:color="auto" w:fill="BFBFBF" w:themeFill="background1" w:themeFillShade="BF"/>
            <w:vAlign w:val="center"/>
            <w:hideMark/>
          </w:tcPr>
          <w:p w14:paraId="22195730" w14:textId="77777777" w:rsidR="009D0C2E" w:rsidRPr="00B364CB" w:rsidRDefault="009D0C2E" w:rsidP="009D0C2E">
            <w:pPr>
              <w:widowControl/>
              <w:jc w:val="center"/>
              <w:rPr>
                <w:rFonts w:cs="Arial"/>
                <w:i/>
                <w:iCs/>
                <w:sz w:val="21"/>
                <w:szCs w:val="21"/>
                <w:lang w:eastAsia="en-GB" w:bidi="ar-SA"/>
              </w:rPr>
            </w:pPr>
            <w:r w:rsidRPr="00B364CB">
              <w:rPr>
                <w:rFonts w:cs="Arial"/>
                <w:b/>
                <w:bCs/>
                <w:sz w:val="20"/>
                <w:szCs w:val="20"/>
                <w:lang w:eastAsia="en-GB" w:bidi="ar-SA"/>
              </w:rPr>
              <w:t>No</w:t>
            </w:r>
          </w:p>
        </w:tc>
        <w:tc>
          <w:tcPr>
            <w:tcW w:w="1906" w:type="pct"/>
            <w:vMerge w:val="restart"/>
            <w:shd w:val="clear" w:color="auto" w:fill="BFBFBF" w:themeFill="background1" w:themeFillShade="BF"/>
            <w:vAlign w:val="center"/>
            <w:hideMark/>
          </w:tcPr>
          <w:p w14:paraId="41328755" w14:textId="77777777" w:rsidR="009D0C2E" w:rsidRPr="00B364CB" w:rsidRDefault="009D0C2E" w:rsidP="009D0C2E">
            <w:pPr>
              <w:widowControl/>
              <w:jc w:val="center"/>
              <w:rPr>
                <w:rFonts w:cs="Arial"/>
                <w:i/>
                <w:iCs/>
                <w:sz w:val="21"/>
                <w:szCs w:val="21"/>
                <w:lang w:eastAsia="en-GB" w:bidi="ar-SA"/>
              </w:rPr>
            </w:pPr>
            <w:r w:rsidRPr="00B364CB">
              <w:rPr>
                <w:rFonts w:cs="Arial"/>
                <w:b/>
                <w:bCs/>
                <w:sz w:val="20"/>
                <w:szCs w:val="20"/>
                <w:lang w:eastAsia="en-GB" w:bidi="ar-SA"/>
              </w:rPr>
              <w:t>Parameter</w:t>
            </w:r>
          </w:p>
        </w:tc>
        <w:tc>
          <w:tcPr>
            <w:tcW w:w="609" w:type="pct"/>
            <w:vMerge w:val="restart"/>
            <w:shd w:val="clear" w:color="auto" w:fill="BFBFBF" w:themeFill="background1" w:themeFillShade="BF"/>
            <w:vAlign w:val="center"/>
            <w:hideMark/>
          </w:tcPr>
          <w:p w14:paraId="4A7E98E0" w14:textId="77777777" w:rsidR="009D0C2E" w:rsidRPr="00B364CB" w:rsidRDefault="009D0C2E" w:rsidP="009D0C2E">
            <w:pPr>
              <w:widowControl/>
              <w:jc w:val="center"/>
              <w:rPr>
                <w:rFonts w:cs="Arial"/>
                <w:i/>
                <w:iCs/>
                <w:sz w:val="21"/>
                <w:szCs w:val="21"/>
                <w:lang w:eastAsia="en-GB" w:bidi="ar-SA"/>
              </w:rPr>
            </w:pPr>
            <w:r w:rsidRPr="00B364CB">
              <w:rPr>
                <w:rFonts w:cs="Arial"/>
                <w:b/>
                <w:bCs/>
                <w:sz w:val="20"/>
                <w:szCs w:val="20"/>
                <w:lang w:eastAsia="en-GB" w:bidi="ar-SA"/>
              </w:rPr>
              <w:t>Unit</w:t>
            </w:r>
          </w:p>
        </w:tc>
        <w:tc>
          <w:tcPr>
            <w:tcW w:w="729" w:type="pct"/>
            <w:shd w:val="clear" w:color="auto" w:fill="BFBFBF" w:themeFill="background1" w:themeFillShade="BF"/>
            <w:vAlign w:val="center"/>
            <w:hideMark/>
          </w:tcPr>
          <w:p w14:paraId="75BBB0C6"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251" w:type="pct"/>
            <w:gridSpan w:val="2"/>
            <w:shd w:val="clear" w:color="auto" w:fill="BFBFBF" w:themeFill="background1" w:themeFillShade="BF"/>
            <w:vAlign w:val="center"/>
            <w:hideMark/>
          </w:tcPr>
          <w:p w14:paraId="3C798F3F"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64B9ED80" w14:textId="77777777" w:rsidTr="00120F40">
        <w:trPr>
          <w:trHeight w:val="389"/>
        </w:trPr>
        <w:tc>
          <w:tcPr>
            <w:tcW w:w="504" w:type="pct"/>
            <w:vMerge/>
            <w:shd w:val="clear" w:color="auto" w:fill="BFBFBF" w:themeFill="background1" w:themeFillShade="BF"/>
            <w:vAlign w:val="center"/>
            <w:hideMark/>
          </w:tcPr>
          <w:p w14:paraId="29A6F83F" w14:textId="77777777" w:rsidR="009D0C2E" w:rsidRPr="00B364CB" w:rsidRDefault="009D0C2E" w:rsidP="009D0C2E">
            <w:pPr>
              <w:widowControl/>
              <w:ind w:firstLineChars="100" w:firstLine="200"/>
              <w:jc w:val="center"/>
              <w:rPr>
                <w:rFonts w:cs="Arial"/>
                <w:b/>
                <w:bCs/>
                <w:sz w:val="20"/>
                <w:szCs w:val="20"/>
                <w:lang w:eastAsia="en-GB" w:bidi="ar-SA"/>
              </w:rPr>
            </w:pPr>
          </w:p>
        </w:tc>
        <w:tc>
          <w:tcPr>
            <w:tcW w:w="1906" w:type="pct"/>
            <w:vMerge/>
            <w:shd w:val="clear" w:color="auto" w:fill="BFBFBF" w:themeFill="background1" w:themeFillShade="BF"/>
            <w:vAlign w:val="center"/>
            <w:hideMark/>
          </w:tcPr>
          <w:p w14:paraId="058E5F48" w14:textId="77777777" w:rsidR="009D0C2E" w:rsidRPr="00B364CB" w:rsidRDefault="009D0C2E" w:rsidP="009D0C2E">
            <w:pPr>
              <w:widowControl/>
              <w:ind w:firstLineChars="200" w:firstLine="400"/>
              <w:jc w:val="center"/>
              <w:rPr>
                <w:rFonts w:cs="Arial"/>
                <w:b/>
                <w:bCs/>
                <w:sz w:val="20"/>
                <w:szCs w:val="20"/>
                <w:lang w:eastAsia="en-GB" w:bidi="ar-SA"/>
              </w:rPr>
            </w:pPr>
          </w:p>
        </w:tc>
        <w:tc>
          <w:tcPr>
            <w:tcW w:w="609" w:type="pct"/>
            <w:vMerge/>
            <w:shd w:val="clear" w:color="auto" w:fill="BFBFBF" w:themeFill="background1" w:themeFillShade="BF"/>
            <w:vAlign w:val="center"/>
            <w:hideMark/>
          </w:tcPr>
          <w:p w14:paraId="41EA1131" w14:textId="77777777" w:rsidR="009D0C2E" w:rsidRPr="00B364CB" w:rsidRDefault="009D0C2E" w:rsidP="009D0C2E">
            <w:pPr>
              <w:widowControl/>
              <w:ind w:firstLineChars="200" w:firstLine="400"/>
              <w:jc w:val="center"/>
              <w:rPr>
                <w:rFonts w:cs="Arial"/>
                <w:b/>
                <w:bCs/>
                <w:sz w:val="20"/>
                <w:szCs w:val="20"/>
                <w:lang w:eastAsia="en-GB" w:bidi="ar-SA"/>
              </w:rPr>
            </w:pPr>
          </w:p>
        </w:tc>
        <w:tc>
          <w:tcPr>
            <w:tcW w:w="729" w:type="pct"/>
            <w:shd w:val="clear" w:color="auto" w:fill="BFBFBF" w:themeFill="background1" w:themeFillShade="BF"/>
            <w:vAlign w:val="center"/>
            <w:hideMark/>
          </w:tcPr>
          <w:p w14:paraId="4BA25BF1"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626" w:type="pct"/>
            <w:shd w:val="clear" w:color="auto" w:fill="BFBFBF" w:themeFill="background1" w:themeFillShade="BF"/>
            <w:vAlign w:val="center"/>
            <w:hideMark/>
          </w:tcPr>
          <w:p w14:paraId="2EAE0FE8"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626" w:type="pct"/>
            <w:shd w:val="clear" w:color="auto" w:fill="BFBFBF" w:themeFill="background1" w:themeFillShade="BF"/>
            <w:vAlign w:val="center"/>
            <w:hideMark/>
          </w:tcPr>
          <w:p w14:paraId="66A50B93"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6BEDFDA1" w14:textId="77777777" w:rsidTr="00120F40">
        <w:trPr>
          <w:trHeight w:val="500"/>
        </w:trPr>
        <w:tc>
          <w:tcPr>
            <w:tcW w:w="504" w:type="pct"/>
            <w:shd w:val="clear" w:color="auto" w:fill="auto"/>
            <w:vAlign w:val="center"/>
            <w:hideMark/>
          </w:tcPr>
          <w:p w14:paraId="4BD9454E" w14:textId="77777777" w:rsidR="009D0C2E" w:rsidRPr="00B364CB" w:rsidRDefault="009D0C2E" w:rsidP="009D0C2E">
            <w:pPr>
              <w:widowControl/>
              <w:jc w:val="center"/>
              <w:rPr>
                <w:rFonts w:cs="Arial"/>
                <w:i/>
                <w:iCs/>
                <w:sz w:val="21"/>
                <w:szCs w:val="21"/>
                <w:lang w:eastAsia="en-GB" w:bidi="ar-SA"/>
              </w:rPr>
            </w:pPr>
            <w:r w:rsidRPr="00B364CB">
              <w:rPr>
                <w:rFonts w:cs="Arial"/>
                <w:sz w:val="20"/>
                <w:szCs w:val="20"/>
                <w:lang w:eastAsia="en-GB" w:bidi="ar-SA"/>
              </w:rPr>
              <w:t>1</w:t>
            </w:r>
          </w:p>
        </w:tc>
        <w:tc>
          <w:tcPr>
            <w:tcW w:w="1906" w:type="pct"/>
            <w:shd w:val="clear" w:color="auto" w:fill="auto"/>
            <w:vAlign w:val="center"/>
            <w:hideMark/>
          </w:tcPr>
          <w:p w14:paraId="69449A33" w14:textId="77777777" w:rsidR="009D0C2E" w:rsidRPr="00B364CB" w:rsidRDefault="009D0C2E" w:rsidP="009D0C2E">
            <w:pPr>
              <w:widowControl/>
              <w:ind w:firstLineChars="200" w:firstLine="400"/>
              <w:jc w:val="center"/>
              <w:rPr>
                <w:rFonts w:cs="Arial"/>
                <w:sz w:val="20"/>
                <w:szCs w:val="20"/>
                <w:lang w:eastAsia="en-GB" w:bidi="ar-SA"/>
              </w:rPr>
            </w:pPr>
            <w:r w:rsidRPr="00B364CB">
              <w:rPr>
                <w:rFonts w:cs="Arial"/>
                <w:sz w:val="20"/>
                <w:szCs w:val="20"/>
                <w:lang w:eastAsia="en-GB" w:bidi="ar-SA"/>
              </w:rPr>
              <w:t xml:space="preserve">System carbon yield </w:t>
            </w:r>
          </w:p>
        </w:tc>
        <w:tc>
          <w:tcPr>
            <w:tcW w:w="609" w:type="pct"/>
            <w:shd w:val="clear" w:color="auto" w:fill="auto"/>
            <w:vAlign w:val="center"/>
            <w:hideMark/>
          </w:tcPr>
          <w:p w14:paraId="07DC80B4" w14:textId="77777777" w:rsidR="009D0C2E" w:rsidRPr="00B364CB" w:rsidRDefault="009D0C2E" w:rsidP="009D0C2E">
            <w:pPr>
              <w:jc w:val="center"/>
              <w:rPr>
                <w:rFonts w:cstheme="minorHAnsi"/>
                <w:bCs/>
                <w:sz w:val="20"/>
                <w:szCs w:val="20"/>
                <w:vertAlign w:val="subscript"/>
              </w:rPr>
            </w:pPr>
            <w:r w:rsidRPr="00B364CB">
              <w:rPr>
                <w:rFonts w:cstheme="minorHAnsi"/>
                <w:bCs/>
                <w:sz w:val="20"/>
                <w:szCs w:val="20"/>
              </w:rPr>
              <w:t>kg H</w:t>
            </w:r>
            <w:r w:rsidRPr="00B364CB">
              <w:rPr>
                <w:rFonts w:cstheme="minorHAnsi"/>
                <w:bCs/>
                <w:sz w:val="20"/>
                <w:szCs w:val="20"/>
                <w:vertAlign w:val="subscript"/>
              </w:rPr>
              <w:t>2</w:t>
            </w:r>
          </w:p>
          <w:p w14:paraId="31423BA1" w14:textId="77777777" w:rsidR="009D0C2E" w:rsidRPr="00B364CB" w:rsidRDefault="009D0C2E" w:rsidP="009D0C2E">
            <w:pPr>
              <w:widowControl/>
              <w:jc w:val="center"/>
              <w:rPr>
                <w:rFonts w:cs="Arial"/>
                <w:sz w:val="20"/>
                <w:szCs w:val="20"/>
                <w:lang w:eastAsia="en-GB" w:bidi="ar-SA"/>
              </w:rPr>
            </w:pPr>
            <w:r w:rsidRPr="00B364CB">
              <w:rPr>
                <w:rFonts w:cstheme="minorHAnsi"/>
                <w:bCs/>
                <w:sz w:val="20"/>
                <w:szCs w:val="20"/>
              </w:rPr>
              <w:t>/ kg C</w:t>
            </w:r>
          </w:p>
        </w:tc>
        <w:tc>
          <w:tcPr>
            <w:tcW w:w="729" w:type="pct"/>
            <w:shd w:val="clear" w:color="auto" w:fill="auto"/>
            <w:vAlign w:val="center"/>
            <w:hideMark/>
          </w:tcPr>
          <w:p w14:paraId="54F658D8" w14:textId="77777777" w:rsidR="009D0C2E" w:rsidRPr="00B364CB" w:rsidRDefault="009D0C2E" w:rsidP="009D0C2E">
            <w:pPr>
              <w:widowControl/>
              <w:jc w:val="center"/>
              <w:rPr>
                <w:rFonts w:cs="Arial"/>
                <w:i/>
                <w:iCs/>
                <w:sz w:val="21"/>
                <w:szCs w:val="21"/>
                <w:lang w:eastAsia="en-GB" w:bidi="ar-SA"/>
              </w:rPr>
            </w:pPr>
            <w:r w:rsidRPr="00B364CB">
              <w:rPr>
                <w:rFonts w:cs="Arial"/>
                <w:sz w:val="20"/>
                <w:szCs w:val="20"/>
                <w:lang w:eastAsia="en-GB" w:bidi="ar-SA"/>
              </w:rPr>
              <w:t>0.15</w:t>
            </w:r>
          </w:p>
        </w:tc>
        <w:tc>
          <w:tcPr>
            <w:tcW w:w="626" w:type="pct"/>
            <w:shd w:val="clear" w:color="auto" w:fill="auto"/>
            <w:vAlign w:val="center"/>
            <w:hideMark/>
          </w:tcPr>
          <w:p w14:paraId="09BB29A5" w14:textId="77777777" w:rsidR="009D0C2E" w:rsidRPr="00B364CB" w:rsidRDefault="009D0C2E" w:rsidP="009D0C2E">
            <w:pPr>
              <w:widowControl/>
              <w:jc w:val="center"/>
              <w:rPr>
                <w:rFonts w:cs="Arial"/>
                <w:i/>
                <w:iCs/>
                <w:sz w:val="21"/>
                <w:szCs w:val="21"/>
                <w:lang w:eastAsia="en-GB" w:bidi="ar-SA"/>
              </w:rPr>
            </w:pPr>
            <w:r w:rsidRPr="00B364CB">
              <w:rPr>
                <w:rFonts w:cs="Arial"/>
                <w:sz w:val="20"/>
                <w:szCs w:val="20"/>
                <w:lang w:eastAsia="en-GB" w:bidi="ar-SA"/>
              </w:rPr>
              <w:t>0.22</w:t>
            </w:r>
          </w:p>
        </w:tc>
        <w:tc>
          <w:tcPr>
            <w:tcW w:w="626" w:type="pct"/>
            <w:shd w:val="clear" w:color="auto" w:fill="auto"/>
            <w:vAlign w:val="center"/>
            <w:hideMark/>
          </w:tcPr>
          <w:p w14:paraId="6C3943E1" w14:textId="77777777" w:rsidR="009D0C2E" w:rsidRPr="00B364CB" w:rsidRDefault="009D0C2E" w:rsidP="009D0C2E">
            <w:pPr>
              <w:widowControl/>
              <w:jc w:val="center"/>
              <w:rPr>
                <w:rFonts w:cs="Arial"/>
                <w:i/>
                <w:iCs/>
                <w:sz w:val="21"/>
                <w:szCs w:val="21"/>
                <w:lang w:eastAsia="en-GB" w:bidi="ar-SA"/>
              </w:rPr>
            </w:pPr>
            <w:r w:rsidRPr="00B364CB">
              <w:rPr>
                <w:rFonts w:cs="Arial"/>
                <w:sz w:val="20"/>
                <w:szCs w:val="20"/>
                <w:lang w:eastAsia="en-GB" w:bidi="ar-SA"/>
              </w:rPr>
              <w:t>0.32</w:t>
            </w:r>
          </w:p>
        </w:tc>
      </w:tr>
      <w:tr w:rsidR="009D0C2E" w:rsidRPr="00B364CB" w14:paraId="49D4FFD8" w14:textId="77777777" w:rsidTr="00120F40">
        <w:trPr>
          <w:trHeight w:val="530"/>
        </w:trPr>
        <w:tc>
          <w:tcPr>
            <w:tcW w:w="504" w:type="pct"/>
            <w:shd w:val="clear" w:color="auto" w:fill="auto"/>
            <w:vAlign w:val="center"/>
            <w:hideMark/>
          </w:tcPr>
          <w:p w14:paraId="2428031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c>
          <w:tcPr>
            <w:tcW w:w="1906" w:type="pct"/>
            <w:shd w:val="clear" w:color="auto" w:fill="auto"/>
            <w:vAlign w:val="center"/>
            <w:hideMark/>
          </w:tcPr>
          <w:p w14:paraId="2E0BA86E" w14:textId="77777777" w:rsidR="009D0C2E" w:rsidRPr="00B364CB" w:rsidRDefault="009D0C2E" w:rsidP="009D0C2E">
            <w:pPr>
              <w:widowControl/>
              <w:ind w:firstLineChars="200" w:firstLine="400"/>
              <w:jc w:val="center"/>
              <w:rPr>
                <w:rFonts w:cs="Arial"/>
                <w:sz w:val="20"/>
                <w:szCs w:val="20"/>
                <w:lang w:eastAsia="en-GB" w:bidi="ar-SA"/>
              </w:rPr>
            </w:pPr>
            <w:r w:rsidRPr="00B364CB">
              <w:rPr>
                <w:rFonts w:cs="Arial"/>
                <w:sz w:val="20"/>
                <w:szCs w:val="20"/>
                <w:lang w:eastAsia="en-GB" w:bidi="ar-SA"/>
              </w:rPr>
              <w:t xml:space="preserve">System capital cost </w:t>
            </w:r>
          </w:p>
        </w:tc>
        <w:tc>
          <w:tcPr>
            <w:tcW w:w="609" w:type="pct"/>
            <w:shd w:val="clear" w:color="auto" w:fill="auto"/>
            <w:vAlign w:val="center"/>
            <w:hideMark/>
          </w:tcPr>
          <w:p w14:paraId="10494F5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€/(kg/d)</w:t>
            </w:r>
          </w:p>
        </w:tc>
        <w:tc>
          <w:tcPr>
            <w:tcW w:w="729" w:type="pct"/>
            <w:shd w:val="clear" w:color="auto" w:fill="auto"/>
            <w:vAlign w:val="center"/>
            <w:hideMark/>
          </w:tcPr>
          <w:p w14:paraId="67758C1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1,806</w:t>
            </w:r>
          </w:p>
        </w:tc>
        <w:tc>
          <w:tcPr>
            <w:tcW w:w="626" w:type="pct"/>
            <w:shd w:val="clear" w:color="auto" w:fill="auto"/>
            <w:vAlign w:val="center"/>
            <w:hideMark/>
          </w:tcPr>
          <w:p w14:paraId="238CB6E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1,514</w:t>
            </w:r>
          </w:p>
        </w:tc>
        <w:tc>
          <w:tcPr>
            <w:tcW w:w="626" w:type="pct"/>
            <w:shd w:val="clear" w:color="auto" w:fill="auto"/>
            <w:vAlign w:val="center"/>
            <w:hideMark/>
          </w:tcPr>
          <w:p w14:paraId="6852C17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1,264</w:t>
            </w:r>
          </w:p>
        </w:tc>
      </w:tr>
      <w:tr w:rsidR="009D0C2E" w:rsidRPr="00B364CB" w14:paraId="52A93273" w14:textId="77777777" w:rsidTr="00120F40">
        <w:trPr>
          <w:trHeight w:val="518"/>
        </w:trPr>
        <w:tc>
          <w:tcPr>
            <w:tcW w:w="504" w:type="pct"/>
            <w:shd w:val="clear" w:color="auto" w:fill="auto"/>
            <w:vAlign w:val="center"/>
          </w:tcPr>
          <w:p w14:paraId="0B67E6D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c>
          <w:tcPr>
            <w:tcW w:w="1906" w:type="pct"/>
            <w:shd w:val="clear" w:color="auto" w:fill="auto"/>
            <w:vAlign w:val="center"/>
          </w:tcPr>
          <w:p w14:paraId="7895C40F" w14:textId="0CADE4B7" w:rsidR="009D0C2E" w:rsidRPr="00B364CB" w:rsidRDefault="009D0C2E" w:rsidP="005A6B51">
            <w:pPr>
              <w:widowControl/>
              <w:jc w:val="center"/>
              <w:rPr>
                <w:rFonts w:cs="Arial"/>
                <w:sz w:val="20"/>
                <w:szCs w:val="20"/>
                <w:lang w:eastAsia="en-GB" w:bidi="ar-SA"/>
              </w:rPr>
            </w:pPr>
            <w:r w:rsidRPr="00B364CB">
              <w:rPr>
                <w:rFonts w:cs="Arial"/>
                <w:sz w:val="20"/>
                <w:szCs w:val="20"/>
                <w:lang w:eastAsia="en-GB" w:bidi="ar-SA"/>
              </w:rPr>
              <w:t xml:space="preserve">System operational cost </w:t>
            </w:r>
          </w:p>
        </w:tc>
        <w:tc>
          <w:tcPr>
            <w:tcW w:w="609" w:type="pct"/>
            <w:shd w:val="clear" w:color="auto" w:fill="auto"/>
            <w:vAlign w:val="center"/>
          </w:tcPr>
          <w:p w14:paraId="248F7B5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729" w:type="pct"/>
            <w:shd w:val="clear" w:color="auto" w:fill="auto"/>
            <w:vAlign w:val="center"/>
          </w:tcPr>
          <w:p w14:paraId="2F7CB22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0.013</w:t>
            </w:r>
          </w:p>
        </w:tc>
        <w:tc>
          <w:tcPr>
            <w:tcW w:w="626" w:type="pct"/>
            <w:shd w:val="clear" w:color="auto" w:fill="auto"/>
            <w:vAlign w:val="center"/>
          </w:tcPr>
          <w:p w14:paraId="5DCC007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0.011</w:t>
            </w:r>
          </w:p>
        </w:tc>
        <w:tc>
          <w:tcPr>
            <w:tcW w:w="626" w:type="pct"/>
            <w:shd w:val="clear" w:color="auto" w:fill="auto"/>
            <w:vAlign w:val="center"/>
          </w:tcPr>
          <w:p w14:paraId="763B0E8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0.009</w:t>
            </w:r>
          </w:p>
        </w:tc>
      </w:tr>
    </w:tbl>
    <w:p w14:paraId="400144B6" w14:textId="77777777" w:rsidR="009D0C2E" w:rsidRPr="00B364CB" w:rsidRDefault="009D0C2E" w:rsidP="009D0C2E">
      <w:pPr>
        <w:jc w:val="both"/>
        <w:rPr>
          <w:rFonts w:cstheme="minorHAnsi"/>
          <w:iCs/>
          <w:color w:val="1F497D" w:themeColor="text2"/>
          <w:sz w:val="16"/>
          <w:szCs w:val="16"/>
        </w:rPr>
      </w:pPr>
    </w:p>
    <w:p w14:paraId="0BB5D948"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1FDC2E22" w14:textId="77777777" w:rsidR="007F6A18" w:rsidRPr="007C1E86" w:rsidRDefault="007F6A18" w:rsidP="007F6A18">
      <w:pPr>
        <w:tabs>
          <w:tab w:val="left" w:pos="1805"/>
        </w:tabs>
        <w:spacing w:after="120"/>
        <w:jc w:val="both"/>
        <w:rPr>
          <w:rFonts w:cstheme="minorHAnsi"/>
          <w:iCs/>
          <w:color w:val="auto"/>
          <w:sz w:val="16"/>
          <w:szCs w:val="16"/>
        </w:rPr>
      </w:pPr>
      <w:r w:rsidRPr="00B364CB">
        <w:rPr>
          <w:rFonts w:cstheme="minorHAnsi"/>
          <w:iCs/>
          <w:color w:val="auto"/>
          <w:sz w:val="16"/>
          <w:szCs w:val="16"/>
        </w:rPr>
        <w:t>Boundary Conditions</w:t>
      </w:r>
      <w:r>
        <w:rPr>
          <w:rFonts w:cstheme="minorHAnsi"/>
          <w:b/>
          <w:iCs/>
          <w:color w:val="auto"/>
          <w:sz w:val="16"/>
          <w:szCs w:val="16"/>
          <w:u w:val="single"/>
        </w:rPr>
        <w:t xml:space="preserve">: </w:t>
      </w:r>
      <w:r w:rsidRPr="007C1E86">
        <w:rPr>
          <w:rFonts w:cstheme="minorHAnsi"/>
          <w:iCs/>
          <w:color w:val="auto"/>
          <w:sz w:val="16"/>
          <w:szCs w:val="16"/>
        </w:rPr>
        <w:t>the specific average gas composition considered for a typical product gas is: 40% H2, 24% CO, 23 % CO2, 10% CH4 and 3% C2H4. Output of hydrogen at a purity of 99.97% at 10 bar.</w:t>
      </w:r>
    </w:p>
    <w:p w14:paraId="5A5D467E" w14:textId="55473C39"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KPI-1: </w:t>
      </w:r>
      <w:r w:rsidR="007C571E">
        <w:rPr>
          <w:rFonts w:cstheme="minorHAnsi"/>
          <w:iCs/>
          <w:color w:val="auto"/>
          <w:sz w:val="16"/>
          <w:szCs w:val="16"/>
        </w:rPr>
        <w:t>R</w:t>
      </w:r>
      <w:r w:rsidRPr="00B364CB">
        <w:rPr>
          <w:rFonts w:cstheme="minorHAnsi"/>
          <w:iCs/>
          <w:color w:val="auto"/>
          <w:sz w:val="16"/>
          <w:szCs w:val="16"/>
        </w:rPr>
        <w:t>atio between the kg of H</w:t>
      </w:r>
      <w:r w:rsidRPr="00E4788A">
        <w:rPr>
          <w:rFonts w:cstheme="minorHAnsi"/>
          <w:iCs/>
          <w:color w:val="auto"/>
          <w:sz w:val="16"/>
          <w:szCs w:val="16"/>
          <w:vertAlign w:val="subscript"/>
        </w:rPr>
        <w:t>2</w:t>
      </w:r>
      <w:r w:rsidRPr="00B364CB">
        <w:rPr>
          <w:rFonts w:cstheme="minorHAnsi"/>
          <w:iCs/>
          <w:color w:val="auto"/>
          <w:sz w:val="16"/>
          <w:szCs w:val="16"/>
        </w:rPr>
        <w:t xml:space="preserve"> produced from the gasification process and the kg of C present in the syngas product.</w:t>
      </w:r>
    </w:p>
    <w:p w14:paraId="47663779" w14:textId="4712757C"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KPI-2: CAPEX considered includes investment costs for the chemical plant of a double bed fluidised gasifier. The value also includes the plant start-up expenses as 10% of the investment cost. Capital cost should include all the cost related to all the equipment necessary for the normal operation of the plant.</w:t>
      </w:r>
    </w:p>
    <w:p w14:paraId="376B05C8" w14:textId="11631D02" w:rsidR="009D0C2E" w:rsidRPr="00B364CB" w:rsidRDefault="009D0C2E" w:rsidP="009D0C2E">
      <w:pPr>
        <w:tabs>
          <w:tab w:val="left" w:pos="1805"/>
        </w:tabs>
        <w:spacing w:after="120"/>
        <w:jc w:val="both"/>
        <w:rPr>
          <w:rFonts w:eastAsia="Arial" w:cs="Arial"/>
          <w:b/>
          <w:bCs/>
          <w:sz w:val="32"/>
          <w:szCs w:val="32"/>
          <w:lang w:eastAsia="sv-SE" w:bidi="sv-SE"/>
        </w:rPr>
      </w:pPr>
      <w:r w:rsidRPr="00B364CB">
        <w:rPr>
          <w:rFonts w:cstheme="minorHAnsi"/>
          <w:iCs/>
          <w:color w:val="auto"/>
          <w:sz w:val="16"/>
          <w:szCs w:val="16"/>
        </w:rPr>
        <w:t xml:space="preserve">KPI-3: </w:t>
      </w:r>
      <w:r w:rsidR="007C571E">
        <w:rPr>
          <w:rFonts w:cstheme="minorHAnsi"/>
          <w:iCs/>
          <w:color w:val="auto"/>
          <w:sz w:val="16"/>
          <w:szCs w:val="16"/>
        </w:rPr>
        <w:t>O</w:t>
      </w:r>
      <w:r w:rsidRPr="00B364CB">
        <w:rPr>
          <w:rFonts w:cstheme="minorHAnsi"/>
          <w:iCs/>
          <w:color w:val="auto"/>
          <w:sz w:val="16"/>
          <w:szCs w:val="16"/>
        </w:rPr>
        <w:t>peration and maintenance cost averaged over the first 10 years of the system. Routine maintenance and "wear and tear" (rotating parts, cleaning of equipment...) was estimated considering a plant life of 20 years. Feedstock and electricity costs are not included in O&amp;M cost.</w:t>
      </w:r>
    </w:p>
    <w:p w14:paraId="1FC9A7EB" w14:textId="77777777" w:rsidR="009D0C2E" w:rsidRPr="00B364CB" w:rsidRDefault="009D0C2E" w:rsidP="009D0C2E">
      <w:pPr>
        <w:rPr>
          <w:rFonts w:eastAsia="Arial" w:cs="Arial"/>
          <w:b/>
          <w:bCs/>
          <w:sz w:val="32"/>
          <w:szCs w:val="32"/>
          <w:lang w:eastAsia="sv-SE" w:bidi="sv-SE"/>
        </w:rPr>
      </w:pPr>
      <w:r w:rsidRPr="00B364CB">
        <w:rPr>
          <w:lang w:eastAsia="sv-SE" w:bidi="sv-SE"/>
        </w:rPr>
        <w:br w:type="page"/>
      </w:r>
    </w:p>
    <w:p w14:paraId="163BA92E" w14:textId="77777777" w:rsidR="009D0C2E" w:rsidRPr="00B364CB" w:rsidRDefault="009D0C2E" w:rsidP="009D0C2E">
      <w:pPr>
        <w:pStyle w:val="Heading11"/>
        <w:keepNext/>
        <w:keepLines/>
        <w:shd w:val="clear" w:color="auto" w:fill="auto"/>
        <w:spacing w:line="276" w:lineRule="auto"/>
        <w:jc w:val="left"/>
        <w:rPr>
          <w:rStyle w:val="MAWPTitle"/>
          <w:lang w:val="en-GB"/>
        </w:rPr>
      </w:pPr>
      <w:bookmarkStart w:id="313" w:name="_Toc70088067"/>
      <w:bookmarkStart w:id="314" w:name="_Toc93907386"/>
      <w:r w:rsidRPr="00B364CB">
        <w:rPr>
          <w:rStyle w:val="MAWPTitle"/>
          <w:lang w:val="en-GB"/>
        </w:rPr>
        <w:lastRenderedPageBreak/>
        <w:t>Annex 3 - State-of-the-art and future targets – Hydrogen storage and distribution</w:t>
      </w:r>
      <w:bookmarkEnd w:id="313"/>
      <w:bookmarkEnd w:id="314"/>
    </w:p>
    <w:p w14:paraId="09D61624" w14:textId="77777777" w:rsidR="009D0C2E" w:rsidRPr="00B364CB" w:rsidRDefault="009D0C2E" w:rsidP="009D0C2E">
      <w:pPr>
        <w:pStyle w:val="MAWP-Bodytext"/>
        <w:rPr>
          <w:highlight w:val="yellow"/>
          <w:lang w:bidi="sv-SE"/>
        </w:rPr>
      </w:pPr>
    </w:p>
    <w:p w14:paraId="751C210A" w14:textId="264337F9" w:rsidR="009D0C2E" w:rsidRPr="00B364CB" w:rsidRDefault="009D0C2E" w:rsidP="009D0C2E">
      <w:pPr>
        <w:pStyle w:val="Caption"/>
        <w:rPr>
          <w:sz w:val="24"/>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11</w:t>
      </w:r>
      <w:r w:rsidRPr="00B364CB">
        <w:rPr>
          <w:sz w:val="24"/>
        </w:rPr>
        <w:fldChar w:fldCharType="end"/>
      </w:r>
      <w:r w:rsidRPr="00B364CB">
        <w:rPr>
          <w:sz w:val="24"/>
        </w:rPr>
        <w:t>: KPIs for hydrogen storage</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41"/>
        <w:gridCol w:w="3168"/>
        <w:gridCol w:w="1860"/>
        <w:gridCol w:w="929"/>
        <w:gridCol w:w="22"/>
        <w:gridCol w:w="1359"/>
        <w:gridCol w:w="1131"/>
      </w:tblGrid>
      <w:tr w:rsidR="009D0C2E" w:rsidRPr="00B364CB" w14:paraId="49315040" w14:textId="77777777" w:rsidTr="00120F40">
        <w:trPr>
          <w:trHeight w:val="315"/>
        </w:trPr>
        <w:tc>
          <w:tcPr>
            <w:tcW w:w="351" w:type="pct"/>
            <w:vMerge w:val="restart"/>
            <w:shd w:val="clear" w:color="auto" w:fill="BFBFBF" w:themeFill="background1" w:themeFillShade="BF"/>
            <w:vAlign w:val="center"/>
            <w:hideMark/>
          </w:tcPr>
          <w:p w14:paraId="532C8527"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No</w:t>
            </w:r>
          </w:p>
        </w:tc>
        <w:tc>
          <w:tcPr>
            <w:tcW w:w="1739" w:type="pct"/>
            <w:vMerge w:val="restart"/>
            <w:shd w:val="clear" w:color="auto" w:fill="BFBFBF" w:themeFill="background1" w:themeFillShade="BF"/>
            <w:vAlign w:val="center"/>
            <w:hideMark/>
          </w:tcPr>
          <w:p w14:paraId="6DFD0135" w14:textId="77777777" w:rsidR="009D0C2E" w:rsidRPr="00B364CB" w:rsidRDefault="009D0C2E" w:rsidP="009D0C2E">
            <w:pPr>
              <w:widowControl/>
              <w:ind w:firstLineChars="600" w:firstLine="1200"/>
              <w:jc w:val="center"/>
              <w:rPr>
                <w:rFonts w:cs="Arial"/>
                <w:b/>
                <w:bCs/>
                <w:sz w:val="20"/>
                <w:szCs w:val="20"/>
                <w:lang w:eastAsia="en-GB" w:bidi="ar-SA"/>
              </w:rPr>
            </w:pPr>
            <w:r w:rsidRPr="00B364CB">
              <w:rPr>
                <w:rFonts w:cs="Arial"/>
                <w:b/>
                <w:bCs/>
                <w:sz w:val="20"/>
                <w:szCs w:val="20"/>
                <w:lang w:eastAsia="en-GB" w:bidi="ar-SA"/>
              </w:rPr>
              <w:t>Parameter</w:t>
            </w:r>
          </w:p>
        </w:tc>
        <w:tc>
          <w:tcPr>
            <w:tcW w:w="1021" w:type="pct"/>
            <w:vMerge w:val="restart"/>
            <w:shd w:val="clear" w:color="auto" w:fill="BFBFBF" w:themeFill="background1" w:themeFillShade="BF"/>
            <w:vAlign w:val="center"/>
            <w:hideMark/>
          </w:tcPr>
          <w:p w14:paraId="1E243881"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Unit</w:t>
            </w:r>
          </w:p>
        </w:tc>
        <w:tc>
          <w:tcPr>
            <w:tcW w:w="510" w:type="pct"/>
            <w:shd w:val="clear" w:color="auto" w:fill="BFBFBF" w:themeFill="background1" w:themeFillShade="BF"/>
            <w:vAlign w:val="center"/>
          </w:tcPr>
          <w:p w14:paraId="6E987637"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757" w:type="pct"/>
            <w:gridSpan w:val="2"/>
            <w:shd w:val="clear" w:color="auto" w:fill="BFBFBF" w:themeFill="background1" w:themeFillShade="BF"/>
          </w:tcPr>
          <w:p w14:paraId="69FC1583" w14:textId="77777777" w:rsidR="009D0C2E" w:rsidRPr="00B364CB" w:rsidRDefault="009D0C2E" w:rsidP="009D0C2E">
            <w:pPr>
              <w:widowControl/>
              <w:jc w:val="center"/>
              <w:rPr>
                <w:rFonts w:cs="Arial"/>
                <w:b/>
                <w:bCs/>
                <w:sz w:val="20"/>
                <w:szCs w:val="20"/>
                <w:lang w:eastAsia="en-GB" w:bidi="ar-SA"/>
              </w:rPr>
            </w:pPr>
          </w:p>
        </w:tc>
        <w:tc>
          <w:tcPr>
            <w:tcW w:w="621" w:type="pct"/>
            <w:shd w:val="clear" w:color="auto" w:fill="BFBFBF" w:themeFill="background1" w:themeFillShade="BF"/>
            <w:vAlign w:val="center"/>
            <w:hideMark/>
          </w:tcPr>
          <w:p w14:paraId="06D23469"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2888B4E9" w14:textId="77777777" w:rsidTr="00120F40">
        <w:trPr>
          <w:trHeight w:val="315"/>
        </w:trPr>
        <w:tc>
          <w:tcPr>
            <w:tcW w:w="351" w:type="pct"/>
            <w:vMerge/>
            <w:shd w:val="clear" w:color="auto" w:fill="BFBFBF" w:themeFill="background1" w:themeFillShade="BF"/>
            <w:vAlign w:val="center"/>
            <w:hideMark/>
          </w:tcPr>
          <w:p w14:paraId="03E07242" w14:textId="77777777" w:rsidR="009D0C2E" w:rsidRPr="00B364CB" w:rsidRDefault="009D0C2E" w:rsidP="009D0C2E">
            <w:pPr>
              <w:widowControl/>
              <w:jc w:val="center"/>
              <w:rPr>
                <w:rFonts w:cs="Arial"/>
                <w:b/>
                <w:bCs/>
                <w:sz w:val="20"/>
                <w:szCs w:val="20"/>
                <w:lang w:eastAsia="en-GB" w:bidi="ar-SA"/>
              </w:rPr>
            </w:pPr>
          </w:p>
        </w:tc>
        <w:tc>
          <w:tcPr>
            <w:tcW w:w="1739" w:type="pct"/>
            <w:vMerge/>
            <w:shd w:val="clear" w:color="auto" w:fill="BFBFBF" w:themeFill="background1" w:themeFillShade="BF"/>
            <w:vAlign w:val="center"/>
            <w:hideMark/>
          </w:tcPr>
          <w:p w14:paraId="548BFAA2" w14:textId="77777777" w:rsidR="009D0C2E" w:rsidRPr="00B364CB" w:rsidRDefault="009D0C2E" w:rsidP="009D0C2E">
            <w:pPr>
              <w:widowControl/>
              <w:jc w:val="center"/>
              <w:rPr>
                <w:rFonts w:cs="Arial"/>
                <w:b/>
                <w:bCs/>
                <w:sz w:val="20"/>
                <w:szCs w:val="20"/>
                <w:lang w:eastAsia="en-GB" w:bidi="ar-SA"/>
              </w:rPr>
            </w:pPr>
          </w:p>
        </w:tc>
        <w:tc>
          <w:tcPr>
            <w:tcW w:w="1021" w:type="pct"/>
            <w:vMerge/>
            <w:shd w:val="clear" w:color="auto" w:fill="BFBFBF" w:themeFill="background1" w:themeFillShade="BF"/>
            <w:vAlign w:val="center"/>
            <w:hideMark/>
          </w:tcPr>
          <w:p w14:paraId="191AFC95" w14:textId="77777777" w:rsidR="009D0C2E" w:rsidRPr="00B364CB" w:rsidRDefault="009D0C2E" w:rsidP="009D0C2E">
            <w:pPr>
              <w:widowControl/>
              <w:jc w:val="center"/>
              <w:rPr>
                <w:rFonts w:cs="Arial"/>
                <w:b/>
                <w:bCs/>
                <w:sz w:val="20"/>
                <w:szCs w:val="20"/>
                <w:lang w:eastAsia="en-GB" w:bidi="ar-SA"/>
              </w:rPr>
            </w:pPr>
          </w:p>
        </w:tc>
        <w:tc>
          <w:tcPr>
            <w:tcW w:w="510" w:type="pct"/>
            <w:shd w:val="clear" w:color="auto" w:fill="BFBFBF" w:themeFill="background1" w:themeFillShade="BF"/>
            <w:vAlign w:val="center"/>
          </w:tcPr>
          <w:p w14:paraId="3B58B0E7"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757" w:type="pct"/>
            <w:gridSpan w:val="2"/>
            <w:shd w:val="clear" w:color="auto" w:fill="BFBFBF" w:themeFill="background1" w:themeFillShade="BF"/>
          </w:tcPr>
          <w:p w14:paraId="5487606A"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621" w:type="pct"/>
            <w:shd w:val="clear" w:color="auto" w:fill="BFBFBF" w:themeFill="background1" w:themeFillShade="BF"/>
            <w:vAlign w:val="center"/>
          </w:tcPr>
          <w:p w14:paraId="688A9BD2"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1F9FDEC7" w14:textId="77777777" w:rsidTr="00120F40">
        <w:trPr>
          <w:trHeight w:val="662"/>
        </w:trPr>
        <w:tc>
          <w:tcPr>
            <w:tcW w:w="351" w:type="pct"/>
            <w:shd w:val="clear" w:color="auto" w:fill="D9D9D9" w:themeFill="background1" w:themeFillShade="D9"/>
          </w:tcPr>
          <w:p w14:paraId="1F911E85" w14:textId="77777777" w:rsidR="009D0C2E" w:rsidRPr="00B364CB" w:rsidRDefault="009D0C2E" w:rsidP="009D0C2E">
            <w:pPr>
              <w:widowControl/>
              <w:jc w:val="center"/>
              <w:rPr>
                <w:rFonts w:ascii="Calibri" w:hAnsi="Calibri"/>
                <w:b/>
                <w:bCs/>
                <w:szCs w:val="22"/>
                <w:lang w:eastAsia="en-GB" w:bidi="ar-SA"/>
              </w:rPr>
            </w:pPr>
          </w:p>
        </w:tc>
        <w:tc>
          <w:tcPr>
            <w:tcW w:w="4649" w:type="pct"/>
            <w:gridSpan w:val="6"/>
            <w:shd w:val="clear" w:color="auto" w:fill="D9D9D9" w:themeFill="background1" w:themeFillShade="D9"/>
            <w:vAlign w:val="center"/>
          </w:tcPr>
          <w:p w14:paraId="1D4C9FEC" w14:textId="77777777" w:rsidR="009D0C2E" w:rsidRPr="00B364CB" w:rsidRDefault="009D0C2E" w:rsidP="009D0C2E">
            <w:pPr>
              <w:widowControl/>
              <w:jc w:val="center"/>
              <w:rPr>
                <w:rFonts w:cs="Arial"/>
                <w:sz w:val="20"/>
                <w:szCs w:val="20"/>
                <w:lang w:eastAsia="en-GB" w:bidi="ar-SA"/>
              </w:rPr>
            </w:pPr>
            <w:r w:rsidRPr="00B364CB">
              <w:rPr>
                <w:rFonts w:ascii="Calibri" w:hAnsi="Calibri"/>
                <w:b/>
                <w:bCs/>
                <w:szCs w:val="22"/>
                <w:lang w:eastAsia="en-GB" w:bidi="ar-SA"/>
              </w:rPr>
              <w:t xml:space="preserve">Underground storage – Depleted gas fields </w:t>
            </w:r>
          </w:p>
        </w:tc>
      </w:tr>
      <w:tr w:rsidR="009D0C2E" w:rsidRPr="00B364CB" w14:paraId="5D2B7DFE" w14:textId="77777777" w:rsidTr="00120F40">
        <w:trPr>
          <w:trHeight w:val="315"/>
        </w:trPr>
        <w:tc>
          <w:tcPr>
            <w:tcW w:w="351" w:type="pct"/>
            <w:shd w:val="clear" w:color="auto" w:fill="auto"/>
            <w:vAlign w:val="center"/>
            <w:hideMark/>
          </w:tcPr>
          <w:p w14:paraId="53323B0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c>
          <w:tcPr>
            <w:tcW w:w="1739" w:type="pct"/>
            <w:shd w:val="clear" w:color="auto" w:fill="auto"/>
            <w:vAlign w:val="center"/>
            <w:hideMark/>
          </w:tcPr>
          <w:p w14:paraId="49105BD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Capital cost</w:t>
            </w:r>
          </w:p>
        </w:tc>
        <w:tc>
          <w:tcPr>
            <w:tcW w:w="1021" w:type="pct"/>
            <w:shd w:val="clear" w:color="auto" w:fill="auto"/>
            <w:vAlign w:val="center"/>
            <w:hideMark/>
          </w:tcPr>
          <w:p w14:paraId="13A0BD3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522" w:type="pct"/>
            <w:gridSpan w:val="2"/>
            <w:shd w:val="clear" w:color="auto" w:fill="auto"/>
            <w:vAlign w:val="center"/>
            <w:hideMark/>
          </w:tcPr>
          <w:p w14:paraId="1888E7D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n/a</w:t>
            </w:r>
          </w:p>
        </w:tc>
        <w:tc>
          <w:tcPr>
            <w:tcW w:w="746" w:type="pct"/>
            <w:vAlign w:val="center"/>
          </w:tcPr>
          <w:p w14:paraId="5731ECC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w:t>
            </w:r>
          </w:p>
        </w:tc>
        <w:tc>
          <w:tcPr>
            <w:tcW w:w="621" w:type="pct"/>
            <w:shd w:val="clear" w:color="auto" w:fill="auto"/>
            <w:vAlign w:val="center"/>
            <w:hideMark/>
          </w:tcPr>
          <w:p w14:paraId="3156774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w:t>
            </w:r>
          </w:p>
        </w:tc>
      </w:tr>
      <w:tr w:rsidR="009D0C2E" w:rsidRPr="00B364CB" w14:paraId="3CF89CDA" w14:textId="77777777" w:rsidTr="00120F40">
        <w:trPr>
          <w:trHeight w:val="510"/>
        </w:trPr>
        <w:tc>
          <w:tcPr>
            <w:tcW w:w="351" w:type="pct"/>
            <w:shd w:val="clear" w:color="auto" w:fill="D9D9D9" w:themeFill="background1" w:themeFillShade="D9"/>
          </w:tcPr>
          <w:p w14:paraId="688D5BE0" w14:textId="77777777" w:rsidR="009D0C2E" w:rsidRPr="00B364CB" w:rsidRDefault="009D0C2E" w:rsidP="009D0C2E">
            <w:pPr>
              <w:widowControl/>
              <w:jc w:val="center"/>
              <w:rPr>
                <w:rFonts w:ascii="Calibri" w:hAnsi="Calibri"/>
                <w:b/>
                <w:bCs/>
                <w:szCs w:val="22"/>
                <w:lang w:eastAsia="en-GB" w:bidi="ar-SA"/>
              </w:rPr>
            </w:pPr>
          </w:p>
        </w:tc>
        <w:tc>
          <w:tcPr>
            <w:tcW w:w="4649" w:type="pct"/>
            <w:gridSpan w:val="6"/>
            <w:shd w:val="clear" w:color="auto" w:fill="D9D9D9" w:themeFill="background1" w:themeFillShade="D9"/>
            <w:vAlign w:val="center"/>
          </w:tcPr>
          <w:p w14:paraId="120AA214" w14:textId="31D836EA" w:rsidR="009D0C2E" w:rsidRPr="00B364CB" w:rsidRDefault="009D0C2E" w:rsidP="009D0C2E">
            <w:pPr>
              <w:widowControl/>
              <w:jc w:val="center"/>
              <w:rPr>
                <w:rFonts w:ascii="Calibri" w:hAnsi="Calibri"/>
                <w:b/>
                <w:bCs/>
                <w:szCs w:val="22"/>
                <w:lang w:eastAsia="en-GB" w:bidi="ar-SA"/>
              </w:rPr>
            </w:pPr>
            <w:r w:rsidRPr="00B364CB">
              <w:rPr>
                <w:rFonts w:ascii="Calibri" w:hAnsi="Calibri"/>
                <w:b/>
                <w:bCs/>
                <w:szCs w:val="22"/>
                <w:lang w:eastAsia="en-GB" w:bidi="ar-SA"/>
              </w:rPr>
              <w:t>Underground storage – Salt Caverns</w:t>
            </w:r>
          </w:p>
        </w:tc>
      </w:tr>
      <w:tr w:rsidR="009D0C2E" w:rsidRPr="00B364CB" w14:paraId="64EC9575" w14:textId="77777777" w:rsidTr="00120F40">
        <w:trPr>
          <w:trHeight w:val="315"/>
        </w:trPr>
        <w:tc>
          <w:tcPr>
            <w:tcW w:w="351" w:type="pct"/>
            <w:shd w:val="clear" w:color="auto" w:fill="auto"/>
            <w:vAlign w:val="center"/>
            <w:hideMark/>
          </w:tcPr>
          <w:p w14:paraId="28A62AE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c>
          <w:tcPr>
            <w:tcW w:w="1739" w:type="pct"/>
            <w:shd w:val="clear" w:color="auto" w:fill="auto"/>
            <w:vAlign w:val="center"/>
            <w:hideMark/>
          </w:tcPr>
          <w:p w14:paraId="09C8428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Gas field size</w:t>
            </w:r>
          </w:p>
        </w:tc>
        <w:tc>
          <w:tcPr>
            <w:tcW w:w="1021" w:type="pct"/>
            <w:shd w:val="clear" w:color="auto" w:fill="auto"/>
            <w:vAlign w:val="center"/>
            <w:hideMark/>
          </w:tcPr>
          <w:p w14:paraId="62ADC6E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ton (100% H</w:t>
            </w:r>
            <w:r w:rsidRPr="00B364CB">
              <w:rPr>
                <w:rFonts w:cs="Arial"/>
                <w:sz w:val="20"/>
                <w:szCs w:val="20"/>
                <w:vertAlign w:val="subscript"/>
                <w:lang w:eastAsia="en-GB" w:bidi="ar-SA"/>
              </w:rPr>
              <w:t>2</w:t>
            </w:r>
            <w:r w:rsidRPr="00B364CB">
              <w:rPr>
                <w:rFonts w:cs="Arial"/>
                <w:sz w:val="20"/>
                <w:szCs w:val="20"/>
                <w:lang w:eastAsia="en-GB" w:bidi="ar-SA"/>
              </w:rPr>
              <w:t>)</w:t>
            </w:r>
          </w:p>
        </w:tc>
        <w:tc>
          <w:tcPr>
            <w:tcW w:w="522" w:type="pct"/>
            <w:gridSpan w:val="2"/>
            <w:shd w:val="clear" w:color="auto" w:fill="auto"/>
            <w:vAlign w:val="center"/>
            <w:hideMark/>
          </w:tcPr>
          <w:p w14:paraId="3FB4882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880</w:t>
            </w:r>
          </w:p>
        </w:tc>
        <w:tc>
          <w:tcPr>
            <w:tcW w:w="746" w:type="pct"/>
            <w:vAlign w:val="center"/>
          </w:tcPr>
          <w:p w14:paraId="0BD7F9C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&gt;1000</w:t>
            </w:r>
          </w:p>
        </w:tc>
        <w:tc>
          <w:tcPr>
            <w:tcW w:w="621" w:type="pct"/>
            <w:shd w:val="clear" w:color="auto" w:fill="auto"/>
            <w:vAlign w:val="center"/>
            <w:hideMark/>
          </w:tcPr>
          <w:p w14:paraId="7796880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&gt;3000</w:t>
            </w:r>
          </w:p>
        </w:tc>
      </w:tr>
      <w:tr w:rsidR="009D0C2E" w:rsidRPr="00B364CB" w14:paraId="178D8362" w14:textId="77777777" w:rsidTr="00120F40">
        <w:trPr>
          <w:trHeight w:val="315"/>
        </w:trPr>
        <w:tc>
          <w:tcPr>
            <w:tcW w:w="351" w:type="pct"/>
            <w:shd w:val="clear" w:color="auto" w:fill="auto"/>
            <w:vAlign w:val="center"/>
            <w:hideMark/>
          </w:tcPr>
          <w:p w14:paraId="632E968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c>
          <w:tcPr>
            <w:tcW w:w="1739" w:type="pct"/>
            <w:shd w:val="clear" w:color="auto" w:fill="auto"/>
            <w:vAlign w:val="center"/>
            <w:hideMark/>
          </w:tcPr>
          <w:p w14:paraId="0D517789"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Capital cost</w:t>
            </w:r>
          </w:p>
        </w:tc>
        <w:tc>
          <w:tcPr>
            <w:tcW w:w="1021" w:type="pct"/>
            <w:shd w:val="clear" w:color="auto" w:fill="auto"/>
            <w:vAlign w:val="center"/>
            <w:hideMark/>
          </w:tcPr>
          <w:p w14:paraId="096388F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522" w:type="pct"/>
            <w:gridSpan w:val="2"/>
            <w:shd w:val="clear" w:color="auto" w:fill="auto"/>
            <w:vAlign w:val="center"/>
            <w:hideMark/>
          </w:tcPr>
          <w:p w14:paraId="4A8AC03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w:t>
            </w:r>
          </w:p>
        </w:tc>
        <w:tc>
          <w:tcPr>
            <w:tcW w:w="746" w:type="pct"/>
            <w:vAlign w:val="center"/>
          </w:tcPr>
          <w:p w14:paraId="47FD500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32</w:t>
            </w:r>
          </w:p>
        </w:tc>
        <w:tc>
          <w:tcPr>
            <w:tcW w:w="621" w:type="pct"/>
            <w:shd w:val="clear" w:color="auto" w:fill="auto"/>
            <w:vAlign w:val="center"/>
            <w:hideMark/>
          </w:tcPr>
          <w:p w14:paraId="5BF3158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30</w:t>
            </w:r>
          </w:p>
        </w:tc>
      </w:tr>
      <w:tr w:rsidR="009D0C2E" w:rsidRPr="00B364CB" w14:paraId="54653059" w14:textId="77777777" w:rsidTr="00120F40">
        <w:trPr>
          <w:trHeight w:val="550"/>
        </w:trPr>
        <w:tc>
          <w:tcPr>
            <w:tcW w:w="351" w:type="pct"/>
            <w:shd w:val="clear" w:color="auto" w:fill="D9D9D9" w:themeFill="background1" w:themeFillShade="D9"/>
          </w:tcPr>
          <w:p w14:paraId="2AF607F1" w14:textId="77777777" w:rsidR="009D0C2E" w:rsidRPr="00B364CB" w:rsidRDefault="009D0C2E" w:rsidP="009D0C2E">
            <w:pPr>
              <w:widowControl/>
              <w:jc w:val="center"/>
              <w:rPr>
                <w:rFonts w:ascii="Calibri" w:hAnsi="Calibri"/>
                <w:b/>
                <w:bCs/>
                <w:szCs w:val="22"/>
                <w:lang w:eastAsia="en-GB" w:bidi="ar-SA"/>
              </w:rPr>
            </w:pPr>
          </w:p>
        </w:tc>
        <w:tc>
          <w:tcPr>
            <w:tcW w:w="4649" w:type="pct"/>
            <w:gridSpan w:val="6"/>
            <w:shd w:val="clear" w:color="auto" w:fill="D9D9D9" w:themeFill="background1" w:themeFillShade="D9"/>
            <w:vAlign w:val="center"/>
          </w:tcPr>
          <w:p w14:paraId="3B9B6B03" w14:textId="2BB66C19" w:rsidR="009D0C2E" w:rsidRPr="00B364CB" w:rsidRDefault="009D0C2E" w:rsidP="009D0C2E">
            <w:pPr>
              <w:widowControl/>
              <w:jc w:val="center"/>
              <w:rPr>
                <w:rFonts w:ascii="Calibri" w:hAnsi="Calibri"/>
                <w:b/>
                <w:bCs/>
                <w:szCs w:val="22"/>
                <w:lang w:eastAsia="en-GB" w:bidi="ar-SA"/>
              </w:rPr>
            </w:pPr>
            <w:r w:rsidRPr="00B364CB">
              <w:rPr>
                <w:rFonts w:ascii="Calibri" w:hAnsi="Calibri"/>
                <w:b/>
                <w:bCs/>
                <w:szCs w:val="22"/>
                <w:lang w:eastAsia="en-GB" w:bidi="ar-SA"/>
              </w:rPr>
              <w:t>Aboveground storage</w:t>
            </w:r>
          </w:p>
        </w:tc>
      </w:tr>
      <w:tr w:rsidR="009D0C2E" w:rsidRPr="00B364CB" w14:paraId="60681464" w14:textId="77777777" w:rsidTr="00120F40">
        <w:trPr>
          <w:trHeight w:val="525"/>
        </w:trPr>
        <w:tc>
          <w:tcPr>
            <w:tcW w:w="351" w:type="pct"/>
            <w:shd w:val="clear" w:color="auto" w:fill="auto"/>
            <w:vAlign w:val="center"/>
            <w:hideMark/>
          </w:tcPr>
          <w:p w14:paraId="48FCB38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1739" w:type="pct"/>
            <w:shd w:val="clear" w:color="auto" w:fill="auto"/>
            <w:vAlign w:val="center"/>
            <w:hideMark/>
          </w:tcPr>
          <w:p w14:paraId="217F284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Storage size</w:t>
            </w:r>
          </w:p>
        </w:tc>
        <w:tc>
          <w:tcPr>
            <w:tcW w:w="1021" w:type="pct"/>
            <w:shd w:val="clear" w:color="auto" w:fill="auto"/>
            <w:vAlign w:val="center"/>
            <w:hideMark/>
          </w:tcPr>
          <w:p w14:paraId="2639833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ton</w:t>
            </w:r>
          </w:p>
        </w:tc>
        <w:tc>
          <w:tcPr>
            <w:tcW w:w="522" w:type="pct"/>
            <w:gridSpan w:val="2"/>
            <w:shd w:val="clear" w:color="auto" w:fill="auto"/>
            <w:vAlign w:val="center"/>
            <w:hideMark/>
          </w:tcPr>
          <w:p w14:paraId="076B90C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1.1</w:t>
            </w:r>
          </w:p>
        </w:tc>
        <w:tc>
          <w:tcPr>
            <w:tcW w:w="746" w:type="pct"/>
            <w:vAlign w:val="center"/>
          </w:tcPr>
          <w:p w14:paraId="449DD3D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w:t>
            </w:r>
          </w:p>
        </w:tc>
        <w:tc>
          <w:tcPr>
            <w:tcW w:w="621" w:type="pct"/>
            <w:shd w:val="clear" w:color="auto" w:fill="auto"/>
            <w:vAlign w:val="center"/>
            <w:hideMark/>
          </w:tcPr>
          <w:p w14:paraId="75D3FB9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20</w:t>
            </w:r>
          </w:p>
        </w:tc>
      </w:tr>
      <w:tr w:rsidR="009D0C2E" w:rsidRPr="00B364CB" w14:paraId="1D15A9AA" w14:textId="77777777" w:rsidTr="00120F40">
        <w:trPr>
          <w:trHeight w:val="315"/>
        </w:trPr>
        <w:tc>
          <w:tcPr>
            <w:tcW w:w="351" w:type="pct"/>
            <w:shd w:val="clear" w:color="auto" w:fill="auto"/>
            <w:vAlign w:val="center"/>
            <w:hideMark/>
          </w:tcPr>
          <w:p w14:paraId="13E32B4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w:t>
            </w:r>
          </w:p>
        </w:tc>
        <w:tc>
          <w:tcPr>
            <w:tcW w:w="1739" w:type="pct"/>
            <w:shd w:val="clear" w:color="auto" w:fill="auto"/>
            <w:vAlign w:val="center"/>
            <w:hideMark/>
          </w:tcPr>
          <w:p w14:paraId="0CFF17CF"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Capital cost</w:t>
            </w:r>
          </w:p>
        </w:tc>
        <w:tc>
          <w:tcPr>
            <w:tcW w:w="1021" w:type="pct"/>
            <w:shd w:val="clear" w:color="auto" w:fill="auto"/>
            <w:vAlign w:val="center"/>
            <w:hideMark/>
          </w:tcPr>
          <w:p w14:paraId="314126B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522" w:type="pct"/>
            <w:gridSpan w:val="2"/>
            <w:shd w:val="clear" w:color="auto" w:fill="auto"/>
            <w:vAlign w:val="center"/>
            <w:hideMark/>
          </w:tcPr>
          <w:p w14:paraId="2B76C4A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750</w:t>
            </w:r>
          </w:p>
        </w:tc>
        <w:tc>
          <w:tcPr>
            <w:tcW w:w="746" w:type="pct"/>
            <w:vAlign w:val="center"/>
          </w:tcPr>
          <w:p w14:paraId="0663C8F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700</w:t>
            </w:r>
          </w:p>
        </w:tc>
        <w:tc>
          <w:tcPr>
            <w:tcW w:w="621" w:type="pct"/>
            <w:shd w:val="clear" w:color="auto" w:fill="auto"/>
            <w:vAlign w:val="center"/>
            <w:hideMark/>
          </w:tcPr>
          <w:p w14:paraId="3D20597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600</w:t>
            </w:r>
          </w:p>
        </w:tc>
      </w:tr>
    </w:tbl>
    <w:p w14:paraId="631A9A66" w14:textId="77777777" w:rsidR="009D0C2E" w:rsidRPr="00B364CB" w:rsidRDefault="009D0C2E" w:rsidP="009D0C2E">
      <w:pPr>
        <w:tabs>
          <w:tab w:val="left" w:pos="1805"/>
        </w:tabs>
        <w:spacing w:after="120"/>
        <w:jc w:val="both"/>
        <w:rPr>
          <w:rFonts w:cstheme="minorHAnsi"/>
          <w:b/>
          <w:iCs/>
          <w:color w:val="auto"/>
          <w:sz w:val="16"/>
          <w:szCs w:val="16"/>
          <w:u w:val="single"/>
        </w:rPr>
      </w:pPr>
    </w:p>
    <w:p w14:paraId="0EA22B60"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7E66C010"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Depleted gas field: pressure hydrogen storage in a depleted gas field, around 1,000 and 2,000 meters below the ground</w:t>
      </w:r>
    </w:p>
    <w:p w14:paraId="46E31CE0"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Salt cavern: underground hydrogen storage in a located between 1,000 and 2,000 meters below the ground level, pure H</w:t>
      </w:r>
      <w:r w:rsidRPr="00AB30F1">
        <w:rPr>
          <w:rFonts w:cstheme="minorHAnsi"/>
          <w:iCs/>
          <w:color w:val="auto"/>
          <w:sz w:val="16"/>
          <w:szCs w:val="16"/>
          <w:vertAlign w:val="subscript"/>
        </w:rPr>
        <w:t>2</w:t>
      </w:r>
      <w:r w:rsidRPr="00B364CB">
        <w:rPr>
          <w:rFonts w:cstheme="minorHAnsi"/>
          <w:iCs/>
          <w:color w:val="auto"/>
          <w:sz w:val="16"/>
          <w:szCs w:val="16"/>
        </w:rPr>
        <w:t xml:space="preserve"> considered (100% H</w:t>
      </w:r>
      <w:r w:rsidRPr="00AB30F1">
        <w:rPr>
          <w:rFonts w:cstheme="minorHAnsi"/>
          <w:iCs/>
          <w:color w:val="auto"/>
          <w:sz w:val="16"/>
          <w:szCs w:val="16"/>
          <w:vertAlign w:val="subscript"/>
        </w:rPr>
        <w:t>2</w:t>
      </w:r>
      <w:r w:rsidRPr="00B364CB">
        <w:rPr>
          <w:rFonts w:cstheme="minorHAnsi"/>
          <w:iCs/>
          <w:color w:val="auto"/>
          <w:sz w:val="16"/>
          <w:szCs w:val="16"/>
        </w:rPr>
        <w:t>)</w:t>
      </w:r>
    </w:p>
    <w:p w14:paraId="11D788FB"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Aboveground storage: hydrogen storage system formed by a vessel or group of vessels, built over a unique structure (rack, container, skeleton trailer, etc.) and shipped individually that is storing and supplying hydrogen as a single unit</w:t>
      </w:r>
    </w:p>
    <w:p w14:paraId="14AEC33A" w14:textId="77777777" w:rsidR="009D0C2E"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KP-1: Capital costs include all necessary components to operate the storage system, including compression (120 bar) and purification. The costs are referred to the mass of hydrogen recovered from the storage. </w:t>
      </w:r>
    </w:p>
    <w:p w14:paraId="0F844AD6" w14:textId="4B7E83BF" w:rsidR="009D0C2E" w:rsidRPr="00B364CB" w:rsidRDefault="009D0C2E" w:rsidP="009D0C2E">
      <w:pPr>
        <w:tabs>
          <w:tab w:val="left" w:pos="1805"/>
        </w:tabs>
        <w:spacing w:after="120"/>
        <w:jc w:val="both"/>
        <w:rPr>
          <w:rFonts w:cstheme="minorHAnsi"/>
          <w:iCs/>
          <w:color w:val="auto"/>
          <w:sz w:val="16"/>
          <w:szCs w:val="16"/>
        </w:rPr>
      </w:pPr>
      <w:r>
        <w:rPr>
          <w:rFonts w:cstheme="minorHAnsi"/>
          <w:iCs/>
          <w:color w:val="auto"/>
          <w:sz w:val="16"/>
          <w:szCs w:val="16"/>
        </w:rPr>
        <w:t xml:space="preserve">KPI-3: </w:t>
      </w:r>
      <w:r w:rsidR="007F6A18">
        <w:rPr>
          <w:rFonts w:cstheme="minorHAnsi"/>
          <w:iCs/>
          <w:color w:val="auto"/>
          <w:sz w:val="16"/>
          <w:szCs w:val="16"/>
        </w:rPr>
        <w:t>B</w:t>
      </w:r>
      <w:r w:rsidRPr="00D73038">
        <w:rPr>
          <w:rFonts w:cstheme="minorHAnsi"/>
          <w:iCs/>
          <w:color w:val="auto"/>
          <w:sz w:val="16"/>
          <w:szCs w:val="16"/>
        </w:rPr>
        <w:t>ased on the working mass of hydrogen stored</w:t>
      </w:r>
      <w:r>
        <w:rPr>
          <w:rFonts w:cstheme="minorHAnsi"/>
          <w:iCs/>
          <w:color w:val="auto"/>
          <w:sz w:val="16"/>
          <w:szCs w:val="16"/>
        </w:rPr>
        <w:t>, pure hydrogen considered</w:t>
      </w:r>
      <w:r w:rsidR="00F71FB6">
        <w:rPr>
          <w:rFonts w:cstheme="minorHAnsi"/>
          <w:iCs/>
          <w:color w:val="auto"/>
          <w:sz w:val="16"/>
          <w:szCs w:val="16"/>
        </w:rPr>
        <w:t>.</w:t>
      </w:r>
    </w:p>
    <w:p w14:paraId="6137A126" w14:textId="2143012A" w:rsidR="009D0C2E" w:rsidRPr="00B364CB" w:rsidRDefault="009D0C2E" w:rsidP="009D0C2E">
      <w:pPr>
        <w:tabs>
          <w:tab w:val="left" w:pos="1805"/>
        </w:tabs>
        <w:spacing w:after="120"/>
        <w:jc w:val="both"/>
      </w:pPr>
      <w:r w:rsidRPr="00B364CB">
        <w:rPr>
          <w:rFonts w:cstheme="minorHAnsi"/>
          <w:iCs/>
          <w:color w:val="auto"/>
          <w:sz w:val="16"/>
          <w:szCs w:val="16"/>
        </w:rPr>
        <w:t xml:space="preserve">KPI-4: </w:t>
      </w:r>
      <w:r w:rsidR="007F6A18">
        <w:rPr>
          <w:rFonts w:cstheme="minorHAnsi"/>
          <w:iCs/>
          <w:color w:val="auto"/>
          <w:sz w:val="16"/>
          <w:szCs w:val="16"/>
        </w:rPr>
        <w:t>S</w:t>
      </w:r>
      <w:r w:rsidRPr="00B364CB">
        <w:rPr>
          <w:rFonts w:cstheme="minorHAnsi"/>
          <w:iCs/>
          <w:color w:val="auto"/>
          <w:sz w:val="16"/>
          <w:szCs w:val="16"/>
        </w:rPr>
        <w:t>torage density of more than 40 kg-H</w:t>
      </w:r>
      <w:r w:rsidRPr="00AB30F1">
        <w:rPr>
          <w:rFonts w:cstheme="minorHAnsi"/>
          <w:iCs/>
          <w:color w:val="auto"/>
          <w:sz w:val="16"/>
          <w:szCs w:val="16"/>
          <w:vertAlign w:val="subscript"/>
        </w:rPr>
        <w:t>2</w:t>
      </w:r>
      <w:r w:rsidRPr="00B364CB">
        <w:rPr>
          <w:rFonts w:cstheme="minorHAnsi"/>
          <w:iCs/>
          <w:color w:val="auto"/>
          <w:sz w:val="16"/>
          <w:szCs w:val="16"/>
        </w:rPr>
        <w:t xml:space="preserve"> per m³ storage vessel. KPI applicable to compressed gas H</w:t>
      </w:r>
      <w:r w:rsidRPr="00AB30F1">
        <w:rPr>
          <w:rFonts w:cstheme="minorHAnsi"/>
          <w:iCs/>
          <w:color w:val="auto"/>
          <w:sz w:val="16"/>
          <w:szCs w:val="16"/>
          <w:vertAlign w:val="subscript"/>
        </w:rPr>
        <w:t>2</w:t>
      </w:r>
      <w:r w:rsidRPr="00B364CB">
        <w:rPr>
          <w:rFonts w:cstheme="minorHAnsi"/>
          <w:iCs/>
          <w:color w:val="auto"/>
          <w:sz w:val="16"/>
          <w:szCs w:val="16"/>
        </w:rPr>
        <w:t>, in spheres, tubes, pipes, per-stressed concrete containers, etc.</w:t>
      </w:r>
      <w:r w:rsidRPr="00B364CB">
        <w:t xml:space="preserve"> </w:t>
      </w:r>
    </w:p>
    <w:p w14:paraId="2E2E0B7E" w14:textId="5414E3F2"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KP-5: </w:t>
      </w:r>
      <w:r w:rsidR="007F6A18">
        <w:rPr>
          <w:rFonts w:cstheme="minorHAnsi"/>
          <w:iCs/>
          <w:color w:val="auto"/>
          <w:sz w:val="16"/>
          <w:szCs w:val="16"/>
        </w:rPr>
        <w:t>C</w:t>
      </w:r>
      <w:r w:rsidRPr="00B364CB">
        <w:rPr>
          <w:rFonts w:cstheme="minorHAnsi"/>
          <w:iCs/>
          <w:color w:val="auto"/>
          <w:sz w:val="16"/>
          <w:szCs w:val="16"/>
        </w:rPr>
        <w:t xml:space="preserve">ost of the storage vessel </w:t>
      </w:r>
      <w:r w:rsidR="00F80275">
        <w:rPr>
          <w:rFonts w:cstheme="minorHAnsi"/>
          <w:iCs/>
          <w:color w:val="auto"/>
          <w:sz w:val="16"/>
          <w:szCs w:val="16"/>
        </w:rPr>
        <w:t>including</w:t>
      </w:r>
      <w:r w:rsidR="00F80275" w:rsidRPr="00B364CB">
        <w:rPr>
          <w:rFonts w:cstheme="minorHAnsi"/>
          <w:iCs/>
          <w:color w:val="auto"/>
          <w:sz w:val="16"/>
          <w:szCs w:val="16"/>
        </w:rPr>
        <w:t xml:space="preserve"> all necessary components to operate the storage system, including compression and purification</w:t>
      </w:r>
      <w:r w:rsidR="00F80275">
        <w:rPr>
          <w:rFonts w:cstheme="minorHAnsi"/>
          <w:iCs/>
          <w:color w:val="auto"/>
          <w:sz w:val="16"/>
          <w:szCs w:val="16"/>
        </w:rPr>
        <w:t>,</w:t>
      </w:r>
      <w:r w:rsidR="00F80275" w:rsidRPr="00B364CB">
        <w:rPr>
          <w:rFonts w:cstheme="minorHAnsi"/>
          <w:iCs/>
          <w:color w:val="auto"/>
          <w:sz w:val="16"/>
          <w:szCs w:val="16"/>
        </w:rPr>
        <w:t xml:space="preserve"> excluding pumping, liquefaction etc.</w:t>
      </w:r>
      <w:r w:rsidR="006C54FF" w:rsidRPr="006C54FF">
        <w:rPr>
          <w:rFonts w:cstheme="minorHAnsi"/>
          <w:iCs/>
          <w:color w:val="auto"/>
          <w:sz w:val="16"/>
          <w:szCs w:val="16"/>
        </w:rPr>
        <w:t xml:space="preserve"> </w:t>
      </w:r>
      <w:r w:rsidR="006C54FF">
        <w:rPr>
          <w:rFonts w:cstheme="minorHAnsi"/>
          <w:iCs/>
          <w:color w:val="auto"/>
          <w:sz w:val="16"/>
          <w:szCs w:val="16"/>
        </w:rPr>
        <w:t>The costs are reffered to</w:t>
      </w:r>
      <w:r w:rsidR="006C54FF" w:rsidRPr="00B364CB">
        <w:rPr>
          <w:rFonts w:cstheme="minorHAnsi"/>
          <w:iCs/>
          <w:color w:val="auto"/>
          <w:sz w:val="16"/>
          <w:szCs w:val="16"/>
        </w:rPr>
        <w:t xml:space="preserve"> the </w:t>
      </w:r>
      <w:r w:rsidR="006C54FF">
        <w:rPr>
          <w:rFonts w:cstheme="minorHAnsi"/>
          <w:iCs/>
          <w:color w:val="auto"/>
          <w:sz w:val="16"/>
          <w:szCs w:val="16"/>
        </w:rPr>
        <w:t>working mass of hydrogen</w:t>
      </w:r>
      <w:r w:rsidRPr="00B364CB">
        <w:rPr>
          <w:rFonts w:cstheme="minorHAnsi"/>
          <w:iCs/>
          <w:color w:val="auto"/>
          <w:sz w:val="16"/>
          <w:szCs w:val="16"/>
        </w:rPr>
        <w:t xml:space="preserve"> </w:t>
      </w:r>
    </w:p>
    <w:p w14:paraId="377BAEB3" w14:textId="453D0DA1" w:rsidR="009D0C2E" w:rsidRPr="00B364CB" w:rsidRDefault="00F71FB6" w:rsidP="009D0C2E">
      <w:pPr>
        <w:tabs>
          <w:tab w:val="left" w:pos="1805"/>
        </w:tabs>
        <w:spacing w:after="120"/>
        <w:jc w:val="both"/>
        <w:rPr>
          <w:rFonts w:cstheme="minorHAnsi"/>
          <w:iCs/>
          <w:color w:val="auto"/>
          <w:sz w:val="16"/>
          <w:szCs w:val="16"/>
        </w:rPr>
      </w:pPr>
      <w:r>
        <w:rPr>
          <w:rFonts w:cstheme="minorHAnsi"/>
          <w:iCs/>
          <w:color w:val="auto"/>
          <w:sz w:val="16"/>
          <w:szCs w:val="16"/>
        </w:rPr>
        <w:t>(</w:t>
      </w:r>
      <w:r w:rsidR="009D0C2E" w:rsidRPr="00B364CB">
        <w:rPr>
          <w:rFonts w:cstheme="minorHAnsi"/>
          <w:iCs/>
          <w:color w:val="auto"/>
          <w:sz w:val="16"/>
          <w:szCs w:val="16"/>
        </w:rPr>
        <w:t>KPI-4</w:t>
      </w:r>
      <w:r>
        <w:rPr>
          <w:rFonts w:cstheme="minorHAnsi"/>
          <w:iCs/>
          <w:color w:val="auto"/>
          <w:sz w:val="16"/>
          <w:szCs w:val="16"/>
        </w:rPr>
        <w:t>)</w:t>
      </w:r>
      <w:r w:rsidR="009D0C2E" w:rsidRPr="00B364CB">
        <w:rPr>
          <w:rFonts w:cstheme="minorHAnsi"/>
          <w:iCs/>
          <w:color w:val="auto"/>
          <w:sz w:val="16"/>
          <w:szCs w:val="16"/>
        </w:rPr>
        <w:t xml:space="preserve"> and </w:t>
      </w:r>
      <w:r>
        <w:rPr>
          <w:rFonts w:cstheme="minorHAnsi"/>
          <w:iCs/>
          <w:color w:val="auto"/>
          <w:sz w:val="16"/>
          <w:szCs w:val="16"/>
        </w:rPr>
        <w:t>(</w:t>
      </w:r>
      <w:r w:rsidR="009D0C2E" w:rsidRPr="00B364CB">
        <w:rPr>
          <w:rFonts w:cstheme="minorHAnsi"/>
          <w:iCs/>
          <w:color w:val="auto"/>
          <w:sz w:val="16"/>
          <w:szCs w:val="16"/>
        </w:rPr>
        <w:t>KPI-5</w:t>
      </w:r>
      <w:r>
        <w:rPr>
          <w:rFonts w:cstheme="minorHAnsi"/>
          <w:iCs/>
          <w:color w:val="auto"/>
          <w:sz w:val="16"/>
          <w:szCs w:val="16"/>
        </w:rPr>
        <w:t>)</w:t>
      </w:r>
      <w:r w:rsidR="009D0C2E" w:rsidRPr="00B364CB">
        <w:rPr>
          <w:rFonts w:cstheme="minorHAnsi"/>
          <w:iCs/>
          <w:color w:val="auto"/>
          <w:sz w:val="16"/>
          <w:szCs w:val="16"/>
        </w:rPr>
        <w:t xml:space="preserve"> </w:t>
      </w:r>
      <w:r>
        <w:rPr>
          <w:rFonts w:cstheme="minorHAnsi"/>
          <w:iCs/>
          <w:color w:val="auto"/>
          <w:sz w:val="16"/>
          <w:szCs w:val="16"/>
        </w:rPr>
        <w:t>should be</w:t>
      </w:r>
      <w:r w:rsidR="009D0C2E" w:rsidRPr="00B364CB">
        <w:rPr>
          <w:rFonts w:cstheme="minorHAnsi"/>
          <w:iCs/>
          <w:color w:val="auto"/>
          <w:sz w:val="16"/>
          <w:szCs w:val="16"/>
        </w:rPr>
        <w:t xml:space="preserve"> reached together</w:t>
      </w:r>
      <w:r>
        <w:rPr>
          <w:rFonts w:cstheme="minorHAnsi"/>
          <w:iCs/>
          <w:color w:val="auto"/>
          <w:sz w:val="16"/>
          <w:szCs w:val="16"/>
        </w:rPr>
        <w:t>.</w:t>
      </w:r>
    </w:p>
    <w:p w14:paraId="1EE9DF46" w14:textId="77777777" w:rsidR="009D0C2E" w:rsidRPr="00B364CB" w:rsidRDefault="009D0C2E" w:rsidP="009D0C2E">
      <w:pPr>
        <w:tabs>
          <w:tab w:val="left" w:pos="1805"/>
        </w:tabs>
        <w:spacing w:after="120"/>
        <w:jc w:val="both"/>
        <w:rPr>
          <w:rFonts w:cstheme="minorHAnsi"/>
          <w:iCs/>
          <w:color w:val="auto"/>
          <w:sz w:val="16"/>
          <w:szCs w:val="16"/>
        </w:rPr>
      </w:pPr>
    </w:p>
    <w:p w14:paraId="0D273688" w14:textId="3E7BC94E" w:rsidR="009D0C2E" w:rsidRPr="00B364CB" w:rsidRDefault="009D0C2E" w:rsidP="009D0C2E">
      <w:pPr>
        <w:pStyle w:val="Caption"/>
        <w:rPr>
          <w:sz w:val="24"/>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12</w:t>
      </w:r>
      <w:r w:rsidRPr="00B364CB">
        <w:rPr>
          <w:sz w:val="24"/>
        </w:rPr>
        <w:fldChar w:fldCharType="end"/>
      </w:r>
      <w:r w:rsidRPr="00B364CB">
        <w:rPr>
          <w:sz w:val="24"/>
        </w:rPr>
        <w:t>: KPIs for hydrogen carriers</w:t>
      </w:r>
    </w:p>
    <w:tbl>
      <w:tblPr>
        <w:tblpPr w:leftFromText="180" w:rightFromText="180" w:vertAnchor="text" w:tblpY="1"/>
        <w:tblOverlap w:val="never"/>
        <w:tblW w:w="5000" w:type="pct"/>
        <w:tblLook w:val="04A0" w:firstRow="1" w:lastRow="0" w:firstColumn="1" w:lastColumn="0" w:noHBand="0" w:noVBand="1"/>
      </w:tblPr>
      <w:tblGrid>
        <w:gridCol w:w="649"/>
        <w:gridCol w:w="2245"/>
        <w:gridCol w:w="1922"/>
        <w:gridCol w:w="1104"/>
        <w:gridCol w:w="1115"/>
        <w:gridCol w:w="2075"/>
      </w:tblGrid>
      <w:tr w:rsidR="009D0C2E" w:rsidRPr="00B364CB" w14:paraId="68784932" w14:textId="77777777" w:rsidTr="00120F40">
        <w:trPr>
          <w:trHeight w:val="345"/>
        </w:trPr>
        <w:tc>
          <w:tcPr>
            <w:tcW w:w="356" w:type="pct"/>
            <w:vMerge w:val="restart"/>
            <w:tcBorders>
              <w:top w:val="single" w:sz="8" w:space="0" w:color="auto"/>
              <w:left w:val="single" w:sz="8" w:space="0" w:color="000000"/>
              <w:bottom w:val="single" w:sz="8" w:space="0" w:color="auto"/>
              <w:right w:val="single" w:sz="8" w:space="0" w:color="000000"/>
            </w:tcBorders>
            <w:shd w:val="clear" w:color="auto" w:fill="BFBFBF" w:themeFill="background1" w:themeFillShade="BF"/>
            <w:vAlign w:val="center"/>
            <w:hideMark/>
          </w:tcPr>
          <w:p w14:paraId="3463B86D"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No</w:t>
            </w:r>
          </w:p>
        </w:tc>
        <w:tc>
          <w:tcPr>
            <w:tcW w:w="1232" w:type="pct"/>
            <w:vMerge w:val="restart"/>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14:paraId="70A71033"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Parameter</w:t>
            </w:r>
          </w:p>
        </w:tc>
        <w:tc>
          <w:tcPr>
            <w:tcW w:w="1055" w:type="pct"/>
            <w:vMerge w:val="restart"/>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5425763A"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Unit</w:t>
            </w:r>
          </w:p>
        </w:tc>
        <w:tc>
          <w:tcPr>
            <w:tcW w:w="606"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3C357918"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752" w:type="pct"/>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6A736861"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1DB46D23" w14:textId="77777777" w:rsidTr="00120F40">
        <w:trPr>
          <w:trHeight w:val="449"/>
        </w:trPr>
        <w:tc>
          <w:tcPr>
            <w:tcW w:w="356" w:type="pct"/>
            <w:vMerge/>
            <w:tcBorders>
              <w:top w:val="single" w:sz="8" w:space="0" w:color="000000"/>
              <w:left w:val="single" w:sz="8" w:space="0" w:color="000000"/>
              <w:bottom w:val="single" w:sz="8" w:space="0" w:color="auto"/>
              <w:right w:val="single" w:sz="8" w:space="0" w:color="000000"/>
            </w:tcBorders>
            <w:shd w:val="clear" w:color="auto" w:fill="BFBFBF" w:themeFill="background1" w:themeFillShade="BF"/>
            <w:vAlign w:val="center"/>
            <w:hideMark/>
          </w:tcPr>
          <w:p w14:paraId="699CFBF2" w14:textId="77777777" w:rsidR="009D0C2E" w:rsidRPr="00B364CB" w:rsidRDefault="009D0C2E" w:rsidP="009D0C2E">
            <w:pPr>
              <w:widowControl/>
              <w:jc w:val="center"/>
              <w:rPr>
                <w:rFonts w:cs="Arial"/>
                <w:b/>
                <w:bCs/>
                <w:sz w:val="20"/>
                <w:szCs w:val="20"/>
                <w:lang w:eastAsia="en-GB" w:bidi="ar-SA"/>
              </w:rPr>
            </w:pPr>
          </w:p>
        </w:tc>
        <w:tc>
          <w:tcPr>
            <w:tcW w:w="1232" w:type="pct"/>
            <w:vMerge/>
            <w:tcBorders>
              <w:top w:val="single" w:sz="8" w:space="0" w:color="000000"/>
              <w:left w:val="nil"/>
              <w:bottom w:val="single" w:sz="8" w:space="0" w:color="auto"/>
              <w:right w:val="single" w:sz="8" w:space="0" w:color="000000"/>
            </w:tcBorders>
            <w:shd w:val="clear" w:color="auto" w:fill="BFBFBF" w:themeFill="background1" w:themeFillShade="BF"/>
            <w:vAlign w:val="center"/>
            <w:hideMark/>
          </w:tcPr>
          <w:p w14:paraId="467A6BA0" w14:textId="77777777" w:rsidR="009D0C2E" w:rsidRPr="00B364CB" w:rsidRDefault="009D0C2E" w:rsidP="009D0C2E">
            <w:pPr>
              <w:widowControl/>
              <w:jc w:val="center"/>
              <w:rPr>
                <w:rFonts w:cs="Arial"/>
                <w:b/>
                <w:bCs/>
                <w:sz w:val="20"/>
                <w:szCs w:val="20"/>
                <w:lang w:eastAsia="en-GB" w:bidi="ar-SA"/>
              </w:rPr>
            </w:pPr>
          </w:p>
        </w:tc>
        <w:tc>
          <w:tcPr>
            <w:tcW w:w="1055" w:type="pct"/>
            <w:vMerge/>
            <w:tcBorders>
              <w:top w:val="single" w:sz="8" w:space="0" w:color="000000"/>
              <w:left w:val="nil"/>
              <w:bottom w:val="single" w:sz="8" w:space="0" w:color="auto"/>
              <w:right w:val="single" w:sz="8" w:space="0" w:color="auto"/>
            </w:tcBorders>
            <w:shd w:val="clear" w:color="auto" w:fill="BFBFBF" w:themeFill="background1" w:themeFillShade="BF"/>
            <w:vAlign w:val="center"/>
            <w:hideMark/>
          </w:tcPr>
          <w:p w14:paraId="617FA480" w14:textId="77777777" w:rsidR="009D0C2E" w:rsidRPr="00B364CB" w:rsidRDefault="009D0C2E" w:rsidP="009D0C2E">
            <w:pPr>
              <w:widowControl/>
              <w:jc w:val="center"/>
              <w:rPr>
                <w:rFonts w:cs="Arial"/>
                <w:b/>
                <w:bCs/>
                <w:sz w:val="20"/>
                <w:szCs w:val="20"/>
                <w:lang w:eastAsia="en-GB" w:bidi="ar-SA"/>
              </w:rPr>
            </w:pPr>
          </w:p>
        </w:tc>
        <w:tc>
          <w:tcPr>
            <w:tcW w:w="606" w:type="pct"/>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78D6B85C"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612" w:type="pct"/>
            <w:tcBorders>
              <w:top w:val="single" w:sz="8" w:space="0" w:color="auto"/>
              <w:left w:val="single" w:sz="4" w:space="0" w:color="auto"/>
              <w:bottom w:val="single" w:sz="8" w:space="0" w:color="auto"/>
              <w:right w:val="single" w:sz="4" w:space="0" w:color="auto"/>
            </w:tcBorders>
            <w:shd w:val="clear" w:color="auto" w:fill="BFBFBF" w:themeFill="background1" w:themeFillShade="BF"/>
            <w:vAlign w:val="center"/>
          </w:tcPr>
          <w:p w14:paraId="606B96E8"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1140" w:type="pct"/>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hideMark/>
          </w:tcPr>
          <w:p w14:paraId="1A893B4B"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70085818" w14:textId="77777777" w:rsidTr="00120F40">
        <w:trPr>
          <w:trHeight w:val="529"/>
        </w:trPr>
        <w:tc>
          <w:tcPr>
            <w:tcW w:w="356" w:type="pct"/>
            <w:tcBorders>
              <w:top w:val="single" w:sz="8" w:space="0" w:color="auto"/>
              <w:left w:val="single" w:sz="8" w:space="0" w:color="000000"/>
              <w:bottom w:val="single" w:sz="8" w:space="0" w:color="000000"/>
              <w:right w:val="single" w:sz="8" w:space="0" w:color="000000"/>
            </w:tcBorders>
            <w:shd w:val="clear" w:color="auto" w:fill="auto"/>
            <w:vAlign w:val="center"/>
            <w:hideMark/>
          </w:tcPr>
          <w:p w14:paraId="2DCB96BB" w14:textId="77777777" w:rsidR="009D0C2E" w:rsidRPr="00B364CB" w:rsidRDefault="009D0C2E" w:rsidP="009D0C2E">
            <w:pPr>
              <w:widowControl/>
              <w:jc w:val="center"/>
              <w:rPr>
                <w:rFonts w:cs="Arial"/>
                <w:bCs/>
                <w:sz w:val="20"/>
                <w:szCs w:val="20"/>
                <w:lang w:eastAsia="en-GB" w:bidi="ar-SA"/>
              </w:rPr>
            </w:pPr>
            <w:r w:rsidRPr="00B364CB">
              <w:rPr>
                <w:rFonts w:cs="Arial"/>
                <w:sz w:val="20"/>
                <w:szCs w:val="20"/>
                <w:lang w:eastAsia="en-GB" w:bidi="ar-SA"/>
              </w:rPr>
              <w:t>1</w:t>
            </w:r>
          </w:p>
        </w:tc>
        <w:tc>
          <w:tcPr>
            <w:tcW w:w="1232" w:type="pct"/>
            <w:tcBorders>
              <w:top w:val="single" w:sz="8" w:space="0" w:color="auto"/>
              <w:left w:val="nil"/>
              <w:bottom w:val="single" w:sz="8" w:space="0" w:color="000000"/>
              <w:right w:val="single" w:sz="8" w:space="0" w:color="000000"/>
            </w:tcBorders>
            <w:shd w:val="clear" w:color="auto" w:fill="auto"/>
            <w:vAlign w:val="center"/>
          </w:tcPr>
          <w:p w14:paraId="7662548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w:t>
            </w:r>
            <w:r w:rsidRPr="006413FE">
              <w:rPr>
                <w:rFonts w:cs="Arial"/>
                <w:sz w:val="20"/>
                <w:szCs w:val="20"/>
                <w:vertAlign w:val="subscript"/>
                <w:lang w:eastAsia="en-GB" w:bidi="ar-SA"/>
              </w:rPr>
              <w:t>2</w:t>
            </w:r>
            <w:r w:rsidRPr="00B364CB">
              <w:rPr>
                <w:rFonts w:cs="Arial"/>
                <w:sz w:val="13"/>
                <w:szCs w:val="13"/>
                <w:lang w:eastAsia="en-GB" w:bidi="ar-SA"/>
              </w:rPr>
              <w:t xml:space="preserve"> </w:t>
            </w:r>
            <w:r w:rsidRPr="00B364CB">
              <w:rPr>
                <w:rFonts w:cs="Arial"/>
                <w:sz w:val="20"/>
                <w:szCs w:val="20"/>
                <w:lang w:eastAsia="en-GB" w:bidi="ar-SA"/>
              </w:rPr>
              <w:t>liquefaction energy intensity</w:t>
            </w:r>
          </w:p>
        </w:tc>
        <w:tc>
          <w:tcPr>
            <w:tcW w:w="1055" w:type="pct"/>
            <w:tcBorders>
              <w:top w:val="single" w:sz="8" w:space="0" w:color="auto"/>
              <w:left w:val="nil"/>
              <w:bottom w:val="single" w:sz="8" w:space="0" w:color="000000"/>
              <w:right w:val="single" w:sz="8" w:space="0" w:color="000000"/>
            </w:tcBorders>
            <w:shd w:val="clear" w:color="auto" w:fill="auto"/>
            <w:vAlign w:val="center"/>
          </w:tcPr>
          <w:p w14:paraId="3552B68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kWh/kg</w:t>
            </w:r>
          </w:p>
        </w:tc>
        <w:tc>
          <w:tcPr>
            <w:tcW w:w="606" w:type="pct"/>
            <w:tcBorders>
              <w:top w:val="single" w:sz="8" w:space="0" w:color="auto"/>
              <w:left w:val="nil"/>
              <w:bottom w:val="single" w:sz="8" w:space="0" w:color="000000"/>
              <w:right w:val="single" w:sz="8" w:space="0" w:color="auto"/>
            </w:tcBorders>
            <w:shd w:val="clear" w:color="auto" w:fill="auto"/>
            <w:vAlign w:val="center"/>
          </w:tcPr>
          <w:p w14:paraId="41307ADC"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lang w:eastAsia="en-GB" w:bidi="ar-SA"/>
              </w:rPr>
              <w:t>10-12</w:t>
            </w:r>
          </w:p>
        </w:tc>
        <w:tc>
          <w:tcPr>
            <w:tcW w:w="612" w:type="pct"/>
            <w:tcBorders>
              <w:top w:val="single" w:sz="8" w:space="0" w:color="auto"/>
              <w:left w:val="single" w:sz="8" w:space="0" w:color="auto"/>
              <w:bottom w:val="single" w:sz="8" w:space="0" w:color="auto"/>
              <w:right w:val="single" w:sz="8" w:space="0" w:color="auto"/>
            </w:tcBorders>
            <w:vAlign w:val="center"/>
          </w:tcPr>
          <w:p w14:paraId="7BE61765" w14:textId="77777777" w:rsidR="009D0C2E" w:rsidRPr="00B364CB" w:rsidRDefault="009D0C2E" w:rsidP="009D0C2E">
            <w:pPr>
              <w:widowControl/>
              <w:jc w:val="center"/>
              <w:rPr>
                <w:rFonts w:cs="Arial"/>
                <w:color w:val="auto"/>
                <w:sz w:val="20"/>
                <w:szCs w:val="20"/>
                <w:lang w:eastAsia="en-GB" w:bidi="ar-SA"/>
              </w:rPr>
            </w:pPr>
            <w:r w:rsidRPr="00B364CB">
              <w:rPr>
                <w:rFonts w:cs="Arial"/>
                <w:color w:val="auto"/>
                <w:sz w:val="20"/>
                <w:szCs w:val="20"/>
                <w:lang w:eastAsia="en-GB" w:bidi="ar-SA"/>
              </w:rPr>
              <w:t>8-10</w:t>
            </w:r>
          </w:p>
        </w:tc>
        <w:tc>
          <w:tcPr>
            <w:tcW w:w="1140" w:type="pct"/>
            <w:tcBorders>
              <w:top w:val="single" w:sz="8" w:space="0" w:color="auto"/>
              <w:left w:val="single" w:sz="8" w:space="0" w:color="auto"/>
              <w:bottom w:val="single" w:sz="8" w:space="0" w:color="auto"/>
              <w:right w:val="single" w:sz="8" w:space="0" w:color="auto"/>
            </w:tcBorders>
            <w:shd w:val="clear" w:color="auto" w:fill="auto"/>
            <w:vAlign w:val="center"/>
          </w:tcPr>
          <w:p w14:paraId="451C76DA"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lang w:eastAsia="en-GB" w:bidi="ar-SA"/>
              </w:rPr>
              <w:t>6-8</w:t>
            </w:r>
          </w:p>
        </w:tc>
      </w:tr>
      <w:tr w:rsidR="009D0C2E" w:rsidRPr="00B364CB" w14:paraId="47BF755F" w14:textId="77777777" w:rsidTr="00120F40">
        <w:trPr>
          <w:trHeight w:val="529"/>
        </w:trPr>
        <w:tc>
          <w:tcPr>
            <w:tcW w:w="356" w:type="pct"/>
            <w:tcBorders>
              <w:top w:val="nil"/>
              <w:left w:val="single" w:sz="8" w:space="0" w:color="000000"/>
              <w:bottom w:val="single" w:sz="8" w:space="0" w:color="000000"/>
              <w:right w:val="single" w:sz="8" w:space="0" w:color="000000"/>
            </w:tcBorders>
            <w:shd w:val="clear" w:color="auto" w:fill="auto"/>
            <w:vAlign w:val="center"/>
            <w:hideMark/>
          </w:tcPr>
          <w:p w14:paraId="0B2874D4" w14:textId="77777777" w:rsidR="009D0C2E" w:rsidRPr="00B364CB" w:rsidRDefault="009D0C2E" w:rsidP="009D0C2E">
            <w:pPr>
              <w:widowControl/>
              <w:jc w:val="center"/>
              <w:rPr>
                <w:rFonts w:cs="Arial"/>
                <w:bCs/>
                <w:sz w:val="20"/>
                <w:szCs w:val="20"/>
                <w:lang w:eastAsia="en-GB" w:bidi="ar-SA"/>
              </w:rPr>
            </w:pPr>
            <w:r w:rsidRPr="00B364CB">
              <w:rPr>
                <w:rFonts w:cs="Arial"/>
                <w:sz w:val="20"/>
                <w:szCs w:val="20"/>
                <w:lang w:eastAsia="en-GB" w:bidi="ar-SA"/>
              </w:rPr>
              <w:t>2</w:t>
            </w:r>
          </w:p>
        </w:tc>
        <w:tc>
          <w:tcPr>
            <w:tcW w:w="1232" w:type="pct"/>
            <w:tcBorders>
              <w:top w:val="nil"/>
              <w:left w:val="nil"/>
              <w:bottom w:val="single" w:sz="8" w:space="0" w:color="000000"/>
              <w:right w:val="single" w:sz="8" w:space="0" w:color="000000"/>
            </w:tcBorders>
            <w:shd w:val="clear" w:color="auto" w:fill="auto"/>
            <w:vAlign w:val="center"/>
          </w:tcPr>
          <w:p w14:paraId="2A168FE8" w14:textId="04DFA245"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w:t>
            </w:r>
            <w:r w:rsidRPr="006413FE">
              <w:rPr>
                <w:rFonts w:cs="Arial"/>
                <w:sz w:val="20"/>
                <w:szCs w:val="20"/>
                <w:vertAlign w:val="subscript"/>
                <w:lang w:eastAsia="en-GB" w:bidi="ar-SA"/>
              </w:rPr>
              <w:t>2</w:t>
            </w:r>
            <w:r w:rsidRPr="00B364CB">
              <w:rPr>
                <w:rFonts w:cs="Arial"/>
                <w:sz w:val="13"/>
                <w:szCs w:val="13"/>
                <w:lang w:eastAsia="en-GB" w:bidi="ar-SA"/>
              </w:rPr>
              <w:t xml:space="preserve"> </w:t>
            </w:r>
            <w:r w:rsidRPr="00B364CB">
              <w:rPr>
                <w:rFonts w:cs="Arial"/>
                <w:sz w:val="20"/>
                <w:szCs w:val="20"/>
                <w:lang w:eastAsia="en-GB" w:bidi="ar-SA"/>
              </w:rPr>
              <w:t>liquefaction cost</w:t>
            </w:r>
          </w:p>
        </w:tc>
        <w:tc>
          <w:tcPr>
            <w:tcW w:w="1055" w:type="pct"/>
            <w:tcBorders>
              <w:top w:val="nil"/>
              <w:left w:val="nil"/>
              <w:bottom w:val="single" w:sz="8" w:space="0" w:color="000000"/>
              <w:right w:val="single" w:sz="8" w:space="0" w:color="000000"/>
            </w:tcBorders>
            <w:shd w:val="clear" w:color="auto" w:fill="auto"/>
            <w:vAlign w:val="center"/>
          </w:tcPr>
          <w:p w14:paraId="3E9B752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606" w:type="pct"/>
            <w:tcBorders>
              <w:top w:val="nil"/>
              <w:left w:val="nil"/>
              <w:bottom w:val="single" w:sz="8" w:space="0" w:color="000000"/>
              <w:right w:val="single" w:sz="8" w:space="0" w:color="auto"/>
            </w:tcBorders>
            <w:shd w:val="clear" w:color="auto" w:fill="auto"/>
            <w:vAlign w:val="center"/>
          </w:tcPr>
          <w:p w14:paraId="6CEAF42B"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lang w:eastAsia="en-GB" w:bidi="ar-SA"/>
              </w:rPr>
              <w:t>1.5</w:t>
            </w:r>
          </w:p>
        </w:tc>
        <w:tc>
          <w:tcPr>
            <w:tcW w:w="612" w:type="pct"/>
            <w:tcBorders>
              <w:top w:val="single" w:sz="8" w:space="0" w:color="auto"/>
              <w:left w:val="single" w:sz="8" w:space="0" w:color="auto"/>
              <w:bottom w:val="single" w:sz="8" w:space="0" w:color="000000"/>
              <w:right w:val="single" w:sz="8" w:space="0" w:color="auto"/>
            </w:tcBorders>
            <w:vAlign w:val="center"/>
          </w:tcPr>
          <w:p w14:paraId="0CA61800" w14:textId="77777777" w:rsidR="009D0C2E" w:rsidRPr="00B364CB" w:rsidRDefault="009D0C2E" w:rsidP="009D0C2E">
            <w:pPr>
              <w:widowControl/>
              <w:jc w:val="center"/>
              <w:rPr>
                <w:rFonts w:cs="Arial"/>
                <w:color w:val="auto"/>
                <w:sz w:val="20"/>
                <w:szCs w:val="20"/>
                <w:lang w:eastAsia="en-GB" w:bidi="ar-SA"/>
              </w:rPr>
            </w:pPr>
            <w:r w:rsidRPr="00B364CB">
              <w:rPr>
                <w:rFonts w:cs="Arial"/>
                <w:color w:val="auto"/>
                <w:sz w:val="20"/>
                <w:szCs w:val="20"/>
                <w:lang w:eastAsia="en-GB" w:bidi="ar-SA"/>
              </w:rPr>
              <w:t>&lt;1.5</w:t>
            </w:r>
          </w:p>
        </w:tc>
        <w:tc>
          <w:tcPr>
            <w:tcW w:w="1140" w:type="pct"/>
            <w:tcBorders>
              <w:top w:val="single" w:sz="8" w:space="0" w:color="auto"/>
              <w:left w:val="single" w:sz="8" w:space="0" w:color="auto"/>
              <w:bottom w:val="single" w:sz="8" w:space="0" w:color="000000"/>
              <w:right w:val="single" w:sz="8" w:space="0" w:color="auto"/>
            </w:tcBorders>
            <w:shd w:val="clear" w:color="auto" w:fill="auto"/>
            <w:vAlign w:val="center"/>
          </w:tcPr>
          <w:p w14:paraId="5AF36D93"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lang w:eastAsia="en-GB" w:bidi="ar-SA"/>
              </w:rPr>
              <w:t>&lt;1.0</w:t>
            </w:r>
          </w:p>
        </w:tc>
      </w:tr>
      <w:tr w:rsidR="009D0C2E" w:rsidRPr="00B364CB" w14:paraId="54AFBEB1" w14:textId="77777777" w:rsidTr="00120F40">
        <w:trPr>
          <w:trHeight w:val="529"/>
        </w:trPr>
        <w:tc>
          <w:tcPr>
            <w:tcW w:w="35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06969B" w14:textId="77777777" w:rsidR="009D0C2E" w:rsidRPr="00B364CB" w:rsidRDefault="009D0C2E" w:rsidP="009D0C2E">
            <w:pPr>
              <w:widowControl/>
              <w:jc w:val="center"/>
              <w:rPr>
                <w:rFonts w:cs="Arial"/>
                <w:bCs/>
                <w:sz w:val="20"/>
                <w:szCs w:val="20"/>
                <w:lang w:eastAsia="en-GB" w:bidi="ar-SA"/>
              </w:rPr>
            </w:pPr>
            <w:r w:rsidRPr="00B364CB">
              <w:rPr>
                <w:rFonts w:cs="Arial"/>
                <w:sz w:val="20"/>
                <w:szCs w:val="20"/>
                <w:lang w:eastAsia="en-GB" w:bidi="ar-SA"/>
              </w:rPr>
              <w:t>3</w:t>
            </w:r>
          </w:p>
        </w:tc>
        <w:tc>
          <w:tcPr>
            <w:tcW w:w="1232" w:type="pct"/>
            <w:tcBorders>
              <w:top w:val="single" w:sz="8" w:space="0" w:color="000000"/>
              <w:left w:val="nil"/>
              <w:bottom w:val="single" w:sz="8" w:space="0" w:color="000000"/>
              <w:right w:val="single" w:sz="8" w:space="0" w:color="000000"/>
            </w:tcBorders>
            <w:shd w:val="clear" w:color="auto" w:fill="auto"/>
            <w:vAlign w:val="center"/>
          </w:tcPr>
          <w:p w14:paraId="72CC6AA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Hydrogen carrier delivery cost (for 3000km ship transfer)</w:t>
            </w:r>
          </w:p>
        </w:tc>
        <w:tc>
          <w:tcPr>
            <w:tcW w:w="1055" w:type="pct"/>
            <w:tcBorders>
              <w:top w:val="single" w:sz="8" w:space="0" w:color="000000"/>
              <w:left w:val="nil"/>
              <w:bottom w:val="single" w:sz="8" w:space="0" w:color="000000"/>
              <w:right w:val="single" w:sz="8" w:space="0" w:color="000000"/>
            </w:tcBorders>
            <w:shd w:val="clear" w:color="auto" w:fill="auto"/>
            <w:vAlign w:val="center"/>
          </w:tcPr>
          <w:p w14:paraId="2724B1A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606" w:type="pct"/>
            <w:tcBorders>
              <w:top w:val="single" w:sz="8" w:space="0" w:color="000000"/>
              <w:left w:val="nil"/>
              <w:bottom w:val="single" w:sz="8" w:space="0" w:color="000000"/>
              <w:right w:val="single" w:sz="8" w:space="0" w:color="auto"/>
            </w:tcBorders>
            <w:shd w:val="clear" w:color="auto" w:fill="auto"/>
            <w:vAlign w:val="center"/>
          </w:tcPr>
          <w:p w14:paraId="45BF5E68" w14:textId="77777777" w:rsidR="009D0C2E" w:rsidRPr="00B364CB" w:rsidRDefault="009D0C2E" w:rsidP="009D0C2E">
            <w:pPr>
              <w:widowControl/>
              <w:jc w:val="center"/>
              <w:rPr>
                <w:rFonts w:cs="Arial"/>
                <w:sz w:val="20"/>
                <w:szCs w:val="20"/>
                <w:lang w:eastAsia="en-GB" w:bidi="ar-SA"/>
              </w:rPr>
            </w:pPr>
            <w:r>
              <w:rPr>
                <w:rFonts w:cs="Arial"/>
                <w:color w:val="auto"/>
                <w:sz w:val="20"/>
                <w:szCs w:val="20"/>
                <w:lang w:eastAsia="en-GB" w:bidi="ar-SA"/>
              </w:rPr>
              <w:t>4</w:t>
            </w:r>
          </w:p>
        </w:tc>
        <w:tc>
          <w:tcPr>
            <w:tcW w:w="612" w:type="pct"/>
            <w:tcBorders>
              <w:top w:val="single" w:sz="8" w:space="0" w:color="000000"/>
              <w:left w:val="single" w:sz="8" w:space="0" w:color="auto"/>
              <w:bottom w:val="single" w:sz="8" w:space="0" w:color="000000"/>
              <w:right w:val="single" w:sz="8" w:space="0" w:color="auto"/>
            </w:tcBorders>
            <w:vAlign w:val="center"/>
          </w:tcPr>
          <w:p w14:paraId="59958B5B" w14:textId="77777777" w:rsidR="009D0C2E" w:rsidRPr="00B364CB" w:rsidRDefault="009D0C2E" w:rsidP="009D0C2E">
            <w:pPr>
              <w:widowControl/>
              <w:jc w:val="center"/>
              <w:rPr>
                <w:rFonts w:cs="Arial"/>
                <w:color w:val="auto"/>
                <w:sz w:val="20"/>
                <w:szCs w:val="20"/>
                <w:lang w:eastAsia="en-GB" w:bidi="ar-SA"/>
              </w:rPr>
            </w:pPr>
            <w:r w:rsidRPr="00B364CB">
              <w:rPr>
                <w:rFonts w:cs="Arial"/>
                <w:color w:val="auto"/>
                <w:sz w:val="20"/>
                <w:szCs w:val="20"/>
                <w:lang w:eastAsia="en-GB" w:bidi="ar-SA"/>
              </w:rPr>
              <w:t>2.5</w:t>
            </w:r>
          </w:p>
        </w:tc>
        <w:tc>
          <w:tcPr>
            <w:tcW w:w="1140" w:type="pct"/>
            <w:tcBorders>
              <w:top w:val="single" w:sz="8" w:space="0" w:color="000000"/>
              <w:left w:val="single" w:sz="8" w:space="0" w:color="auto"/>
              <w:bottom w:val="single" w:sz="8" w:space="0" w:color="000000"/>
              <w:right w:val="single" w:sz="8" w:space="0" w:color="auto"/>
            </w:tcBorders>
            <w:shd w:val="clear" w:color="auto" w:fill="auto"/>
            <w:vAlign w:val="center"/>
          </w:tcPr>
          <w:p w14:paraId="590FF826"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lang w:eastAsia="en-GB" w:bidi="ar-SA"/>
              </w:rPr>
              <w:t>&lt;2</w:t>
            </w:r>
          </w:p>
        </w:tc>
      </w:tr>
      <w:tr w:rsidR="009D0C2E" w:rsidRPr="00B364CB" w14:paraId="714A18EE" w14:textId="77777777" w:rsidTr="00120F40">
        <w:trPr>
          <w:trHeight w:val="408"/>
        </w:trPr>
        <w:tc>
          <w:tcPr>
            <w:tcW w:w="35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3373E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lastRenderedPageBreak/>
              <w:t>4</w:t>
            </w:r>
          </w:p>
        </w:tc>
        <w:tc>
          <w:tcPr>
            <w:tcW w:w="1232" w:type="pct"/>
            <w:tcBorders>
              <w:top w:val="single" w:sz="8" w:space="0" w:color="000000"/>
              <w:left w:val="nil"/>
              <w:bottom w:val="single" w:sz="8" w:space="0" w:color="000000"/>
              <w:right w:val="single" w:sz="8" w:space="0" w:color="000000"/>
            </w:tcBorders>
            <w:shd w:val="clear" w:color="auto" w:fill="auto"/>
            <w:vAlign w:val="center"/>
          </w:tcPr>
          <w:p w14:paraId="51F32CF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Hydrogen carrier specific energy consumption</w:t>
            </w:r>
          </w:p>
        </w:tc>
        <w:tc>
          <w:tcPr>
            <w:tcW w:w="1055" w:type="pct"/>
            <w:tcBorders>
              <w:top w:val="single" w:sz="8" w:space="0" w:color="000000"/>
              <w:left w:val="nil"/>
              <w:bottom w:val="single" w:sz="8" w:space="0" w:color="000000"/>
              <w:right w:val="single" w:sz="8" w:space="0" w:color="000000"/>
            </w:tcBorders>
            <w:shd w:val="clear" w:color="auto" w:fill="auto"/>
            <w:vAlign w:val="center"/>
          </w:tcPr>
          <w:p w14:paraId="79106F2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kWh input/</w:t>
            </w:r>
          </w:p>
          <w:p w14:paraId="0685BF5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 H</w:t>
            </w:r>
            <w:r w:rsidRPr="00B364CB">
              <w:rPr>
                <w:rFonts w:cs="Arial"/>
                <w:sz w:val="20"/>
                <w:szCs w:val="20"/>
                <w:vertAlign w:val="subscript"/>
                <w:lang w:eastAsia="en-GB" w:bidi="ar-SA"/>
              </w:rPr>
              <w:t>2</w:t>
            </w:r>
            <w:r w:rsidRPr="00B364CB">
              <w:rPr>
                <w:rFonts w:cs="Arial"/>
                <w:sz w:val="20"/>
                <w:szCs w:val="20"/>
                <w:lang w:eastAsia="en-GB" w:bidi="ar-SA"/>
              </w:rPr>
              <w:t xml:space="preserve"> recovered</w:t>
            </w:r>
          </w:p>
        </w:tc>
        <w:tc>
          <w:tcPr>
            <w:tcW w:w="606" w:type="pct"/>
            <w:tcBorders>
              <w:top w:val="single" w:sz="8" w:space="0" w:color="000000"/>
              <w:left w:val="nil"/>
              <w:bottom w:val="single" w:sz="8" w:space="0" w:color="000000"/>
              <w:right w:val="single" w:sz="8" w:space="0" w:color="auto"/>
            </w:tcBorders>
            <w:shd w:val="clear" w:color="auto" w:fill="auto"/>
            <w:vAlign w:val="center"/>
          </w:tcPr>
          <w:p w14:paraId="540ACDEA" w14:textId="77777777" w:rsidR="009D0C2E" w:rsidRPr="00B364CB" w:rsidRDefault="009D0C2E" w:rsidP="009D0C2E">
            <w:pPr>
              <w:widowControl/>
              <w:jc w:val="center"/>
              <w:rPr>
                <w:rFonts w:cs="Arial"/>
                <w:color w:val="auto"/>
                <w:sz w:val="20"/>
                <w:szCs w:val="20"/>
                <w:lang w:eastAsia="en-GB" w:bidi="ar-SA"/>
              </w:rPr>
            </w:pPr>
            <w:r w:rsidRPr="00B364CB">
              <w:rPr>
                <w:rFonts w:cs="Arial"/>
                <w:color w:val="auto"/>
                <w:sz w:val="20"/>
                <w:szCs w:val="20"/>
                <w:lang w:eastAsia="en-GB" w:bidi="ar-SA"/>
              </w:rPr>
              <w:t xml:space="preserve">         </w:t>
            </w:r>
          </w:p>
          <w:p w14:paraId="3D8A6B44"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lang w:eastAsia="en-GB" w:bidi="ar-SA"/>
              </w:rPr>
              <w:t xml:space="preserve">20 </w:t>
            </w:r>
          </w:p>
        </w:tc>
        <w:tc>
          <w:tcPr>
            <w:tcW w:w="612" w:type="pct"/>
            <w:tcBorders>
              <w:top w:val="single" w:sz="8" w:space="0" w:color="000000"/>
              <w:left w:val="single" w:sz="8" w:space="0" w:color="auto"/>
              <w:bottom w:val="single" w:sz="8" w:space="0" w:color="auto"/>
              <w:right w:val="single" w:sz="8" w:space="0" w:color="auto"/>
            </w:tcBorders>
            <w:vAlign w:val="center"/>
          </w:tcPr>
          <w:p w14:paraId="0241E0B4" w14:textId="77777777" w:rsidR="009D0C2E" w:rsidRPr="00B364CB" w:rsidRDefault="009D0C2E" w:rsidP="009D0C2E">
            <w:pPr>
              <w:widowControl/>
              <w:jc w:val="center"/>
              <w:rPr>
                <w:rFonts w:cs="Arial"/>
                <w:color w:val="auto"/>
                <w:sz w:val="20"/>
                <w:szCs w:val="20"/>
                <w:lang w:eastAsia="en-GB" w:bidi="ar-SA"/>
              </w:rPr>
            </w:pPr>
          </w:p>
          <w:p w14:paraId="34561A6E" w14:textId="77777777" w:rsidR="009D0C2E" w:rsidRPr="00B364CB" w:rsidRDefault="009D0C2E" w:rsidP="009D0C2E">
            <w:pPr>
              <w:widowControl/>
              <w:jc w:val="center"/>
              <w:rPr>
                <w:rFonts w:cs="Arial"/>
                <w:color w:val="auto"/>
                <w:sz w:val="20"/>
                <w:szCs w:val="20"/>
                <w:lang w:eastAsia="en-GB" w:bidi="ar-SA"/>
              </w:rPr>
            </w:pPr>
            <w:r w:rsidRPr="00B364CB">
              <w:rPr>
                <w:rFonts w:cs="Arial"/>
                <w:color w:val="auto"/>
                <w:sz w:val="20"/>
                <w:szCs w:val="20"/>
                <w:lang w:eastAsia="en-GB" w:bidi="ar-SA"/>
              </w:rPr>
              <w:t xml:space="preserve">17 </w:t>
            </w:r>
          </w:p>
        </w:tc>
        <w:tc>
          <w:tcPr>
            <w:tcW w:w="1140" w:type="pct"/>
            <w:tcBorders>
              <w:top w:val="single" w:sz="8" w:space="0" w:color="000000"/>
              <w:left w:val="single" w:sz="8" w:space="0" w:color="auto"/>
              <w:bottom w:val="single" w:sz="8" w:space="0" w:color="auto"/>
              <w:right w:val="single" w:sz="8" w:space="0" w:color="auto"/>
            </w:tcBorders>
            <w:shd w:val="clear" w:color="auto" w:fill="auto"/>
            <w:vAlign w:val="center"/>
          </w:tcPr>
          <w:p w14:paraId="6640BAEA" w14:textId="77777777" w:rsidR="009D0C2E" w:rsidRPr="00B364CB" w:rsidRDefault="009D0C2E" w:rsidP="009D0C2E">
            <w:pPr>
              <w:widowControl/>
              <w:rPr>
                <w:rFonts w:cs="Arial"/>
                <w:color w:val="auto"/>
                <w:sz w:val="20"/>
                <w:szCs w:val="20"/>
                <w:lang w:eastAsia="en-GB" w:bidi="ar-SA"/>
              </w:rPr>
            </w:pPr>
            <w:r w:rsidRPr="00B364CB">
              <w:rPr>
                <w:rFonts w:cs="Arial"/>
                <w:color w:val="auto"/>
                <w:sz w:val="20"/>
                <w:szCs w:val="20"/>
                <w:lang w:eastAsia="en-GB" w:bidi="ar-SA"/>
              </w:rPr>
              <w:t xml:space="preserve">      </w:t>
            </w:r>
          </w:p>
          <w:p w14:paraId="5C4F8264"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lang w:eastAsia="en-GB" w:bidi="ar-SA"/>
              </w:rPr>
              <w:t xml:space="preserve">12 </w:t>
            </w:r>
          </w:p>
        </w:tc>
      </w:tr>
    </w:tbl>
    <w:p w14:paraId="636CD353" w14:textId="7D726884" w:rsidR="009D0C2E" w:rsidRDefault="009D0C2E" w:rsidP="009D0C2E">
      <w:pPr>
        <w:tabs>
          <w:tab w:val="left" w:pos="1805"/>
        </w:tabs>
        <w:spacing w:after="120"/>
        <w:jc w:val="both"/>
        <w:rPr>
          <w:rFonts w:cstheme="minorHAnsi"/>
          <w:b/>
          <w:iCs/>
          <w:color w:val="auto"/>
          <w:sz w:val="16"/>
          <w:szCs w:val="16"/>
          <w:u w:val="single"/>
        </w:rPr>
      </w:pPr>
      <w:r>
        <w:rPr>
          <w:rFonts w:cstheme="minorHAnsi"/>
          <w:b/>
          <w:iCs/>
          <w:color w:val="auto"/>
          <w:sz w:val="16"/>
          <w:szCs w:val="16"/>
          <w:u w:val="single"/>
        </w:rPr>
        <w:t>Notes</w:t>
      </w:r>
    </w:p>
    <w:p w14:paraId="29208A3D" w14:textId="35934E46" w:rsidR="005270F6" w:rsidRPr="005270F6" w:rsidRDefault="005270F6" w:rsidP="009D0C2E">
      <w:pPr>
        <w:tabs>
          <w:tab w:val="left" w:pos="1805"/>
        </w:tabs>
        <w:spacing w:after="120"/>
        <w:jc w:val="both"/>
        <w:rPr>
          <w:rFonts w:cstheme="minorHAnsi"/>
          <w:iCs/>
          <w:color w:val="auto"/>
          <w:sz w:val="16"/>
          <w:szCs w:val="16"/>
        </w:rPr>
      </w:pPr>
      <w:r w:rsidRPr="005270F6">
        <w:rPr>
          <w:rFonts w:cstheme="minorHAnsi"/>
          <w:iCs/>
          <w:color w:val="auto"/>
          <w:sz w:val="16"/>
          <w:szCs w:val="16"/>
        </w:rPr>
        <w:t>Boundary Conditions: Assumed electricity price of 50€/MWh</w:t>
      </w:r>
    </w:p>
    <w:p w14:paraId="60F4116F"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KPI-1: Total quantity of energy required to convert normal hydrogen at 20 bar and 25 °C to liquid (para) hydrogen at 20 K</w:t>
      </w:r>
      <w:r>
        <w:rPr>
          <w:rFonts w:cstheme="minorHAnsi"/>
          <w:iCs/>
          <w:color w:val="auto"/>
          <w:sz w:val="16"/>
          <w:szCs w:val="16"/>
        </w:rPr>
        <w:t>elvin</w:t>
      </w:r>
      <w:r w:rsidRPr="00B364CB">
        <w:rPr>
          <w:rFonts w:cstheme="minorHAnsi"/>
          <w:iCs/>
          <w:color w:val="auto"/>
          <w:sz w:val="16"/>
          <w:szCs w:val="16"/>
        </w:rPr>
        <w:t xml:space="preserve"> and ambient pressure, expressed per kg of liquid hydrogen produced. This total quantity of energy includes electricity for compression drives, power requirements for (pre)cooling cycles and other pumping duties. Power recovery from expansion work from the LH</w:t>
      </w:r>
      <w:r w:rsidRPr="00AB30F1">
        <w:rPr>
          <w:rFonts w:cstheme="minorHAnsi"/>
          <w:iCs/>
          <w:color w:val="auto"/>
          <w:sz w:val="16"/>
          <w:szCs w:val="16"/>
          <w:vertAlign w:val="subscript"/>
        </w:rPr>
        <w:t>2</w:t>
      </w:r>
      <w:r w:rsidRPr="00B364CB">
        <w:rPr>
          <w:rFonts w:cstheme="minorHAnsi"/>
          <w:iCs/>
          <w:color w:val="auto"/>
          <w:sz w:val="16"/>
          <w:szCs w:val="16"/>
        </w:rPr>
        <w:t xml:space="preserve"> process may be subtracted from these power requirements.</w:t>
      </w:r>
    </w:p>
    <w:p w14:paraId="0E4DB9F3"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iCs/>
          <w:color w:val="auto"/>
          <w:sz w:val="16"/>
          <w:szCs w:val="16"/>
        </w:rPr>
        <w:t>KPI-2: Cost target for hydrogen liquefaction expressed as total cost attributable to the hydrogen liquefaction system as OPEX, as well as annualised CAPEX, per kg of hydrogen liquefied.</w:t>
      </w:r>
    </w:p>
    <w:p w14:paraId="56E364F6" w14:textId="77777777" w:rsidR="009D0C2E"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KPI-3:  </w:t>
      </w:r>
      <w:r w:rsidRPr="00612A17">
        <w:rPr>
          <w:rFonts w:cstheme="minorHAnsi"/>
          <w:iCs/>
          <w:color w:val="auto"/>
          <w:sz w:val="16"/>
          <w:szCs w:val="16"/>
        </w:rPr>
        <w:t>Total cost attributable to a hydrogen carrier system to supply, on average, 1000 tpd of Hydrogen over a round trip distance of 3000 km, expressed on a Per KG hydrogen delivered basis.  Hydrogen supply conditions: 20 bar and ambient temperature, Hydrogen delivery pressure: 20 bar and ambient te</w:t>
      </w:r>
      <w:r>
        <w:rPr>
          <w:rFonts w:cstheme="minorHAnsi"/>
          <w:iCs/>
          <w:color w:val="auto"/>
          <w:sz w:val="16"/>
          <w:szCs w:val="16"/>
        </w:rPr>
        <w:t>mperature, ISO14687 quality</w:t>
      </w:r>
      <w:r w:rsidRPr="00612A17">
        <w:rPr>
          <w:rFonts w:cstheme="minorHAnsi"/>
          <w:iCs/>
          <w:color w:val="auto"/>
          <w:sz w:val="16"/>
          <w:szCs w:val="16"/>
        </w:rPr>
        <w:t>. Total cost includes Opex and Capex elements required, including cost for inventorising the supply chain, as well as operational make up cost due to carrier loss/degradation.</w:t>
      </w:r>
      <w:r>
        <w:rPr>
          <w:rFonts w:cstheme="minorHAnsi"/>
          <w:iCs/>
          <w:color w:val="auto"/>
          <w:sz w:val="16"/>
          <w:szCs w:val="16"/>
        </w:rPr>
        <w:t xml:space="preserve"> </w:t>
      </w:r>
      <w:r w:rsidRPr="00612A17">
        <w:rPr>
          <w:rFonts w:cstheme="minorHAnsi"/>
          <w:iCs/>
          <w:color w:val="auto"/>
          <w:sz w:val="16"/>
          <w:szCs w:val="16"/>
        </w:rPr>
        <w:t>The transportation cost includes the loading of the molecule, the cost of the transportation (including ship, fuel, personnel, maintenance...) and the unloading of the molecule to the on shore tank. To make it easy: "from on shore tank to on shore tank all inclusive.</w:t>
      </w:r>
      <w:r>
        <w:rPr>
          <w:rFonts w:cstheme="minorHAnsi"/>
          <w:iCs/>
          <w:color w:val="auto"/>
          <w:sz w:val="16"/>
          <w:szCs w:val="16"/>
        </w:rPr>
        <w:t xml:space="preserve"> </w:t>
      </w:r>
    </w:p>
    <w:p w14:paraId="6CA5085B"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KPI-4: </w:t>
      </w:r>
      <w:r w:rsidRPr="00761C4D">
        <w:rPr>
          <w:rFonts w:cstheme="minorHAnsi"/>
          <w:iCs/>
          <w:color w:val="auto"/>
          <w:sz w:val="16"/>
          <w:szCs w:val="16"/>
        </w:rPr>
        <w:t>Carrier energy consumption for 3000km distance</w:t>
      </w:r>
      <w:r>
        <w:rPr>
          <w:rFonts w:cstheme="minorHAnsi"/>
          <w:iCs/>
          <w:color w:val="auto"/>
          <w:sz w:val="16"/>
          <w:szCs w:val="16"/>
        </w:rPr>
        <w:t xml:space="preserve">. </w:t>
      </w:r>
      <w:r w:rsidRPr="00B364CB">
        <w:rPr>
          <w:rFonts w:cstheme="minorHAnsi"/>
          <w:iCs/>
          <w:color w:val="auto"/>
          <w:sz w:val="16"/>
          <w:szCs w:val="16"/>
        </w:rPr>
        <w:t xml:space="preserve">Boundaries: </w:t>
      </w:r>
      <w:r>
        <w:rPr>
          <w:rFonts w:cstheme="minorHAnsi"/>
          <w:iCs/>
          <w:color w:val="auto"/>
          <w:sz w:val="16"/>
          <w:szCs w:val="16"/>
        </w:rPr>
        <w:t>f</w:t>
      </w:r>
      <w:r w:rsidRPr="00B364CB">
        <w:rPr>
          <w:rFonts w:cstheme="minorHAnsi"/>
          <w:iCs/>
          <w:color w:val="auto"/>
          <w:sz w:val="16"/>
          <w:szCs w:val="16"/>
        </w:rPr>
        <w:t>rom hydrogen conversion into a dispatchable form to the hydrogen recovered, including carrier supply chain/degradation, except hydrogen production. Total quantity of energy required by the hydrogen carrier system (including shipping) to deliver hydrogen from supply point to delivery point under the boundary conditions as specified for KPI 3.</w:t>
      </w:r>
    </w:p>
    <w:p w14:paraId="7A3A52A0" w14:textId="77777777" w:rsidR="009D0C2E" w:rsidRPr="00B364CB" w:rsidRDefault="009D0C2E" w:rsidP="009D0C2E">
      <w:pPr>
        <w:tabs>
          <w:tab w:val="left" w:pos="1805"/>
        </w:tabs>
        <w:spacing w:after="120"/>
        <w:jc w:val="both"/>
        <w:rPr>
          <w:rFonts w:cstheme="minorHAnsi"/>
          <w:iCs/>
          <w:color w:val="auto"/>
          <w:sz w:val="16"/>
          <w:szCs w:val="16"/>
        </w:rPr>
      </w:pPr>
    </w:p>
    <w:p w14:paraId="2A80AA8E" w14:textId="5D202F0A" w:rsidR="009D0C2E" w:rsidRPr="00B364CB" w:rsidRDefault="009D0C2E" w:rsidP="009D0C2E">
      <w:pPr>
        <w:pStyle w:val="Caption"/>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13</w:t>
      </w:r>
      <w:r w:rsidRPr="00B364CB">
        <w:rPr>
          <w:sz w:val="24"/>
        </w:rPr>
        <w:fldChar w:fldCharType="end"/>
      </w:r>
      <w:r w:rsidRPr="00B364CB">
        <w:rPr>
          <w:sz w:val="24"/>
        </w:rPr>
        <w:t>: KPIs for hydrogen transportation</w:t>
      </w:r>
    </w:p>
    <w:tbl>
      <w:tblPr>
        <w:tblpPr w:leftFromText="180" w:rightFromText="180" w:vertAnchor="text" w:tblpY="1"/>
        <w:tblOverlap w:val="never"/>
        <w:tblW w:w="5000" w:type="pct"/>
        <w:tblBorders>
          <w:top w:val="single" w:sz="8" w:space="0" w:color="000000"/>
          <w:left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16"/>
        <w:gridCol w:w="3236"/>
        <w:gridCol w:w="1766"/>
        <w:gridCol w:w="884"/>
        <w:gridCol w:w="882"/>
        <w:gridCol w:w="1326"/>
      </w:tblGrid>
      <w:tr w:rsidR="009D0C2E" w:rsidRPr="00B364CB" w14:paraId="46128239" w14:textId="77777777" w:rsidTr="00120F40">
        <w:trPr>
          <w:trHeight w:val="315"/>
        </w:trPr>
        <w:tc>
          <w:tcPr>
            <w:tcW w:w="558" w:type="pct"/>
            <w:vMerge w:val="restart"/>
            <w:shd w:val="clear" w:color="auto" w:fill="BFBFBF" w:themeFill="background1" w:themeFillShade="BF"/>
            <w:vAlign w:val="center"/>
            <w:hideMark/>
          </w:tcPr>
          <w:p w14:paraId="251BC8C1"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No</w:t>
            </w:r>
          </w:p>
        </w:tc>
        <w:tc>
          <w:tcPr>
            <w:tcW w:w="1776" w:type="pct"/>
            <w:vMerge w:val="restart"/>
            <w:shd w:val="clear" w:color="auto" w:fill="BFBFBF" w:themeFill="background1" w:themeFillShade="BF"/>
            <w:vAlign w:val="center"/>
            <w:hideMark/>
          </w:tcPr>
          <w:p w14:paraId="35F14C4F" w14:textId="77777777" w:rsidR="009D0C2E" w:rsidRPr="00B364CB" w:rsidRDefault="009D0C2E" w:rsidP="009D0C2E">
            <w:pPr>
              <w:widowControl/>
              <w:ind w:firstLineChars="600" w:firstLine="1200"/>
              <w:rPr>
                <w:rFonts w:cs="Arial"/>
                <w:b/>
                <w:bCs/>
                <w:sz w:val="20"/>
                <w:szCs w:val="20"/>
                <w:lang w:eastAsia="en-GB" w:bidi="ar-SA"/>
              </w:rPr>
            </w:pPr>
            <w:r w:rsidRPr="00B364CB">
              <w:rPr>
                <w:rFonts w:cs="Arial"/>
                <w:b/>
                <w:bCs/>
                <w:sz w:val="20"/>
                <w:szCs w:val="20"/>
                <w:lang w:eastAsia="en-GB" w:bidi="ar-SA"/>
              </w:rPr>
              <w:t>Parameter</w:t>
            </w:r>
          </w:p>
        </w:tc>
        <w:tc>
          <w:tcPr>
            <w:tcW w:w="969" w:type="pct"/>
            <w:vMerge w:val="restart"/>
            <w:shd w:val="clear" w:color="auto" w:fill="BFBFBF" w:themeFill="background1" w:themeFillShade="BF"/>
            <w:vAlign w:val="center"/>
            <w:hideMark/>
          </w:tcPr>
          <w:p w14:paraId="05095562"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Unit</w:t>
            </w:r>
          </w:p>
        </w:tc>
        <w:tc>
          <w:tcPr>
            <w:tcW w:w="485" w:type="pct"/>
            <w:shd w:val="clear" w:color="auto" w:fill="BFBFBF" w:themeFill="background1" w:themeFillShade="BF"/>
          </w:tcPr>
          <w:p w14:paraId="521D4C8B"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212" w:type="pct"/>
            <w:gridSpan w:val="2"/>
            <w:shd w:val="clear" w:color="auto" w:fill="BFBFBF" w:themeFill="background1" w:themeFillShade="BF"/>
            <w:vAlign w:val="center"/>
          </w:tcPr>
          <w:p w14:paraId="490E5653" w14:textId="77777777" w:rsidR="009D0C2E" w:rsidRPr="00B364CB" w:rsidRDefault="009D0C2E" w:rsidP="009D0C2E">
            <w:pPr>
              <w:widowControl/>
              <w:tabs>
                <w:tab w:val="left" w:pos="431"/>
                <w:tab w:val="center" w:pos="1239"/>
              </w:tabs>
              <w:ind w:right="-955"/>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6AB5B429" w14:textId="77777777" w:rsidTr="00120F40">
        <w:trPr>
          <w:trHeight w:val="315"/>
        </w:trPr>
        <w:tc>
          <w:tcPr>
            <w:tcW w:w="558" w:type="pct"/>
            <w:vMerge/>
            <w:shd w:val="clear" w:color="auto" w:fill="BFBFBF" w:themeFill="background1" w:themeFillShade="BF"/>
            <w:vAlign w:val="center"/>
            <w:hideMark/>
          </w:tcPr>
          <w:p w14:paraId="4F1A96E7" w14:textId="77777777" w:rsidR="009D0C2E" w:rsidRPr="00B364CB" w:rsidRDefault="009D0C2E" w:rsidP="009D0C2E">
            <w:pPr>
              <w:widowControl/>
              <w:jc w:val="center"/>
              <w:rPr>
                <w:rFonts w:cs="Arial"/>
                <w:b/>
                <w:bCs/>
                <w:sz w:val="20"/>
                <w:szCs w:val="20"/>
                <w:lang w:eastAsia="en-GB" w:bidi="ar-SA"/>
              </w:rPr>
            </w:pPr>
          </w:p>
        </w:tc>
        <w:tc>
          <w:tcPr>
            <w:tcW w:w="1776" w:type="pct"/>
            <w:vMerge/>
            <w:shd w:val="clear" w:color="auto" w:fill="BFBFBF" w:themeFill="background1" w:themeFillShade="BF"/>
            <w:vAlign w:val="center"/>
            <w:hideMark/>
          </w:tcPr>
          <w:p w14:paraId="4A1BFFB9" w14:textId="77777777" w:rsidR="009D0C2E" w:rsidRPr="00B364CB" w:rsidRDefault="009D0C2E" w:rsidP="009D0C2E">
            <w:pPr>
              <w:widowControl/>
              <w:jc w:val="center"/>
              <w:rPr>
                <w:rFonts w:cs="Arial"/>
                <w:b/>
                <w:bCs/>
                <w:sz w:val="20"/>
                <w:szCs w:val="20"/>
                <w:lang w:eastAsia="en-GB" w:bidi="ar-SA"/>
              </w:rPr>
            </w:pPr>
          </w:p>
        </w:tc>
        <w:tc>
          <w:tcPr>
            <w:tcW w:w="969" w:type="pct"/>
            <w:vMerge/>
            <w:shd w:val="clear" w:color="auto" w:fill="BFBFBF" w:themeFill="background1" w:themeFillShade="BF"/>
            <w:vAlign w:val="center"/>
            <w:hideMark/>
          </w:tcPr>
          <w:p w14:paraId="2F2E33F3" w14:textId="77777777" w:rsidR="009D0C2E" w:rsidRPr="00B364CB" w:rsidRDefault="009D0C2E" w:rsidP="009D0C2E">
            <w:pPr>
              <w:widowControl/>
              <w:jc w:val="center"/>
              <w:rPr>
                <w:rFonts w:cs="Arial"/>
                <w:b/>
                <w:bCs/>
                <w:sz w:val="20"/>
                <w:szCs w:val="20"/>
                <w:lang w:eastAsia="en-GB" w:bidi="ar-SA"/>
              </w:rPr>
            </w:pPr>
          </w:p>
        </w:tc>
        <w:tc>
          <w:tcPr>
            <w:tcW w:w="485" w:type="pct"/>
            <w:shd w:val="clear" w:color="auto" w:fill="BFBFBF" w:themeFill="background1" w:themeFillShade="BF"/>
          </w:tcPr>
          <w:p w14:paraId="1A8BBFA8"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484" w:type="pct"/>
            <w:shd w:val="clear" w:color="auto" w:fill="BFBFBF" w:themeFill="background1" w:themeFillShade="BF"/>
          </w:tcPr>
          <w:p w14:paraId="7E44435B"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728" w:type="pct"/>
            <w:shd w:val="clear" w:color="auto" w:fill="BFBFBF" w:themeFill="background1" w:themeFillShade="BF"/>
            <w:hideMark/>
          </w:tcPr>
          <w:p w14:paraId="1BD8E429"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37B1668B" w14:textId="77777777" w:rsidTr="00120F40">
        <w:trPr>
          <w:trHeight w:val="356"/>
        </w:trPr>
        <w:tc>
          <w:tcPr>
            <w:tcW w:w="558" w:type="pct"/>
            <w:shd w:val="clear" w:color="auto" w:fill="D9D9D9" w:themeFill="background1" w:themeFillShade="D9"/>
          </w:tcPr>
          <w:p w14:paraId="57CD7CBC" w14:textId="77777777" w:rsidR="009D0C2E" w:rsidRPr="00B364CB" w:rsidRDefault="009D0C2E" w:rsidP="009D0C2E">
            <w:pPr>
              <w:widowControl/>
              <w:jc w:val="center"/>
              <w:rPr>
                <w:rFonts w:ascii="Calibri" w:hAnsi="Calibri"/>
                <w:b/>
                <w:bCs/>
                <w:szCs w:val="22"/>
                <w:lang w:eastAsia="en-GB" w:bidi="ar-SA"/>
              </w:rPr>
            </w:pPr>
          </w:p>
        </w:tc>
        <w:tc>
          <w:tcPr>
            <w:tcW w:w="4442" w:type="pct"/>
            <w:gridSpan w:val="5"/>
            <w:shd w:val="clear" w:color="auto" w:fill="D9D9D9" w:themeFill="background1" w:themeFillShade="D9"/>
            <w:vAlign w:val="center"/>
          </w:tcPr>
          <w:p w14:paraId="01370B19" w14:textId="77777777" w:rsidR="009D0C2E" w:rsidRPr="00B364CB" w:rsidRDefault="009D0C2E" w:rsidP="009D0C2E">
            <w:pPr>
              <w:widowControl/>
              <w:jc w:val="center"/>
              <w:rPr>
                <w:rFonts w:cs="Arial"/>
                <w:sz w:val="20"/>
                <w:szCs w:val="20"/>
                <w:lang w:eastAsia="en-GB" w:bidi="ar-SA"/>
              </w:rPr>
            </w:pPr>
            <w:r w:rsidRPr="00B364CB">
              <w:rPr>
                <w:rFonts w:ascii="Calibri" w:hAnsi="Calibri"/>
                <w:b/>
                <w:bCs/>
                <w:szCs w:val="22"/>
                <w:lang w:eastAsia="en-GB" w:bidi="ar-SA"/>
              </w:rPr>
              <w:t>Hydrogen Pipelines</w:t>
            </w:r>
          </w:p>
        </w:tc>
      </w:tr>
      <w:tr w:rsidR="009D0C2E" w:rsidRPr="00B364CB" w14:paraId="757099E2" w14:textId="77777777" w:rsidTr="00120F40">
        <w:trPr>
          <w:trHeight w:val="315"/>
        </w:trPr>
        <w:tc>
          <w:tcPr>
            <w:tcW w:w="558" w:type="pct"/>
            <w:shd w:val="clear" w:color="auto" w:fill="auto"/>
            <w:vAlign w:val="center"/>
            <w:hideMark/>
          </w:tcPr>
          <w:p w14:paraId="2BB7BFA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c>
          <w:tcPr>
            <w:tcW w:w="1776" w:type="pct"/>
            <w:shd w:val="clear" w:color="auto" w:fill="auto"/>
            <w:vAlign w:val="center"/>
            <w:hideMark/>
          </w:tcPr>
          <w:p w14:paraId="433F86B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Total capital investment</w:t>
            </w:r>
          </w:p>
        </w:tc>
        <w:tc>
          <w:tcPr>
            <w:tcW w:w="969" w:type="pct"/>
            <w:shd w:val="clear" w:color="auto" w:fill="auto"/>
            <w:vAlign w:val="center"/>
            <w:hideMark/>
          </w:tcPr>
          <w:p w14:paraId="771EE9CC"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M</w:t>
            </w:r>
            <w:r w:rsidRPr="00B364CB">
              <w:rPr>
                <w:rFonts w:cs="Arial"/>
                <w:sz w:val="20"/>
                <w:szCs w:val="20"/>
                <w:lang w:eastAsia="en-GB" w:bidi="ar-SA"/>
              </w:rPr>
              <w:t>€ /km</w:t>
            </w:r>
          </w:p>
        </w:tc>
        <w:tc>
          <w:tcPr>
            <w:tcW w:w="485" w:type="pct"/>
            <w:vAlign w:val="center"/>
          </w:tcPr>
          <w:p w14:paraId="77FC2B7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1.1</w:t>
            </w:r>
          </w:p>
        </w:tc>
        <w:tc>
          <w:tcPr>
            <w:tcW w:w="484" w:type="pct"/>
            <w:vAlign w:val="center"/>
          </w:tcPr>
          <w:p w14:paraId="201C9E3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c>
          <w:tcPr>
            <w:tcW w:w="728" w:type="pct"/>
            <w:shd w:val="clear" w:color="auto" w:fill="auto"/>
            <w:vAlign w:val="center"/>
            <w:hideMark/>
          </w:tcPr>
          <w:p w14:paraId="04EF8FE9"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0.9</w:t>
            </w:r>
          </w:p>
        </w:tc>
      </w:tr>
      <w:tr w:rsidR="009D0C2E" w:rsidRPr="00B364CB" w14:paraId="5FF2186E" w14:textId="77777777" w:rsidTr="00120F40">
        <w:trPr>
          <w:trHeight w:val="315"/>
        </w:trPr>
        <w:tc>
          <w:tcPr>
            <w:tcW w:w="558" w:type="pct"/>
            <w:shd w:val="clear" w:color="auto" w:fill="auto"/>
            <w:vAlign w:val="center"/>
            <w:hideMark/>
          </w:tcPr>
          <w:p w14:paraId="7BCC74C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c>
          <w:tcPr>
            <w:tcW w:w="1776" w:type="pct"/>
            <w:shd w:val="clear" w:color="auto" w:fill="auto"/>
            <w:vAlign w:val="center"/>
            <w:hideMark/>
          </w:tcPr>
          <w:p w14:paraId="6DA9C67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Transmission pressure</w:t>
            </w:r>
          </w:p>
        </w:tc>
        <w:tc>
          <w:tcPr>
            <w:tcW w:w="969" w:type="pct"/>
            <w:shd w:val="clear" w:color="auto" w:fill="auto"/>
            <w:vAlign w:val="center"/>
            <w:hideMark/>
          </w:tcPr>
          <w:p w14:paraId="2530D0E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bar</w:t>
            </w:r>
          </w:p>
        </w:tc>
        <w:tc>
          <w:tcPr>
            <w:tcW w:w="485" w:type="pct"/>
            <w:vAlign w:val="center"/>
          </w:tcPr>
          <w:p w14:paraId="5CC9FA04" w14:textId="77777777" w:rsidR="009D0C2E" w:rsidRPr="00B364CB" w:rsidRDefault="009D0C2E" w:rsidP="009D0C2E">
            <w:pPr>
              <w:widowControl/>
              <w:jc w:val="center"/>
              <w:rPr>
                <w:rFonts w:cs="Arial"/>
                <w:sz w:val="20"/>
                <w:szCs w:val="20"/>
                <w:highlight w:val="green"/>
                <w:lang w:eastAsia="en-GB" w:bidi="ar-SA"/>
              </w:rPr>
            </w:pPr>
            <w:r w:rsidRPr="00B364CB">
              <w:rPr>
                <w:rFonts w:cs="Arial"/>
                <w:sz w:val="20"/>
                <w:szCs w:val="20"/>
                <w:lang w:eastAsia="en-GB" w:bidi="ar-SA"/>
              </w:rPr>
              <w:t>90</w:t>
            </w:r>
          </w:p>
        </w:tc>
        <w:tc>
          <w:tcPr>
            <w:tcW w:w="484" w:type="pct"/>
            <w:vAlign w:val="center"/>
          </w:tcPr>
          <w:p w14:paraId="4B8940B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w:t>
            </w:r>
          </w:p>
        </w:tc>
        <w:tc>
          <w:tcPr>
            <w:tcW w:w="728" w:type="pct"/>
            <w:shd w:val="clear" w:color="auto" w:fill="auto"/>
            <w:vAlign w:val="center"/>
            <w:hideMark/>
          </w:tcPr>
          <w:p w14:paraId="6B84C7C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120</w:t>
            </w:r>
          </w:p>
        </w:tc>
      </w:tr>
      <w:tr w:rsidR="009D0C2E" w:rsidRPr="00B364CB" w14:paraId="2B62F94C" w14:textId="77777777" w:rsidTr="00120F40">
        <w:trPr>
          <w:trHeight w:val="370"/>
        </w:trPr>
        <w:tc>
          <w:tcPr>
            <w:tcW w:w="558" w:type="pct"/>
            <w:shd w:val="clear" w:color="auto" w:fill="auto"/>
            <w:vAlign w:val="center"/>
            <w:hideMark/>
          </w:tcPr>
          <w:p w14:paraId="65A011B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c>
          <w:tcPr>
            <w:tcW w:w="1776" w:type="pct"/>
            <w:shd w:val="clear" w:color="auto" w:fill="auto"/>
            <w:vAlign w:val="center"/>
            <w:hideMark/>
          </w:tcPr>
          <w:p w14:paraId="48D3BC6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w:t>
            </w:r>
            <w:r w:rsidRPr="0064549A">
              <w:rPr>
                <w:rFonts w:cs="Arial"/>
                <w:sz w:val="20"/>
                <w:szCs w:val="20"/>
                <w:vertAlign w:val="subscript"/>
                <w:lang w:eastAsia="en-GB" w:bidi="ar-SA"/>
              </w:rPr>
              <w:t>2</w:t>
            </w:r>
            <w:r w:rsidRPr="00B364CB">
              <w:rPr>
                <w:rFonts w:cs="Arial"/>
                <w:sz w:val="20"/>
                <w:szCs w:val="20"/>
                <w:lang w:eastAsia="en-GB" w:bidi="ar-SA"/>
              </w:rPr>
              <w:t xml:space="preserve"> leakage</w:t>
            </w:r>
          </w:p>
        </w:tc>
        <w:tc>
          <w:tcPr>
            <w:tcW w:w="969" w:type="pct"/>
            <w:shd w:val="clear" w:color="auto" w:fill="auto"/>
            <w:vAlign w:val="center"/>
            <w:hideMark/>
          </w:tcPr>
          <w:p w14:paraId="7DF03E2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485" w:type="pct"/>
            <w:vAlign w:val="center"/>
          </w:tcPr>
          <w:p w14:paraId="048CF327" w14:textId="77777777" w:rsidR="009D0C2E" w:rsidRPr="00B364CB" w:rsidRDefault="009D0C2E" w:rsidP="009D0C2E">
            <w:pPr>
              <w:widowControl/>
              <w:jc w:val="center"/>
              <w:rPr>
                <w:rFonts w:cs="Arial"/>
                <w:sz w:val="20"/>
                <w:szCs w:val="20"/>
                <w:highlight w:val="yellow"/>
                <w:lang w:eastAsia="en-GB" w:bidi="ar-SA"/>
              </w:rPr>
            </w:pPr>
            <w:r>
              <w:rPr>
                <w:rFonts w:cs="Arial"/>
                <w:sz w:val="20"/>
                <w:szCs w:val="20"/>
                <w:lang w:eastAsia="en-GB" w:bidi="ar-SA"/>
              </w:rPr>
              <w:t>na</w:t>
            </w:r>
          </w:p>
        </w:tc>
        <w:tc>
          <w:tcPr>
            <w:tcW w:w="484" w:type="pct"/>
            <w:vAlign w:val="center"/>
          </w:tcPr>
          <w:p w14:paraId="2E58CD40"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0</w:t>
            </w:r>
          </w:p>
        </w:tc>
        <w:tc>
          <w:tcPr>
            <w:tcW w:w="728" w:type="pct"/>
            <w:shd w:val="clear" w:color="auto" w:fill="auto"/>
            <w:vAlign w:val="center"/>
            <w:hideMark/>
          </w:tcPr>
          <w:p w14:paraId="1FC6DEED"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0</w:t>
            </w:r>
          </w:p>
        </w:tc>
      </w:tr>
      <w:tr w:rsidR="009D0C2E" w:rsidRPr="00B364CB" w14:paraId="34AB527F" w14:textId="77777777" w:rsidTr="00120F40">
        <w:trPr>
          <w:trHeight w:val="334"/>
        </w:trPr>
        <w:tc>
          <w:tcPr>
            <w:tcW w:w="558" w:type="pct"/>
            <w:shd w:val="clear" w:color="auto" w:fill="D9D9D9" w:themeFill="background1" w:themeFillShade="D9"/>
          </w:tcPr>
          <w:p w14:paraId="0F02B23A" w14:textId="77777777" w:rsidR="009D0C2E" w:rsidRPr="00B364CB" w:rsidRDefault="009D0C2E" w:rsidP="009D0C2E">
            <w:pPr>
              <w:widowControl/>
              <w:jc w:val="center"/>
              <w:rPr>
                <w:rFonts w:ascii="Calibri" w:hAnsi="Calibri"/>
                <w:b/>
                <w:bCs/>
                <w:szCs w:val="22"/>
                <w:lang w:eastAsia="en-GB" w:bidi="ar-SA"/>
              </w:rPr>
            </w:pPr>
          </w:p>
        </w:tc>
        <w:tc>
          <w:tcPr>
            <w:tcW w:w="4442" w:type="pct"/>
            <w:gridSpan w:val="5"/>
            <w:shd w:val="clear" w:color="auto" w:fill="D9D9D9" w:themeFill="background1" w:themeFillShade="D9"/>
            <w:vAlign w:val="center"/>
          </w:tcPr>
          <w:p w14:paraId="757C17D6" w14:textId="77777777" w:rsidR="009D0C2E" w:rsidRPr="00B364CB" w:rsidRDefault="009D0C2E" w:rsidP="009D0C2E">
            <w:pPr>
              <w:widowControl/>
              <w:jc w:val="center"/>
              <w:rPr>
                <w:rFonts w:ascii="Calibri" w:hAnsi="Calibri"/>
                <w:b/>
                <w:bCs/>
                <w:szCs w:val="22"/>
                <w:lang w:eastAsia="en-GB" w:bidi="ar-SA"/>
              </w:rPr>
            </w:pPr>
            <w:r w:rsidRPr="00B364CB">
              <w:rPr>
                <w:rFonts w:ascii="Calibri" w:hAnsi="Calibri"/>
                <w:b/>
                <w:bCs/>
                <w:szCs w:val="22"/>
                <w:lang w:eastAsia="en-GB" w:bidi="ar-SA"/>
              </w:rPr>
              <w:t>Road transport of compressed hydrogen</w:t>
            </w:r>
          </w:p>
        </w:tc>
      </w:tr>
      <w:tr w:rsidR="009D0C2E" w:rsidRPr="00B364CB" w14:paraId="432AD9B6" w14:textId="77777777" w:rsidTr="00120F40">
        <w:trPr>
          <w:trHeight w:val="315"/>
        </w:trPr>
        <w:tc>
          <w:tcPr>
            <w:tcW w:w="558" w:type="pct"/>
            <w:shd w:val="clear" w:color="auto" w:fill="auto"/>
            <w:vAlign w:val="center"/>
            <w:hideMark/>
          </w:tcPr>
          <w:p w14:paraId="2B889F6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1776" w:type="pct"/>
            <w:shd w:val="clear" w:color="auto" w:fill="auto"/>
            <w:vAlign w:val="center"/>
          </w:tcPr>
          <w:p w14:paraId="33577D3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Tube trailer payload</w:t>
            </w:r>
          </w:p>
        </w:tc>
        <w:tc>
          <w:tcPr>
            <w:tcW w:w="969" w:type="pct"/>
            <w:shd w:val="clear" w:color="auto" w:fill="auto"/>
            <w:vAlign w:val="center"/>
          </w:tcPr>
          <w:p w14:paraId="3E6BA88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485" w:type="pct"/>
            <w:vAlign w:val="center"/>
          </w:tcPr>
          <w:p w14:paraId="432D456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850</w:t>
            </w:r>
          </w:p>
        </w:tc>
        <w:tc>
          <w:tcPr>
            <w:tcW w:w="484" w:type="pct"/>
            <w:vAlign w:val="center"/>
          </w:tcPr>
          <w:p w14:paraId="3ACCF5C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1,000</w:t>
            </w:r>
          </w:p>
        </w:tc>
        <w:tc>
          <w:tcPr>
            <w:tcW w:w="728" w:type="pct"/>
            <w:shd w:val="clear" w:color="auto" w:fill="auto"/>
            <w:vAlign w:val="center"/>
          </w:tcPr>
          <w:p w14:paraId="63FEDB2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1,500</w:t>
            </w:r>
          </w:p>
        </w:tc>
      </w:tr>
      <w:tr w:rsidR="009D0C2E" w:rsidRPr="00B364CB" w14:paraId="4841C1DB" w14:textId="77777777" w:rsidTr="00120F40">
        <w:trPr>
          <w:trHeight w:val="315"/>
        </w:trPr>
        <w:tc>
          <w:tcPr>
            <w:tcW w:w="558" w:type="pct"/>
            <w:shd w:val="clear" w:color="auto" w:fill="auto"/>
            <w:vAlign w:val="center"/>
            <w:hideMark/>
          </w:tcPr>
          <w:p w14:paraId="5DEEF3D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w:t>
            </w:r>
          </w:p>
        </w:tc>
        <w:tc>
          <w:tcPr>
            <w:tcW w:w="1776" w:type="pct"/>
            <w:shd w:val="clear" w:color="auto" w:fill="auto"/>
            <w:vAlign w:val="center"/>
          </w:tcPr>
          <w:p w14:paraId="330D0E9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Tube trailer CAPEX</w:t>
            </w:r>
          </w:p>
        </w:tc>
        <w:tc>
          <w:tcPr>
            <w:tcW w:w="969" w:type="pct"/>
            <w:shd w:val="clear" w:color="auto" w:fill="auto"/>
            <w:vAlign w:val="center"/>
          </w:tcPr>
          <w:p w14:paraId="16F68DE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485" w:type="pct"/>
            <w:vAlign w:val="center"/>
          </w:tcPr>
          <w:p w14:paraId="0BADB95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650</w:t>
            </w:r>
          </w:p>
        </w:tc>
        <w:tc>
          <w:tcPr>
            <w:tcW w:w="484" w:type="pct"/>
            <w:vAlign w:val="center"/>
          </w:tcPr>
          <w:p w14:paraId="22AC3F2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450</w:t>
            </w:r>
          </w:p>
        </w:tc>
        <w:tc>
          <w:tcPr>
            <w:tcW w:w="728" w:type="pct"/>
            <w:shd w:val="clear" w:color="auto" w:fill="auto"/>
            <w:vAlign w:val="center"/>
          </w:tcPr>
          <w:p w14:paraId="4500BC3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350</w:t>
            </w:r>
          </w:p>
        </w:tc>
      </w:tr>
      <w:tr w:rsidR="009D0C2E" w:rsidRPr="00B364CB" w14:paraId="79F6C5FF" w14:textId="77777777" w:rsidTr="00120F40">
        <w:trPr>
          <w:trHeight w:val="422"/>
        </w:trPr>
        <w:tc>
          <w:tcPr>
            <w:tcW w:w="558" w:type="pct"/>
            <w:shd w:val="clear" w:color="auto" w:fill="auto"/>
            <w:vAlign w:val="center"/>
            <w:hideMark/>
          </w:tcPr>
          <w:p w14:paraId="1DB6BEA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6</w:t>
            </w:r>
          </w:p>
        </w:tc>
        <w:tc>
          <w:tcPr>
            <w:tcW w:w="1776" w:type="pct"/>
            <w:shd w:val="clear" w:color="auto" w:fill="auto"/>
            <w:vAlign w:val="center"/>
          </w:tcPr>
          <w:p w14:paraId="06BD138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Operating pressure</w:t>
            </w:r>
          </w:p>
        </w:tc>
        <w:tc>
          <w:tcPr>
            <w:tcW w:w="969" w:type="pct"/>
            <w:shd w:val="clear" w:color="auto" w:fill="auto"/>
            <w:vAlign w:val="center"/>
          </w:tcPr>
          <w:p w14:paraId="1EA36D2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bar</w:t>
            </w:r>
          </w:p>
        </w:tc>
        <w:tc>
          <w:tcPr>
            <w:tcW w:w="485" w:type="pct"/>
            <w:vAlign w:val="center"/>
          </w:tcPr>
          <w:p w14:paraId="7EA01B3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300</w:t>
            </w:r>
          </w:p>
        </w:tc>
        <w:tc>
          <w:tcPr>
            <w:tcW w:w="484" w:type="pct"/>
            <w:vAlign w:val="center"/>
          </w:tcPr>
          <w:p w14:paraId="5F41960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500</w:t>
            </w:r>
          </w:p>
        </w:tc>
        <w:tc>
          <w:tcPr>
            <w:tcW w:w="728" w:type="pct"/>
            <w:shd w:val="clear" w:color="auto" w:fill="auto"/>
            <w:vAlign w:val="center"/>
          </w:tcPr>
          <w:p w14:paraId="722469A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700</w:t>
            </w:r>
          </w:p>
        </w:tc>
      </w:tr>
      <w:tr w:rsidR="009D0C2E" w:rsidRPr="00B364CB" w14:paraId="27429FEB" w14:textId="77777777" w:rsidTr="00120F40">
        <w:trPr>
          <w:trHeight w:val="550"/>
        </w:trPr>
        <w:tc>
          <w:tcPr>
            <w:tcW w:w="558" w:type="pct"/>
            <w:shd w:val="clear" w:color="auto" w:fill="D9D9D9" w:themeFill="background1" w:themeFillShade="D9"/>
          </w:tcPr>
          <w:p w14:paraId="0B16B1AA" w14:textId="77777777" w:rsidR="009D0C2E" w:rsidRPr="00B364CB" w:rsidRDefault="009D0C2E" w:rsidP="009D0C2E">
            <w:pPr>
              <w:widowControl/>
              <w:jc w:val="center"/>
              <w:rPr>
                <w:rFonts w:ascii="Calibri" w:hAnsi="Calibri"/>
                <w:b/>
                <w:bCs/>
                <w:szCs w:val="22"/>
                <w:lang w:eastAsia="en-GB" w:bidi="ar-SA"/>
              </w:rPr>
            </w:pPr>
          </w:p>
        </w:tc>
        <w:tc>
          <w:tcPr>
            <w:tcW w:w="4442" w:type="pct"/>
            <w:gridSpan w:val="5"/>
            <w:shd w:val="clear" w:color="auto" w:fill="D9D9D9" w:themeFill="background1" w:themeFillShade="D9"/>
            <w:vAlign w:val="center"/>
          </w:tcPr>
          <w:p w14:paraId="00AA7B23" w14:textId="77777777" w:rsidR="009D0C2E" w:rsidRPr="00B364CB" w:rsidRDefault="009D0C2E" w:rsidP="009D0C2E">
            <w:pPr>
              <w:widowControl/>
              <w:jc w:val="center"/>
              <w:rPr>
                <w:rFonts w:ascii="Calibri" w:hAnsi="Calibri"/>
                <w:b/>
                <w:bCs/>
                <w:szCs w:val="22"/>
                <w:lang w:eastAsia="en-GB" w:bidi="ar-SA"/>
              </w:rPr>
            </w:pPr>
            <w:r w:rsidRPr="00B364CB">
              <w:rPr>
                <w:rFonts w:ascii="Calibri" w:hAnsi="Calibri"/>
                <w:b/>
                <w:bCs/>
                <w:szCs w:val="22"/>
                <w:lang w:eastAsia="en-GB" w:bidi="ar-SA"/>
              </w:rPr>
              <w:t>Road transport of liquid hydrogen</w:t>
            </w:r>
          </w:p>
        </w:tc>
      </w:tr>
      <w:tr w:rsidR="009D0C2E" w:rsidRPr="00B364CB" w14:paraId="7D9BD330" w14:textId="77777777" w:rsidTr="00120F40">
        <w:trPr>
          <w:trHeight w:val="525"/>
        </w:trPr>
        <w:tc>
          <w:tcPr>
            <w:tcW w:w="558" w:type="pct"/>
            <w:tcBorders>
              <w:bottom w:val="single" w:sz="8" w:space="0" w:color="000000"/>
            </w:tcBorders>
            <w:shd w:val="clear" w:color="auto" w:fill="auto"/>
            <w:vAlign w:val="center"/>
            <w:hideMark/>
          </w:tcPr>
          <w:p w14:paraId="41FDC8AC"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7</w:t>
            </w:r>
          </w:p>
        </w:tc>
        <w:tc>
          <w:tcPr>
            <w:tcW w:w="1776" w:type="pct"/>
            <w:tcBorders>
              <w:bottom w:val="single" w:sz="8" w:space="0" w:color="000000"/>
            </w:tcBorders>
            <w:shd w:val="clear" w:color="auto" w:fill="auto"/>
            <w:vAlign w:val="center"/>
          </w:tcPr>
          <w:p w14:paraId="40084CB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LH</w:t>
            </w:r>
            <w:r w:rsidRPr="0064549A">
              <w:rPr>
                <w:rFonts w:cs="Arial"/>
                <w:sz w:val="20"/>
                <w:szCs w:val="20"/>
                <w:lang w:eastAsia="en-GB" w:bidi="ar-SA"/>
              </w:rPr>
              <w:t>2</w:t>
            </w:r>
            <w:r w:rsidRPr="00B364CB">
              <w:rPr>
                <w:rFonts w:cs="Arial"/>
                <w:sz w:val="20"/>
                <w:szCs w:val="20"/>
                <w:lang w:eastAsia="en-GB" w:bidi="ar-SA"/>
              </w:rPr>
              <w:t xml:space="preserve"> tank trailer payload</w:t>
            </w:r>
          </w:p>
        </w:tc>
        <w:tc>
          <w:tcPr>
            <w:tcW w:w="969" w:type="pct"/>
            <w:tcBorders>
              <w:bottom w:val="single" w:sz="8" w:space="0" w:color="000000"/>
            </w:tcBorders>
            <w:shd w:val="clear" w:color="auto" w:fill="auto"/>
            <w:vAlign w:val="center"/>
          </w:tcPr>
          <w:p w14:paraId="1973923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485" w:type="pct"/>
            <w:tcBorders>
              <w:bottom w:val="single" w:sz="8" w:space="0" w:color="000000"/>
            </w:tcBorders>
            <w:vAlign w:val="center"/>
          </w:tcPr>
          <w:p w14:paraId="01BD5FB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3500</w:t>
            </w:r>
          </w:p>
        </w:tc>
        <w:tc>
          <w:tcPr>
            <w:tcW w:w="484" w:type="pct"/>
            <w:tcBorders>
              <w:bottom w:val="single" w:sz="8" w:space="0" w:color="000000"/>
            </w:tcBorders>
            <w:vAlign w:val="center"/>
          </w:tcPr>
          <w:p w14:paraId="590D9C2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4000</w:t>
            </w:r>
          </w:p>
        </w:tc>
        <w:tc>
          <w:tcPr>
            <w:tcW w:w="728" w:type="pct"/>
            <w:tcBorders>
              <w:bottom w:val="single" w:sz="8" w:space="0" w:color="000000"/>
            </w:tcBorders>
            <w:shd w:val="clear" w:color="auto" w:fill="auto"/>
            <w:vAlign w:val="center"/>
          </w:tcPr>
          <w:p w14:paraId="7A2BCE7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4000</w:t>
            </w:r>
          </w:p>
        </w:tc>
      </w:tr>
      <w:tr w:rsidR="009D0C2E" w:rsidRPr="00B364CB" w14:paraId="7E3E5B41" w14:textId="77777777" w:rsidTr="00120F40">
        <w:trPr>
          <w:trHeight w:val="315"/>
        </w:trPr>
        <w:tc>
          <w:tcPr>
            <w:tcW w:w="558" w:type="pct"/>
            <w:tcBorders>
              <w:bottom w:val="single" w:sz="8" w:space="0" w:color="000000"/>
            </w:tcBorders>
            <w:shd w:val="clear" w:color="auto" w:fill="auto"/>
            <w:vAlign w:val="center"/>
            <w:hideMark/>
          </w:tcPr>
          <w:p w14:paraId="5E01C84E"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8</w:t>
            </w:r>
          </w:p>
        </w:tc>
        <w:tc>
          <w:tcPr>
            <w:tcW w:w="1776" w:type="pct"/>
            <w:tcBorders>
              <w:bottom w:val="single" w:sz="8" w:space="0" w:color="000000"/>
            </w:tcBorders>
            <w:shd w:val="clear" w:color="auto" w:fill="auto"/>
            <w:vAlign w:val="center"/>
          </w:tcPr>
          <w:p w14:paraId="056E398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LH</w:t>
            </w:r>
            <w:r w:rsidRPr="0064549A">
              <w:rPr>
                <w:rFonts w:cs="Arial"/>
                <w:sz w:val="20"/>
                <w:szCs w:val="20"/>
                <w:vertAlign w:val="subscript"/>
                <w:lang w:eastAsia="en-GB" w:bidi="ar-SA"/>
              </w:rPr>
              <w:t>2</w:t>
            </w:r>
            <w:r w:rsidRPr="00B364CB">
              <w:rPr>
                <w:rFonts w:cs="Arial"/>
                <w:sz w:val="20"/>
                <w:szCs w:val="20"/>
                <w:lang w:eastAsia="en-GB" w:bidi="ar-SA"/>
              </w:rPr>
              <w:t xml:space="preserve"> tank trailer capex</w:t>
            </w:r>
          </w:p>
        </w:tc>
        <w:tc>
          <w:tcPr>
            <w:tcW w:w="969" w:type="pct"/>
            <w:tcBorders>
              <w:bottom w:val="single" w:sz="8" w:space="0" w:color="000000"/>
            </w:tcBorders>
            <w:shd w:val="clear" w:color="auto" w:fill="auto"/>
            <w:vAlign w:val="center"/>
          </w:tcPr>
          <w:p w14:paraId="70A16D5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485" w:type="pct"/>
            <w:tcBorders>
              <w:bottom w:val="single" w:sz="8" w:space="0" w:color="000000"/>
            </w:tcBorders>
            <w:vAlign w:val="center"/>
          </w:tcPr>
          <w:p w14:paraId="7BECB47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&gt;200</w:t>
            </w:r>
          </w:p>
        </w:tc>
        <w:tc>
          <w:tcPr>
            <w:tcW w:w="484" w:type="pct"/>
            <w:tcBorders>
              <w:bottom w:val="single" w:sz="8" w:space="0" w:color="000000"/>
            </w:tcBorders>
            <w:vAlign w:val="center"/>
          </w:tcPr>
          <w:p w14:paraId="42D5126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200</w:t>
            </w:r>
          </w:p>
        </w:tc>
        <w:tc>
          <w:tcPr>
            <w:tcW w:w="728" w:type="pct"/>
            <w:tcBorders>
              <w:bottom w:val="single" w:sz="8" w:space="0" w:color="000000"/>
            </w:tcBorders>
            <w:shd w:val="clear" w:color="auto" w:fill="auto"/>
            <w:vAlign w:val="center"/>
          </w:tcPr>
          <w:p w14:paraId="0330B28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w:t>
            </w:r>
          </w:p>
        </w:tc>
      </w:tr>
      <w:tr w:rsidR="009D0C2E" w:rsidRPr="00B364CB" w14:paraId="25558ABE" w14:textId="77777777" w:rsidTr="00120F40">
        <w:trPr>
          <w:trHeight w:val="525"/>
        </w:trPr>
        <w:tc>
          <w:tcPr>
            <w:tcW w:w="558" w:type="pct"/>
            <w:tcBorders>
              <w:top w:val="single" w:sz="8" w:space="0" w:color="000000"/>
              <w:bottom w:val="single" w:sz="8" w:space="0" w:color="000000"/>
            </w:tcBorders>
            <w:shd w:val="clear" w:color="auto" w:fill="auto"/>
            <w:vAlign w:val="center"/>
            <w:hideMark/>
          </w:tcPr>
          <w:p w14:paraId="393FC7E0"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9</w:t>
            </w:r>
          </w:p>
        </w:tc>
        <w:tc>
          <w:tcPr>
            <w:tcW w:w="1776" w:type="pct"/>
            <w:tcBorders>
              <w:top w:val="single" w:sz="8" w:space="0" w:color="000000"/>
              <w:bottom w:val="single" w:sz="8" w:space="0" w:color="000000"/>
            </w:tcBorders>
            <w:shd w:val="clear" w:color="auto" w:fill="auto"/>
            <w:vAlign w:val="center"/>
          </w:tcPr>
          <w:p w14:paraId="5EE39F2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LH</w:t>
            </w:r>
            <w:r w:rsidRPr="0064549A">
              <w:rPr>
                <w:rFonts w:cs="Arial"/>
                <w:sz w:val="20"/>
                <w:szCs w:val="20"/>
                <w:vertAlign w:val="subscript"/>
                <w:lang w:eastAsia="en-GB" w:bidi="ar-SA"/>
              </w:rPr>
              <w:t>2</w:t>
            </w:r>
            <w:r w:rsidRPr="00B364CB">
              <w:rPr>
                <w:rFonts w:cs="Arial"/>
                <w:sz w:val="20"/>
                <w:szCs w:val="20"/>
                <w:lang w:eastAsia="en-GB" w:bidi="ar-SA"/>
              </w:rPr>
              <w:t xml:space="preserve"> tank trailer boil-off</w:t>
            </w:r>
          </w:p>
        </w:tc>
        <w:tc>
          <w:tcPr>
            <w:tcW w:w="969" w:type="pct"/>
            <w:tcBorders>
              <w:top w:val="single" w:sz="8" w:space="0" w:color="000000"/>
              <w:bottom w:val="single" w:sz="8" w:space="0" w:color="000000"/>
            </w:tcBorders>
            <w:shd w:val="clear" w:color="auto" w:fill="auto"/>
            <w:vAlign w:val="center"/>
          </w:tcPr>
          <w:p w14:paraId="5D5CD57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%/d</w:t>
            </w:r>
          </w:p>
        </w:tc>
        <w:tc>
          <w:tcPr>
            <w:tcW w:w="485" w:type="pct"/>
            <w:tcBorders>
              <w:top w:val="single" w:sz="8" w:space="0" w:color="000000"/>
              <w:bottom w:val="single" w:sz="8" w:space="0" w:color="000000"/>
            </w:tcBorders>
            <w:vAlign w:val="center"/>
          </w:tcPr>
          <w:p w14:paraId="4D76D2B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0.3-0.6 %</w:t>
            </w:r>
          </w:p>
        </w:tc>
        <w:tc>
          <w:tcPr>
            <w:tcW w:w="484" w:type="pct"/>
            <w:tcBorders>
              <w:top w:val="single" w:sz="8" w:space="0" w:color="000000"/>
              <w:bottom w:val="single" w:sz="8" w:space="0" w:color="000000"/>
            </w:tcBorders>
            <w:vAlign w:val="center"/>
          </w:tcPr>
          <w:p w14:paraId="627F443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0.3</w:t>
            </w:r>
          </w:p>
        </w:tc>
        <w:tc>
          <w:tcPr>
            <w:tcW w:w="728" w:type="pct"/>
            <w:tcBorders>
              <w:top w:val="single" w:sz="8" w:space="0" w:color="000000"/>
              <w:bottom w:val="single" w:sz="8" w:space="0" w:color="000000"/>
            </w:tcBorders>
            <w:shd w:val="clear" w:color="auto" w:fill="auto"/>
            <w:vAlign w:val="center"/>
          </w:tcPr>
          <w:p w14:paraId="476914F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0.1</w:t>
            </w:r>
          </w:p>
        </w:tc>
      </w:tr>
      <w:tr w:rsidR="00D041D1" w:rsidRPr="00B364CB" w14:paraId="092938A6" w14:textId="77777777" w:rsidTr="00120F40">
        <w:trPr>
          <w:trHeight w:val="550"/>
        </w:trPr>
        <w:tc>
          <w:tcPr>
            <w:tcW w:w="558" w:type="pct"/>
            <w:tcBorders>
              <w:bottom w:val="single" w:sz="8" w:space="0" w:color="000000"/>
            </w:tcBorders>
            <w:shd w:val="clear" w:color="auto" w:fill="D9D9D9" w:themeFill="background1" w:themeFillShade="D9"/>
          </w:tcPr>
          <w:p w14:paraId="0098FF45" w14:textId="77777777" w:rsidR="00D041D1" w:rsidRPr="00B364CB" w:rsidRDefault="00D041D1" w:rsidP="00C924BE">
            <w:pPr>
              <w:widowControl/>
              <w:jc w:val="center"/>
              <w:rPr>
                <w:rFonts w:ascii="Calibri" w:hAnsi="Calibri"/>
                <w:b/>
                <w:bCs/>
                <w:szCs w:val="22"/>
                <w:lang w:eastAsia="en-GB" w:bidi="ar-SA"/>
              </w:rPr>
            </w:pPr>
          </w:p>
        </w:tc>
        <w:tc>
          <w:tcPr>
            <w:tcW w:w="4442" w:type="pct"/>
            <w:gridSpan w:val="5"/>
            <w:tcBorders>
              <w:bottom w:val="single" w:sz="8" w:space="0" w:color="000000"/>
            </w:tcBorders>
            <w:shd w:val="clear" w:color="auto" w:fill="D9D9D9" w:themeFill="background1" w:themeFillShade="D9"/>
            <w:vAlign w:val="center"/>
          </w:tcPr>
          <w:p w14:paraId="08859EC9" w14:textId="1F6BF99A" w:rsidR="00D041D1" w:rsidRPr="00B364CB" w:rsidRDefault="00D041D1" w:rsidP="00C924BE">
            <w:pPr>
              <w:widowControl/>
              <w:jc w:val="center"/>
              <w:rPr>
                <w:rFonts w:ascii="Calibri" w:hAnsi="Calibri"/>
                <w:b/>
                <w:bCs/>
                <w:szCs w:val="22"/>
                <w:lang w:eastAsia="en-GB" w:bidi="ar-SA"/>
              </w:rPr>
            </w:pPr>
            <w:r>
              <w:rPr>
                <w:rFonts w:ascii="Calibri" w:hAnsi="Calibri"/>
                <w:b/>
                <w:bCs/>
                <w:szCs w:val="22"/>
                <w:lang w:eastAsia="en-GB" w:bidi="ar-SA"/>
              </w:rPr>
              <w:t>Shipping of</w:t>
            </w:r>
            <w:r w:rsidRPr="00B364CB">
              <w:rPr>
                <w:rFonts w:ascii="Calibri" w:hAnsi="Calibri"/>
                <w:b/>
                <w:bCs/>
                <w:szCs w:val="22"/>
                <w:lang w:eastAsia="en-GB" w:bidi="ar-SA"/>
              </w:rPr>
              <w:t xml:space="preserve"> bulk liquid hydrogen</w:t>
            </w:r>
          </w:p>
        </w:tc>
      </w:tr>
      <w:tr w:rsidR="00D041D1" w:rsidRPr="00B364CB" w14:paraId="0DF7BA7C" w14:textId="77777777" w:rsidTr="00120F40">
        <w:trPr>
          <w:trHeight w:val="525"/>
        </w:trPr>
        <w:tc>
          <w:tcPr>
            <w:tcW w:w="558" w:type="pct"/>
            <w:tcBorders>
              <w:top w:val="single" w:sz="8" w:space="0" w:color="000000"/>
              <w:bottom w:val="single" w:sz="8" w:space="0" w:color="000000"/>
            </w:tcBorders>
            <w:shd w:val="clear" w:color="auto" w:fill="auto"/>
            <w:vAlign w:val="center"/>
            <w:hideMark/>
          </w:tcPr>
          <w:p w14:paraId="0D6EFD0E" w14:textId="6C74F8E6"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1</w:t>
            </w:r>
            <w:r>
              <w:rPr>
                <w:rFonts w:cs="Arial"/>
                <w:sz w:val="20"/>
                <w:szCs w:val="20"/>
                <w:lang w:eastAsia="en-GB" w:bidi="ar-SA"/>
              </w:rPr>
              <w:t>0</w:t>
            </w:r>
          </w:p>
        </w:tc>
        <w:tc>
          <w:tcPr>
            <w:tcW w:w="1776" w:type="pct"/>
            <w:tcBorders>
              <w:top w:val="single" w:sz="8" w:space="0" w:color="000000"/>
              <w:bottom w:val="single" w:sz="8" w:space="0" w:color="000000"/>
            </w:tcBorders>
            <w:shd w:val="clear" w:color="auto" w:fill="auto"/>
            <w:vAlign w:val="center"/>
          </w:tcPr>
          <w:p w14:paraId="75EEBB84" w14:textId="1D5C49EC" w:rsidR="00D041D1" w:rsidRPr="00B364CB" w:rsidRDefault="00D041D1" w:rsidP="00D041D1">
            <w:pPr>
              <w:widowControl/>
              <w:jc w:val="center"/>
              <w:rPr>
                <w:rFonts w:cs="Arial"/>
                <w:sz w:val="20"/>
                <w:szCs w:val="20"/>
                <w:lang w:eastAsia="en-GB" w:bidi="ar-SA"/>
              </w:rPr>
            </w:pPr>
            <w:r w:rsidRPr="00120F40">
              <w:rPr>
                <w:rFonts w:cs="Arial"/>
                <w:sz w:val="20"/>
                <w:szCs w:val="20"/>
                <w:lang w:eastAsia="en-GB" w:bidi="ar-SA"/>
              </w:rPr>
              <w:t>On shore LH2 tank capacity (ports)</w:t>
            </w:r>
          </w:p>
        </w:tc>
        <w:tc>
          <w:tcPr>
            <w:tcW w:w="969" w:type="pct"/>
            <w:tcBorders>
              <w:top w:val="single" w:sz="8" w:space="0" w:color="000000"/>
              <w:bottom w:val="single" w:sz="8" w:space="0" w:color="000000"/>
            </w:tcBorders>
            <w:shd w:val="clear" w:color="auto" w:fill="auto"/>
            <w:vAlign w:val="center"/>
          </w:tcPr>
          <w:p w14:paraId="629CACB3" w14:textId="47BB6123"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ton</w:t>
            </w:r>
          </w:p>
        </w:tc>
        <w:tc>
          <w:tcPr>
            <w:tcW w:w="485" w:type="pct"/>
            <w:tcBorders>
              <w:top w:val="single" w:sz="8" w:space="0" w:color="000000"/>
              <w:bottom w:val="single" w:sz="8" w:space="0" w:color="000000"/>
            </w:tcBorders>
            <w:vAlign w:val="center"/>
          </w:tcPr>
          <w:p w14:paraId="2F9A4D48" w14:textId="29BBA658"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300</w:t>
            </w:r>
          </w:p>
        </w:tc>
        <w:tc>
          <w:tcPr>
            <w:tcW w:w="484" w:type="pct"/>
            <w:tcBorders>
              <w:top w:val="single" w:sz="8" w:space="0" w:color="000000"/>
              <w:bottom w:val="single" w:sz="8" w:space="0" w:color="000000"/>
            </w:tcBorders>
            <w:vAlign w:val="center"/>
          </w:tcPr>
          <w:p w14:paraId="4D939F78" w14:textId="75AA1699"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700</w:t>
            </w:r>
          </w:p>
        </w:tc>
        <w:tc>
          <w:tcPr>
            <w:tcW w:w="728" w:type="pct"/>
            <w:tcBorders>
              <w:top w:val="single" w:sz="8" w:space="0" w:color="000000"/>
              <w:bottom w:val="single" w:sz="8" w:space="0" w:color="000000"/>
            </w:tcBorders>
            <w:shd w:val="clear" w:color="auto" w:fill="auto"/>
            <w:vAlign w:val="center"/>
          </w:tcPr>
          <w:p w14:paraId="3359900B" w14:textId="2849B122"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7,000</w:t>
            </w:r>
          </w:p>
        </w:tc>
      </w:tr>
      <w:tr w:rsidR="00D041D1" w:rsidRPr="00B364CB" w14:paraId="18F3C0E1" w14:textId="77777777" w:rsidTr="00D041D1">
        <w:trPr>
          <w:trHeight w:val="315"/>
        </w:trPr>
        <w:tc>
          <w:tcPr>
            <w:tcW w:w="558" w:type="pct"/>
            <w:tcBorders>
              <w:bottom w:val="single" w:sz="8" w:space="0" w:color="000000"/>
            </w:tcBorders>
            <w:shd w:val="clear" w:color="auto" w:fill="auto"/>
            <w:vAlign w:val="center"/>
            <w:hideMark/>
          </w:tcPr>
          <w:p w14:paraId="73B9DB45" w14:textId="3264741B"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1</w:t>
            </w:r>
            <w:r>
              <w:rPr>
                <w:rFonts w:cs="Arial"/>
                <w:sz w:val="20"/>
                <w:szCs w:val="20"/>
                <w:lang w:eastAsia="en-GB" w:bidi="ar-SA"/>
              </w:rPr>
              <w:t>1</w:t>
            </w:r>
          </w:p>
        </w:tc>
        <w:tc>
          <w:tcPr>
            <w:tcW w:w="1776" w:type="pct"/>
            <w:tcBorders>
              <w:bottom w:val="single" w:sz="8" w:space="0" w:color="000000"/>
            </w:tcBorders>
            <w:shd w:val="clear" w:color="auto" w:fill="auto"/>
            <w:vAlign w:val="center"/>
          </w:tcPr>
          <w:p w14:paraId="3C1DD70F" w14:textId="3D9405E3" w:rsidR="00D041D1" w:rsidRPr="00B364CB" w:rsidRDefault="00D041D1" w:rsidP="00D041D1">
            <w:pPr>
              <w:widowControl/>
              <w:jc w:val="center"/>
              <w:rPr>
                <w:rFonts w:cs="Arial"/>
                <w:sz w:val="20"/>
                <w:szCs w:val="20"/>
                <w:lang w:eastAsia="en-GB" w:bidi="ar-SA"/>
              </w:rPr>
            </w:pPr>
            <w:r>
              <w:rPr>
                <w:rFonts w:cs="Arial"/>
                <w:sz w:val="20"/>
                <w:szCs w:val="20"/>
                <w:lang w:eastAsia="en-GB" w:bidi="ar-SA"/>
              </w:rPr>
              <w:t xml:space="preserve">Onshore </w:t>
            </w:r>
            <w:r w:rsidRPr="00B364CB">
              <w:rPr>
                <w:rFonts w:cs="Arial"/>
                <w:sz w:val="20"/>
                <w:szCs w:val="20"/>
                <w:lang w:eastAsia="en-GB" w:bidi="ar-SA"/>
              </w:rPr>
              <w:t>LH</w:t>
            </w:r>
            <w:r w:rsidRPr="00120F40">
              <w:rPr>
                <w:rFonts w:cs="Arial"/>
                <w:sz w:val="20"/>
                <w:szCs w:val="20"/>
                <w:lang w:eastAsia="en-GB" w:bidi="ar-SA"/>
              </w:rPr>
              <w:t>2</w:t>
            </w:r>
            <w:r w:rsidRPr="00B364CB">
              <w:rPr>
                <w:rFonts w:cs="Arial"/>
                <w:sz w:val="20"/>
                <w:szCs w:val="20"/>
                <w:lang w:eastAsia="en-GB" w:bidi="ar-SA"/>
              </w:rPr>
              <w:t xml:space="preserve"> containment tank capex</w:t>
            </w:r>
          </w:p>
        </w:tc>
        <w:tc>
          <w:tcPr>
            <w:tcW w:w="969" w:type="pct"/>
            <w:tcBorders>
              <w:bottom w:val="single" w:sz="8" w:space="0" w:color="000000"/>
            </w:tcBorders>
            <w:shd w:val="clear" w:color="auto" w:fill="auto"/>
            <w:vAlign w:val="center"/>
          </w:tcPr>
          <w:p w14:paraId="5FD030FD" w14:textId="4DB9A0F6" w:rsidR="00D041D1" w:rsidRPr="00B364CB" w:rsidRDefault="00D041D1" w:rsidP="00D041D1">
            <w:pPr>
              <w:widowControl/>
              <w:jc w:val="center"/>
              <w:rPr>
                <w:rFonts w:cs="Arial"/>
                <w:sz w:val="20"/>
                <w:szCs w:val="20"/>
                <w:lang w:eastAsia="en-GB" w:bidi="ar-SA"/>
              </w:rPr>
            </w:pPr>
            <w:r w:rsidRPr="00D041D1">
              <w:rPr>
                <w:rFonts w:cs="Arial"/>
                <w:sz w:val="20"/>
                <w:szCs w:val="20"/>
                <w:lang w:eastAsia="en-GB" w:bidi="ar-SA"/>
              </w:rPr>
              <w:t>€/kg</w:t>
            </w:r>
          </w:p>
        </w:tc>
        <w:tc>
          <w:tcPr>
            <w:tcW w:w="485" w:type="pct"/>
            <w:tcBorders>
              <w:bottom w:val="single" w:sz="8" w:space="0" w:color="000000"/>
            </w:tcBorders>
            <w:vAlign w:val="center"/>
          </w:tcPr>
          <w:p w14:paraId="50F4523F" w14:textId="5121076C"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100</w:t>
            </w:r>
            <w:r w:rsidRPr="00120F40">
              <w:rPr>
                <w:rFonts w:cs="Arial"/>
                <w:sz w:val="20"/>
                <w:szCs w:val="20"/>
                <w:lang w:eastAsia="en-GB" w:bidi="ar-SA"/>
              </w:rPr>
              <w:t> </w:t>
            </w:r>
          </w:p>
        </w:tc>
        <w:tc>
          <w:tcPr>
            <w:tcW w:w="484" w:type="pct"/>
            <w:tcBorders>
              <w:bottom w:val="single" w:sz="8" w:space="0" w:color="000000"/>
            </w:tcBorders>
            <w:vAlign w:val="center"/>
          </w:tcPr>
          <w:p w14:paraId="480409C9" w14:textId="13C05AEB"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70</w:t>
            </w:r>
            <w:r w:rsidRPr="00120F40">
              <w:rPr>
                <w:rFonts w:cs="Arial"/>
                <w:sz w:val="20"/>
                <w:szCs w:val="20"/>
                <w:lang w:eastAsia="en-GB" w:bidi="ar-SA"/>
              </w:rPr>
              <w:t> </w:t>
            </w:r>
          </w:p>
        </w:tc>
        <w:tc>
          <w:tcPr>
            <w:tcW w:w="728" w:type="pct"/>
            <w:tcBorders>
              <w:bottom w:val="single" w:sz="8" w:space="0" w:color="000000"/>
            </w:tcBorders>
            <w:shd w:val="clear" w:color="auto" w:fill="auto"/>
            <w:vAlign w:val="center"/>
          </w:tcPr>
          <w:p w14:paraId="5DF8481F" w14:textId="469B5688"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&lt;20</w:t>
            </w:r>
          </w:p>
        </w:tc>
      </w:tr>
      <w:tr w:rsidR="00D041D1" w:rsidRPr="00B364CB" w14:paraId="2A8E4616" w14:textId="77777777" w:rsidTr="00D041D1">
        <w:trPr>
          <w:trHeight w:val="525"/>
        </w:trPr>
        <w:tc>
          <w:tcPr>
            <w:tcW w:w="558" w:type="pct"/>
            <w:tcBorders>
              <w:top w:val="single" w:sz="8" w:space="0" w:color="000000"/>
              <w:bottom w:val="single" w:sz="8" w:space="0" w:color="000000"/>
            </w:tcBorders>
            <w:shd w:val="clear" w:color="auto" w:fill="auto"/>
            <w:vAlign w:val="center"/>
            <w:hideMark/>
          </w:tcPr>
          <w:p w14:paraId="5A3B35A1" w14:textId="300B58C8"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1</w:t>
            </w:r>
            <w:r>
              <w:rPr>
                <w:rFonts w:cs="Arial"/>
                <w:sz w:val="20"/>
                <w:szCs w:val="20"/>
                <w:lang w:eastAsia="en-GB" w:bidi="ar-SA"/>
              </w:rPr>
              <w:t>2</w:t>
            </w:r>
          </w:p>
        </w:tc>
        <w:tc>
          <w:tcPr>
            <w:tcW w:w="1776" w:type="pct"/>
            <w:tcBorders>
              <w:top w:val="single" w:sz="8" w:space="0" w:color="000000"/>
              <w:bottom w:val="single" w:sz="8" w:space="0" w:color="000000"/>
            </w:tcBorders>
            <w:shd w:val="clear" w:color="auto" w:fill="auto"/>
            <w:vAlign w:val="center"/>
          </w:tcPr>
          <w:p w14:paraId="2C853CAD" w14:textId="3E91AC10"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LH</w:t>
            </w:r>
            <w:r w:rsidRPr="00120F40">
              <w:rPr>
                <w:rFonts w:cs="Arial"/>
                <w:sz w:val="20"/>
                <w:szCs w:val="20"/>
                <w:lang w:eastAsia="en-GB" w:bidi="ar-SA"/>
              </w:rPr>
              <w:t>2</w:t>
            </w:r>
            <w:r w:rsidRPr="00B364CB">
              <w:rPr>
                <w:rFonts w:cs="Arial"/>
                <w:sz w:val="20"/>
                <w:szCs w:val="20"/>
                <w:lang w:eastAsia="en-GB" w:bidi="ar-SA"/>
              </w:rPr>
              <w:t xml:space="preserve"> boil-off</w:t>
            </w:r>
          </w:p>
        </w:tc>
        <w:tc>
          <w:tcPr>
            <w:tcW w:w="969" w:type="pct"/>
            <w:tcBorders>
              <w:top w:val="single" w:sz="8" w:space="0" w:color="000000"/>
              <w:bottom w:val="single" w:sz="8" w:space="0" w:color="000000"/>
            </w:tcBorders>
            <w:shd w:val="clear" w:color="auto" w:fill="auto"/>
            <w:vAlign w:val="center"/>
          </w:tcPr>
          <w:p w14:paraId="0E7594DD" w14:textId="32465446"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%/d</w:t>
            </w:r>
          </w:p>
        </w:tc>
        <w:tc>
          <w:tcPr>
            <w:tcW w:w="485" w:type="pct"/>
            <w:tcBorders>
              <w:top w:val="single" w:sz="8" w:space="0" w:color="000000"/>
              <w:bottom w:val="single" w:sz="8" w:space="0" w:color="000000"/>
            </w:tcBorders>
            <w:vAlign w:val="center"/>
          </w:tcPr>
          <w:p w14:paraId="4FDC97DC" w14:textId="7930C953"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&lt;0.3</w:t>
            </w:r>
          </w:p>
        </w:tc>
        <w:tc>
          <w:tcPr>
            <w:tcW w:w="484" w:type="pct"/>
            <w:tcBorders>
              <w:top w:val="single" w:sz="8" w:space="0" w:color="000000"/>
              <w:bottom w:val="single" w:sz="8" w:space="0" w:color="000000"/>
            </w:tcBorders>
            <w:vAlign w:val="center"/>
          </w:tcPr>
          <w:p w14:paraId="5CBAA7E4" w14:textId="5A5AD072"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0.1</w:t>
            </w:r>
          </w:p>
        </w:tc>
        <w:tc>
          <w:tcPr>
            <w:tcW w:w="728" w:type="pct"/>
            <w:tcBorders>
              <w:top w:val="single" w:sz="8" w:space="0" w:color="000000"/>
              <w:bottom w:val="single" w:sz="8" w:space="0" w:color="000000"/>
            </w:tcBorders>
            <w:shd w:val="clear" w:color="auto" w:fill="auto"/>
            <w:vAlign w:val="center"/>
          </w:tcPr>
          <w:p w14:paraId="7FC7AEEA" w14:textId="15057E80"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&lt;0.1</w:t>
            </w:r>
          </w:p>
        </w:tc>
      </w:tr>
      <w:tr w:rsidR="00D041D1" w:rsidRPr="00B364CB" w14:paraId="350A05DF" w14:textId="77777777" w:rsidTr="00D041D1">
        <w:trPr>
          <w:trHeight w:val="525"/>
        </w:trPr>
        <w:tc>
          <w:tcPr>
            <w:tcW w:w="558" w:type="pct"/>
            <w:tcBorders>
              <w:top w:val="single" w:sz="8" w:space="0" w:color="000000"/>
              <w:bottom w:val="single" w:sz="8" w:space="0" w:color="000000"/>
            </w:tcBorders>
            <w:shd w:val="clear" w:color="auto" w:fill="auto"/>
            <w:vAlign w:val="center"/>
            <w:hideMark/>
          </w:tcPr>
          <w:p w14:paraId="0C7E2174" w14:textId="45B06EE5" w:rsidR="00D041D1" w:rsidRPr="00B364CB" w:rsidRDefault="00D041D1" w:rsidP="00D041D1">
            <w:pPr>
              <w:widowControl/>
              <w:jc w:val="center"/>
              <w:rPr>
                <w:rFonts w:cs="Arial"/>
                <w:sz w:val="20"/>
                <w:szCs w:val="20"/>
                <w:lang w:eastAsia="en-GB" w:bidi="ar-SA"/>
              </w:rPr>
            </w:pPr>
            <w:r>
              <w:rPr>
                <w:rFonts w:cs="Arial"/>
                <w:sz w:val="20"/>
                <w:szCs w:val="20"/>
                <w:lang w:eastAsia="en-GB" w:bidi="ar-SA"/>
              </w:rPr>
              <w:t>13</w:t>
            </w:r>
          </w:p>
        </w:tc>
        <w:tc>
          <w:tcPr>
            <w:tcW w:w="1776" w:type="pct"/>
            <w:tcBorders>
              <w:top w:val="single" w:sz="8" w:space="0" w:color="000000"/>
              <w:bottom w:val="single" w:sz="8" w:space="0" w:color="000000"/>
            </w:tcBorders>
            <w:shd w:val="clear" w:color="auto" w:fill="auto"/>
            <w:vAlign w:val="center"/>
          </w:tcPr>
          <w:p w14:paraId="5DD61876" w14:textId="78B505F8"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LH</w:t>
            </w:r>
            <w:r w:rsidRPr="00120F40">
              <w:rPr>
                <w:rFonts w:cs="Arial"/>
                <w:sz w:val="20"/>
                <w:szCs w:val="20"/>
                <w:lang w:eastAsia="en-GB" w:bidi="ar-SA"/>
              </w:rPr>
              <w:t>2</w:t>
            </w:r>
            <w:r w:rsidRPr="00B364CB">
              <w:rPr>
                <w:rFonts w:cs="Arial"/>
                <w:sz w:val="20"/>
                <w:szCs w:val="20"/>
                <w:lang w:eastAsia="en-GB" w:bidi="ar-SA"/>
              </w:rPr>
              <w:t xml:space="preserve"> ship tank capacity</w:t>
            </w:r>
          </w:p>
        </w:tc>
        <w:tc>
          <w:tcPr>
            <w:tcW w:w="969" w:type="pct"/>
            <w:tcBorders>
              <w:top w:val="single" w:sz="8" w:space="0" w:color="000000"/>
              <w:bottom w:val="single" w:sz="8" w:space="0" w:color="000000"/>
            </w:tcBorders>
            <w:shd w:val="clear" w:color="auto" w:fill="auto"/>
            <w:vAlign w:val="center"/>
          </w:tcPr>
          <w:p w14:paraId="79753EFB" w14:textId="14624428" w:rsidR="00D041D1" w:rsidRPr="00B364CB" w:rsidRDefault="00D041D1" w:rsidP="00D041D1">
            <w:pPr>
              <w:widowControl/>
              <w:jc w:val="center"/>
              <w:rPr>
                <w:rFonts w:cs="Arial"/>
                <w:sz w:val="20"/>
                <w:szCs w:val="20"/>
                <w:lang w:eastAsia="en-GB" w:bidi="ar-SA"/>
              </w:rPr>
            </w:pPr>
            <w:r>
              <w:rPr>
                <w:rFonts w:cs="Arial"/>
                <w:sz w:val="20"/>
                <w:szCs w:val="20"/>
                <w:lang w:eastAsia="en-GB" w:bidi="ar-SA"/>
              </w:rPr>
              <w:t>ton</w:t>
            </w:r>
          </w:p>
        </w:tc>
        <w:tc>
          <w:tcPr>
            <w:tcW w:w="485" w:type="pct"/>
            <w:tcBorders>
              <w:top w:val="single" w:sz="8" w:space="0" w:color="000000"/>
              <w:bottom w:val="single" w:sz="8" w:space="0" w:color="000000"/>
            </w:tcBorders>
            <w:vAlign w:val="center"/>
          </w:tcPr>
          <w:p w14:paraId="21FE1467" w14:textId="7FEFD449"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80</w:t>
            </w:r>
          </w:p>
        </w:tc>
        <w:tc>
          <w:tcPr>
            <w:tcW w:w="484" w:type="pct"/>
            <w:tcBorders>
              <w:top w:val="single" w:sz="8" w:space="0" w:color="000000"/>
              <w:bottom w:val="single" w:sz="8" w:space="0" w:color="000000"/>
            </w:tcBorders>
            <w:vAlign w:val="center"/>
          </w:tcPr>
          <w:p w14:paraId="2B617894" w14:textId="2CA8AD46"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350</w:t>
            </w:r>
          </w:p>
        </w:tc>
        <w:tc>
          <w:tcPr>
            <w:tcW w:w="728" w:type="pct"/>
            <w:tcBorders>
              <w:top w:val="single" w:sz="8" w:space="0" w:color="000000"/>
              <w:bottom w:val="single" w:sz="8" w:space="0" w:color="000000"/>
            </w:tcBorders>
            <w:shd w:val="clear" w:color="auto" w:fill="auto"/>
            <w:vAlign w:val="center"/>
          </w:tcPr>
          <w:p w14:paraId="555B9257" w14:textId="103AEB91"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2,800</w:t>
            </w:r>
          </w:p>
        </w:tc>
      </w:tr>
      <w:tr w:rsidR="00D041D1" w:rsidRPr="00B364CB" w14:paraId="54FD0AB0" w14:textId="77777777" w:rsidTr="00D041D1">
        <w:trPr>
          <w:trHeight w:val="315"/>
        </w:trPr>
        <w:tc>
          <w:tcPr>
            <w:tcW w:w="558" w:type="pct"/>
            <w:tcBorders>
              <w:bottom w:val="single" w:sz="8" w:space="0" w:color="000000"/>
            </w:tcBorders>
            <w:shd w:val="clear" w:color="auto" w:fill="auto"/>
            <w:vAlign w:val="center"/>
            <w:hideMark/>
          </w:tcPr>
          <w:p w14:paraId="5C9015ED" w14:textId="26D7F543" w:rsidR="00D041D1" w:rsidRPr="00B364CB" w:rsidRDefault="00D041D1" w:rsidP="00D041D1">
            <w:pPr>
              <w:widowControl/>
              <w:jc w:val="center"/>
              <w:rPr>
                <w:rFonts w:cs="Arial"/>
                <w:sz w:val="20"/>
                <w:szCs w:val="20"/>
                <w:lang w:eastAsia="en-GB" w:bidi="ar-SA"/>
              </w:rPr>
            </w:pPr>
            <w:r>
              <w:rPr>
                <w:rFonts w:cs="Arial"/>
                <w:sz w:val="20"/>
                <w:szCs w:val="20"/>
                <w:lang w:eastAsia="en-GB" w:bidi="ar-SA"/>
              </w:rPr>
              <w:lastRenderedPageBreak/>
              <w:t>14</w:t>
            </w:r>
          </w:p>
        </w:tc>
        <w:tc>
          <w:tcPr>
            <w:tcW w:w="1776" w:type="pct"/>
            <w:tcBorders>
              <w:bottom w:val="single" w:sz="8" w:space="0" w:color="000000"/>
            </w:tcBorders>
            <w:shd w:val="clear" w:color="auto" w:fill="auto"/>
            <w:vAlign w:val="center"/>
          </w:tcPr>
          <w:p w14:paraId="1EA5FDBD" w14:textId="4844F749" w:rsidR="00D041D1" w:rsidRPr="00B364CB" w:rsidRDefault="00D041D1" w:rsidP="00D041D1">
            <w:pPr>
              <w:widowControl/>
              <w:jc w:val="center"/>
              <w:rPr>
                <w:rFonts w:cs="Arial"/>
                <w:sz w:val="20"/>
                <w:szCs w:val="20"/>
                <w:lang w:eastAsia="en-GB" w:bidi="ar-SA"/>
              </w:rPr>
            </w:pPr>
            <w:r w:rsidRPr="00117A23">
              <w:rPr>
                <w:rFonts w:cs="Arial"/>
                <w:sz w:val="20"/>
                <w:szCs w:val="20"/>
                <w:lang w:eastAsia="en-GB" w:bidi="ar-SA"/>
              </w:rPr>
              <w:t>LH2 ship tank Capex</w:t>
            </w:r>
          </w:p>
        </w:tc>
        <w:tc>
          <w:tcPr>
            <w:tcW w:w="969" w:type="pct"/>
            <w:tcBorders>
              <w:bottom w:val="single" w:sz="8" w:space="0" w:color="000000"/>
            </w:tcBorders>
            <w:shd w:val="clear" w:color="auto" w:fill="auto"/>
            <w:vAlign w:val="center"/>
          </w:tcPr>
          <w:p w14:paraId="610410ED" w14:textId="6E04F787" w:rsidR="00D041D1" w:rsidRPr="00B364CB" w:rsidRDefault="00D041D1" w:rsidP="00D041D1">
            <w:pPr>
              <w:widowControl/>
              <w:jc w:val="center"/>
              <w:rPr>
                <w:rFonts w:cs="Arial"/>
                <w:sz w:val="20"/>
                <w:szCs w:val="20"/>
                <w:lang w:eastAsia="en-GB" w:bidi="ar-SA"/>
              </w:rPr>
            </w:pPr>
            <w:r w:rsidRPr="00D041D1">
              <w:rPr>
                <w:rFonts w:cs="Arial"/>
                <w:sz w:val="20"/>
                <w:szCs w:val="20"/>
                <w:lang w:eastAsia="en-GB" w:bidi="ar-SA"/>
              </w:rPr>
              <w:t>€/kg</w:t>
            </w:r>
          </w:p>
        </w:tc>
        <w:tc>
          <w:tcPr>
            <w:tcW w:w="485" w:type="pct"/>
            <w:tcBorders>
              <w:bottom w:val="single" w:sz="8" w:space="0" w:color="000000"/>
            </w:tcBorders>
            <w:vAlign w:val="center"/>
          </w:tcPr>
          <w:p w14:paraId="740A490F" w14:textId="39A486A3" w:rsidR="00D041D1" w:rsidRPr="00B364CB" w:rsidRDefault="00D041D1" w:rsidP="00D041D1">
            <w:pPr>
              <w:widowControl/>
              <w:jc w:val="center"/>
              <w:rPr>
                <w:rFonts w:cs="Arial"/>
                <w:sz w:val="20"/>
                <w:szCs w:val="20"/>
                <w:lang w:eastAsia="en-GB" w:bidi="ar-SA"/>
              </w:rPr>
            </w:pPr>
            <w:r>
              <w:rPr>
                <w:rFonts w:cs="Arial"/>
                <w:sz w:val="20"/>
                <w:szCs w:val="20"/>
                <w:lang w:eastAsia="en-GB" w:bidi="ar-SA"/>
              </w:rPr>
              <w:t>na</w:t>
            </w:r>
          </w:p>
        </w:tc>
        <w:tc>
          <w:tcPr>
            <w:tcW w:w="484" w:type="pct"/>
            <w:tcBorders>
              <w:bottom w:val="single" w:sz="8" w:space="0" w:color="000000"/>
            </w:tcBorders>
            <w:vAlign w:val="center"/>
          </w:tcPr>
          <w:p w14:paraId="49A1B30B" w14:textId="3375894D" w:rsidR="00D041D1" w:rsidRPr="00B364CB" w:rsidRDefault="00D041D1" w:rsidP="00D041D1">
            <w:pPr>
              <w:widowControl/>
              <w:jc w:val="center"/>
              <w:rPr>
                <w:rFonts w:cs="Arial"/>
                <w:sz w:val="20"/>
                <w:szCs w:val="20"/>
                <w:lang w:eastAsia="en-GB" w:bidi="ar-SA"/>
              </w:rPr>
            </w:pPr>
            <w:r>
              <w:rPr>
                <w:rFonts w:cs="Arial"/>
                <w:sz w:val="20"/>
                <w:szCs w:val="20"/>
                <w:lang w:eastAsia="en-GB" w:bidi="ar-SA"/>
              </w:rPr>
              <w:t>50</w:t>
            </w:r>
          </w:p>
        </w:tc>
        <w:tc>
          <w:tcPr>
            <w:tcW w:w="728" w:type="pct"/>
            <w:tcBorders>
              <w:bottom w:val="single" w:sz="8" w:space="0" w:color="000000"/>
            </w:tcBorders>
            <w:shd w:val="clear" w:color="auto" w:fill="auto"/>
            <w:vAlign w:val="center"/>
          </w:tcPr>
          <w:p w14:paraId="5B5E8ABB" w14:textId="75DCC898" w:rsidR="00D041D1" w:rsidRPr="00B364CB" w:rsidRDefault="00D041D1" w:rsidP="00D041D1">
            <w:pPr>
              <w:widowControl/>
              <w:jc w:val="center"/>
              <w:rPr>
                <w:rFonts w:cs="Arial"/>
                <w:sz w:val="20"/>
                <w:szCs w:val="20"/>
                <w:lang w:eastAsia="en-GB" w:bidi="ar-SA"/>
              </w:rPr>
            </w:pPr>
            <w:r>
              <w:rPr>
                <w:rFonts w:cs="Arial"/>
                <w:sz w:val="20"/>
                <w:szCs w:val="20"/>
                <w:lang w:eastAsia="en-GB" w:bidi="ar-SA"/>
              </w:rPr>
              <w:t>&lt;10</w:t>
            </w:r>
          </w:p>
        </w:tc>
      </w:tr>
      <w:tr w:rsidR="00D041D1" w:rsidRPr="00B364CB" w14:paraId="4013A26E" w14:textId="77777777" w:rsidTr="00D041D1">
        <w:trPr>
          <w:trHeight w:val="525"/>
        </w:trPr>
        <w:tc>
          <w:tcPr>
            <w:tcW w:w="558" w:type="pct"/>
            <w:tcBorders>
              <w:top w:val="single" w:sz="8" w:space="0" w:color="000000"/>
              <w:bottom w:val="single" w:sz="8" w:space="0" w:color="000000"/>
            </w:tcBorders>
            <w:shd w:val="clear" w:color="auto" w:fill="auto"/>
            <w:vAlign w:val="center"/>
            <w:hideMark/>
          </w:tcPr>
          <w:p w14:paraId="0A8FEB37" w14:textId="07656278"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1</w:t>
            </w:r>
            <w:r>
              <w:rPr>
                <w:rFonts w:cs="Arial"/>
                <w:sz w:val="20"/>
                <w:szCs w:val="20"/>
                <w:lang w:eastAsia="en-GB" w:bidi="ar-SA"/>
              </w:rPr>
              <w:t>5</w:t>
            </w:r>
          </w:p>
        </w:tc>
        <w:tc>
          <w:tcPr>
            <w:tcW w:w="1776" w:type="pct"/>
            <w:tcBorders>
              <w:top w:val="single" w:sz="8" w:space="0" w:color="000000"/>
              <w:bottom w:val="single" w:sz="8" w:space="0" w:color="000000"/>
            </w:tcBorders>
            <w:shd w:val="clear" w:color="auto" w:fill="auto"/>
            <w:vAlign w:val="center"/>
          </w:tcPr>
          <w:p w14:paraId="4E3F5853" w14:textId="6249FDD6"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LH</w:t>
            </w:r>
            <w:r w:rsidRPr="00120F40">
              <w:rPr>
                <w:rFonts w:cs="Arial"/>
                <w:sz w:val="20"/>
                <w:szCs w:val="20"/>
                <w:lang w:eastAsia="en-GB" w:bidi="ar-SA"/>
              </w:rPr>
              <w:t>2</w:t>
            </w:r>
            <w:r w:rsidRPr="00B364CB">
              <w:rPr>
                <w:rFonts w:cs="Arial"/>
                <w:sz w:val="20"/>
                <w:szCs w:val="20"/>
                <w:lang w:eastAsia="en-GB" w:bidi="ar-SA"/>
              </w:rPr>
              <w:t xml:space="preserve"> boil-off</w:t>
            </w:r>
          </w:p>
        </w:tc>
        <w:tc>
          <w:tcPr>
            <w:tcW w:w="969" w:type="pct"/>
            <w:tcBorders>
              <w:top w:val="single" w:sz="8" w:space="0" w:color="000000"/>
              <w:bottom w:val="single" w:sz="8" w:space="0" w:color="000000"/>
            </w:tcBorders>
            <w:shd w:val="clear" w:color="auto" w:fill="auto"/>
            <w:vAlign w:val="center"/>
          </w:tcPr>
          <w:p w14:paraId="6F2C3C98" w14:textId="353CBE08" w:rsidR="00D041D1" w:rsidRPr="00B364CB" w:rsidRDefault="00D041D1" w:rsidP="00D041D1">
            <w:pPr>
              <w:widowControl/>
              <w:jc w:val="center"/>
              <w:rPr>
                <w:rFonts w:cs="Arial"/>
                <w:sz w:val="20"/>
                <w:szCs w:val="20"/>
                <w:lang w:eastAsia="en-GB" w:bidi="ar-SA"/>
              </w:rPr>
            </w:pPr>
            <w:r w:rsidRPr="00B364CB">
              <w:rPr>
                <w:rFonts w:cs="Arial"/>
                <w:sz w:val="20"/>
                <w:szCs w:val="20"/>
                <w:lang w:eastAsia="en-GB" w:bidi="ar-SA"/>
              </w:rPr>
              <w:t>%/d</w:t>
            </w:r>
          </w:p>
        </w:tc>
        <w:tc>
          <w:tcPr>
            <w:tcW w:w="485" w:type="pct"/>
            <w:tcBorders>
              <w:top w:val="single" w:sz="8" w:space="0" w:color="000000"/>
              <w:bottom w:val="single" w:sz="8" w:space="0" w:color="000000"/>
            </w:tcBorders>
            <w:vAlign w:val="center"/>
          </w:tcPr>
          <w:p w14:paraId="0F1D8843" w14:textId="6D3C4CF6" w:rsidR="00D041D1" w:rsidRPr="00B364CB" w:rsidRDefault="00D041D1" w:rsidP="00D041D1">
            <w:pPr>
              <w:widowControl/>
              <w:jc w:val="center"/>
              <w:rPr>
                <w:rFonts w:cs="Arial"/>
                <w:sz w:val="20"/>
                <w:szCs w:val="20"/>
                <w:lang w:eastAsia="en-GB" w:bidi="ar-SA"/>
              </w:rPr>
            </w:pPr>
            <w:r>
              <w:rPr>
                <w:rFonts w:cs="Arial"/>
                <w:sz w:val="20"/>
                <w:szCs w:val="20"/>
                <w:lang w:eastAsia="en-GB" w:bidi="ar-SA"/>
              </w:rPr>
              <w:t>na</w:t>
            </w:r>
          </w:p>
        </w:tc>
        <w:tc>
          <w:tcPr>
            <w:tcW w:w="484" w:type="pct"/>
            <w:tcBorders>
              <w:top w:val="single" w:sz="8" w:space="0" w:color="000000"/>
              <w:bottom w:val="single" w:sz="8" w:space="0" w:color="000000"/>
            </w:tcBorders>
            <w:vAlign w:val="center"/>
          </w:tcPr>
          <w:p w14:paraId="7B011B53" w14:textId="5B5FD760" w:rsidR="00D041D1" w:rsidRPr="00B364CB" w:rsidRDefault="00D041D1" w:rsidP="00D041D1">
            <w:pPr>
              <w:widowControl/>
              <w:jc w:val="center"/>
              <w:rPr>
                <w:rFonts w:cs="Arial"/>
                <w:sz w:val="20"/>
                <w:szCs w:val="20"/>
                <w:lang w:eastAsia="en-GB" w:bidi="ar-SA"/>
              </w:rPr>
            </w:pPr>
            <w:r>
              <w:rPr>
                <w:rFonts w:cs="Arial"/>
                <w:sz w:val="20"/>
                <w:szCs w:val="20"/>
                <w:lang w:eastAsia="en-GB" w:bidi="ar-SA"/>
              </w:rPr>
              <w:t>0.5</w:t>
            </w:r>
          </w:p>
        </w:tc>
        <w:tc>
          <w:tcPr>
            <w:tcW w:w="728" w:type="pct"/>
            <w:tcBorders>
              <w:top w:val="single" w:sz="8" w:space="0" w:color="000000"/>
              <w:bottom w:val="single" w:sz="8" w:space="0" w:color="000000"/>
            </w:tcBorders>
            <w:shd w:val="clear" w:color="auto" w:fill="auto"/>
            <w:vAlign w:val="center"/>
          </w:tcPr>
          <w:p w14:paraId="748226B3" w14:textId="6BF7CAB9" w:rsidR="00D041D1" w:rsidRPr="00B364CB" w:rsidRDefault="00D041D1" w:rsidP="00D041D1">
            <w:pPr>
              <w:widowControl/>
              <w:jc w:val="center"/>
              <w:rPr>
                <w:rFonts w:cs="Arial"/>
                <w:sz w:val="20"/>
                <w:szCs w:val="20"/>
                <w:lang w:eastAsia="en-GB" w:bidi="ar-SA"/>
              </w:rPr>
            </w:pPr>
            <w:r>
              <w:rPr>
                <w:rFonts w:cs="Arial"/>
                <w:sz w:val="20"/>
                <w:szCs w:val="20"/>
                <w:lang w:eastAsia="en-GB" w:bidi="ar-SA"/>
              </w:rPr>
              <w:t>&lt;0.3</w:t>
            </w:r>
          </w:p>
        </w:tc>
      </w:tr>
    </w:tbl>
    <w:p w14:paraId="5DB8540B" w14:textId="77777777" w:rsidR="009D0C2E" w:rsidRDefault="009D0C2E" w:rsidP="009D0C2E">
      <w:pPr>
        <w:tabs>
          <w:tab w:val="left" w:pos="1805"/>
        </w:tabs>
        <w:spacing w:after="120"/>
        <w:jc w:val="both"/>
        <w:rPr>
          <w:rFonts w:cstheme="minorHAnsi"/>
          <w:b/>
          <w:iCs/>
          <w:color w:val="auto"/>
          <w:sz w:val="16"/>
          <w:szCs w:val="16"/>
          <w:u w:val="single"/>
        </w:rPr>
      </w:pPr>
    </w:p>
    <w:p w14:paraId="0ABC7220"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7A72F071"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General for pipelines: KPIs for H</w:t>
      </w:r>
      <w:r w:rsidRPr="0064549A">
        <w:rPr>
          <w:rFonts w:cstheme="minorHAnsi"/>
          <w:iCs/>
          <w:color w:val="auto"/>
          <w:sz w:val="16"/>
          <w:szCs w:val="16"/>
          <w:vertAlign w:val="subscript"/>
        </w:rPr>
        <w:t>2</w:t>
      </w:r>
      <w:r w:rsidRPr="00B364CB">
        <w:rPr>
          <w:rFonts w:cstheme="minorHAnsi"/>
          <w:iCs/>
          <w:color w:val="auto"/>
          <w:sz w:val="16"/>
          <w:szCs w:val="16"/>
        </w:rPr>
        <w:t xml:space="preserve"> pipelines should be developed further based on expected H</w:t>
      </w:r>
      <w:r w:rsidRPr="0064549A">
        <w:rPr>
          <w:rFonts w:cstheme="minorHAnsi"/>
          <w:iCs/>
          <w:color w:val="auto"/>
          <w:sz w:val="16"/>
          <w:szCs w:val="16"/>
          <w:vertAlign w:val="subscript"/>
        </w:rPr>
        <w:t>2</w:t>
      </w:r>
      <w:r w:rsidRPr="00B364CB">
        <w:rPr>
          <w:rFonts w:cstheme="minorHAnsi"/>
          <w:iCs/>
          <w:color w:val="auto"/>
          <w:sz w:val="16"/>
          <w:szCs w:val="16"/>
        </w:rPr>
        <w:t xml:space="preserve"> transport in Europe by 2030 (e.g. pipeline capacity, pipeline diameter and cost of transport</w:t>
      </w:r>
    </w:p>
    <w:p w14:paraId="267F0F72" w14:textId="2176F02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KPI-1: </w:t>
      </w:r>
      <w:r w:rsidR="007C571E">
        <w:rPr>
          <w:rFonts w:cstheme="minorHAnsi"/>
          <w:iCs/>
          <w:color w:val="auto"/>
          <w:sz w:val="16"/>
          <w:szCs w:val="16"/>
        </w:rPr>
        <w:t>F</w:t>
      </w:r>
      <w:r w:rsidRPr="00B364CB">
        <w:rPr>
          <w:rFonts w:cstheme="minorHAnsi"/>
          <w:iCs/>
          <w:color w:val="auto"/>
          <w:sz w:val="16"/>
          <w:szCs w:val="16"/>
        </w:rPr>
        <w:t>or an 8-inch diameter pipeline, excluding right-of-way - 100% hydrogen new construction.</w:t>
      </w:r>
    </w:p>
    <w:p w14:paraId="73804D92"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KPI-3: Percentage of hydrogen transported</w:t>
      </w:r>
    </w:p>
    <w:p w14:paraId="1C2CCCFB"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KPI-4: Payload capacity = quantity of hydrogen contained in the trailer</w:t>
      </w:r>
    </w:p>
    <w:p w14:paraId="7DC0853B" w14:textId="77777777" w:rsidR="009D0C2E"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KPI-5: CAPEX of the Lorry (excluding tractor)</w:t>
      </w:r>
      <w:r>
        <w:rPr>
          <w:rFonts w:cstheme="minorHAnsi"/>
          <w:iCs/>
          <w:color w:val="auto"/>
          <w:sz w:val="16"/>
          <w:szCs w:val="16"/>
        </w:rPr>
        <w:t>,</w:t>
      </w:r>
      <w:r w:rsidRPr="001A241E">
        <w:t xml:space="preserve"> </w:t>
      </w:r>
      <w:r w:rsidRPr="001A241E">
        <w:rPr>
          <w:rFonts w:cstheme="minorHAnsi"/>
          <w:iCs/>
          <w:color w:val="auto"/>
          <w:sz w:val="16"/>
          <w:szCs w:val="16"/>
        </w:rPr>
        <w:t>including cylinders’ racks, chassis and piping interconnexion</w:t>
      </w:r>
    </w:p>
    <w:p w14:paraId="5DC436A5" w14:textId="77777777" w:rsidR="009D0C2E" w:rsidRDefault="009D0C2E" w:rsidP="009D0C2E">
      <w:pPr>
        <w:tabs>
          <w:tab w:val="left" w:pos="1805"/>
        </w:tabs>
        <w:spacing w:after="120"/>
        <w:jc w:val="both"/>
        <w:rPr>
          <w:rFonts w:cstheme="minorHAnsi"/>
          <w:iCs/>
          <w:color w:val="auto"/>
          <w:sz w:val="16"/>
          <w:szCs w:val="16"/>
        </w:rPr>
      </w:pPr>
      <w:r>
        <w:rPr>
          <w:rFonts w:cstheme="minorHAnsi"/>
          <w:iCs/>
          <w:color w:val="auto"/>
          <w:sz w:val="16"/>
          <w:szCs w:val="16"/>
        </w:rPr>
        <w:t xml:space="preserve">KPI-6: </w:t>
      </w:r>
      <w:r w:rsidRPr="00BE0624">
        <w:rPr>
          <w:rFonts w:cstheme="minorHAnsi"/>
          <w:iCs/>
          <w:color w:val="auto"/>
          <w:sz w:val="16"/>
          <w:szCs w:val="16"/>
        </w:rPr>
        <w:t>Operating cylinder Pressure.</w:t>
      </w:r>
    </w:p>
    <w:p w14:paraId="4B714EDA" w14:textId="77777777" w:rsidR="009D0C2E" w:rsidRPr="00B364CB" w:rsidRDefault="009D0C2E" w:rsidP="009D0C2E">
      <w:pPr>
        <w:tabs>
          <w:tab w:val="left" w:pos="1805"/>
        </w:tabs>
        <w:spacing w:after="120"/>
        <w:jc w:val="both"/>
        <w:rPr>
          <w:rFonts w:cstheme="minorHAnsi"/>
          <w:iCs/>
          <w:color w:val="auto"/>
          <w:sz w:val="16"/>
          <w:szCs w:val="16"/>
        </w:rPr>
      </w:pPr>
      <w:r>
        <w:rPr>
          <w:rFonts w:cstheme="minorHAnsi"/>
          <w:iCs/>
          <w:color w:val="auto"/>
          <w:sz w:val="16"/>
          <w:szCs w:val="16"/>
        </w:rPr>
        <w:t xml:space="preserve">KPI-7: </w:t>
      </w:r>
      <w:r w:rsidRPr="00085DFD">
        <w:rPr>
          <w:rFonts w:cstheme="minorHAnsi"/>
          <w:iCs/>
          <w:color w:val="auto"/>
          <w:sz w:val="16"/>
          <w:szCs w:val="16"/>
        </w:rPr>
        <w:t>LH2 quantity in kg contained by the trailer. (This is practically equal to the LH2 delivered)</w:t>
      </w:r>
    </w:p>
    <w:p w14:paraId="54EAE526"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w:t>
      </w:r>
      <w:r>
        <w:rPr>
          <w:rFonts w:cstheme="minorHAnsi"/>
          <w:iCs/>
          <w:color w:val="auto"/>
          <w:sz w:val="16"/>
          <w:szCs w:val="16"/>
        </w:rPr>
        <w:t>8</w:t>
      </w:r>
      <w:r w:rsidRPr="00B364CB">
        <w:rPr>
          <w:rFonts w:cstheme="minorHAnsi"/>
          <w:iCs/>
          <w:color w:val="auto"/>
          <w:sz w:val="16"/>
          <w:szCs w:val="16"/>
        </w:rPr>
        <w:t>: Lorry CAPEX</w:t>
      </w:r>
      <w:r>
        <w:rPr>
          <w:rFonts w:cstheme="minorHAnsi"/>
          <w:iCs/>
          <w:color w:val="auto"/>
          <w:sz w:val="16"/>
          <w:szCs w:val="16"/>
        </w:rPr>
        <w:t>,</w:t>
      </w:r>
      <w:r w:rsidRPr="00B364CB">
        <w:rPr>
          <w:rFonts w:cstheme="minorHAnsi"/>
          <w:iCs/>
          <w:color w:val="auto"/>
          <w:sz w:val="16"/>
          <w:szCs w:val="16"/>
        </w:rPr>
        <w:t xml:space="preserve"> including chassis and valving system but excluding the tractor cost</w:t>
      </w:r>
      <w:r>
        <w:rPr>
          <w:rFonts w:cstheme="minorHAnsi"/>
          <w:iCs/>
          <w:color w:val="auto"/>
          <w:sz w:val="16"/>
          <w:szCs w:val="16"/>
        </w:rPr>
        <w:t xml:space="preserve">, </w:t>
      </w:r>
      <w:r w:rsidRPr="00A72E36">
        <w:rPr>
          <w:rFonts w:cstheme="minorHAnsi"/>
          <w:iCs/>
          <w:color w:val="auto"/>
          <w:sz w:val="16"/>
          <w:szCs w:val="16"/>
        </w:rPr>
        <w:t>Estimate is cost is representing the c</w:t>
      </w:r>
      <w:r>
        <w:rPr>
          <w:rFonts w:cstheme="minorHAnsi"/>
          <w:iCs/>
          <w:color w:val="auto"/>
          <w:sz w:val="16"/>
          <w:szCs w:val="16"/>
        </w:rPr>
        <w:t>ase where with</w:t>
      </w:r>
      <w:r w:rsidRPr="00A72E36">
        <w:rPr>
          <w:rFonts w:cstheme="minorHAnsi"/>
          <w:iCs/>
          <w:color w:val="auto"/>
          <w:sz w:val="16"/>
          <w:szCs w:val="16"/>
        </w:rPr>
        <w:t xml:space="preserve"> hundred</w:t>
      </w:r>
      <w:r>
        <w:rPr>
          <w:rFonts w:cstheme="minorHAnsi"/>
          <w:iCs/>
          <w:color w:val="auto"/>
          <w:sz w:val="16"/>
          <w:szCs w:val="16"/>
        </w:rPr>
        <w:t>s</w:t>
      </w:r>
      <w:r w:rsidRPr="00A72E36">
        <w:rPr>
          <w:rFonts w:cstheme="minorHAnsi"/>
          <w:iCs/>
          <w:color w:val="auto"/>
          <w:sz w:val="16"/>
          <w:szCs w:val="16"/>
        </w:rPr>
        <w:t xml:space="preserve"> of units per year.</w:t>
      </w:r>
    </w:p>
    <w:p w14:paraId="5265C87B" w14:textId="77777777" w:rsidR="009D0C2E" w:rsidRDefault="009D0C2E" w:rsidP="009D0C2E">
      <w:pPr>
        <w:tabs>
          <w:tab w:val="left" w:pos="1805"/>
        </w:tabs>
        <w:spacing w:after="120"/>
        <w:jc w:val="both"/>
        <w:rPr>
          <w:rFonts w:cstheme="minorHAnsi"/>
          <w:iCs/>
          <w:color w:val="auto"/>
          <w:sz w:val="16"/>
          <w:szCs w:val="16"/>
        </w:rPr>
      </w:pPr>
      <w:r>
        <w:rPr>
          <w:rFonts w:cstheme="minorHAnsi"/>
          <w:iCs/>
          <w:color w:val="auto"/>
          <w:sz w:val="16"/>
          <w:szCs w:val="16"/>
        </w:rPr>
        <w:t>KPI-9</w:t>
      </w:r>
      <w:r w:rsidRPr="00B364CB">
        <w:rPr>
          <w:rFonts w:cstheme="minorHAnsi"/>
          <w:iCs/>
          <w:color w:val="auto"/>
          <w:sz w:val="16"/>
          <w:szCs w:val="16"/>
        </w:rPr>
        <w:t>: Quantity of liquid hydrogen boiled off after a day as a percentage of the total payload.</w:t>
      </w:r>
      <w:r w:rsidRPr="006D02A7">
        <w:t xml:space="preserve"> </w:t>
      </w:r>
      <w:r w:rsidRPr="006D02A7">
        <w:rPr>
          <w:rFonts w:cstheme="minorHAnsi"/>
          <w:iCs/>
          <w:color w:val="auto"/>
          <w:sz w:val="16"/>
          <w:szCs w:val="16"/>
        </w:rPr>
        <w:t>Lorry fully load - trailer in standby, stop in a parking place 2hrs (no motion) - The % loss is based on the nominal capacity.</w:t>
      </w:r>
    </w:p>
    <w:p w14:paraId="25C9032F" w14:textId="77777777" w:rsidR="009D0C2E" w:rsidRDefault="009D0C2E" w:rsidP="009D0C2E">
      <w:pPr>
        <w:tabs>
          <w:tab w:val="left" w:pos="1805"/>
        </w:tabs>
        <w:spacing w:after="120"/>
        <w:jc w:val="both"/>
        <w:rPr>
          <w:rFonts w:cstheme="minorHAnsi"/>
          <w:iCs/>
          <w:color w:val="auto"/>
          <w:sz w:val="16"/>
          <w:szCs w:val="16"/>
          <w:vertAlign w:val="superscript"/>
        </w:rPr>
      </w:pPr>
      <w:r w:rsidRPr="00B364CB">
        <w:rPr>
          <w:rFonts w:cstheme="minorHAnsi"/>
          <w:iCs/>
          <w:color w:val="auto"/>
          <w:sz w:val="16"/>
          <w:szCs w:val="16"/>
        </w:rPr>
        <w:t>KPI-1</w:t>
      </w:r>
      <w:r>
        <w:rPr>
          <w:rFonts w:cstheme="minorHAnsi"/>
          <w:iCs/>
          <w:color w:val="auto"/>
          <w:sz w:val="16"/>
          <w:szCs w:val="16"/>
        </w:rPr>
        <w:t>0</w:t>
      </w:r>
      <w:r w:rsidRPr="00B364CB">
        <w:rPr>
          <w:rFonts w:cstheme="minorHAnsi"/>
          <w:iCs/>
          <w:color w:val="auto"/>
          <w:sz w:val="16"/>
          <w:szCs w:val="16"/>
        </w:rPr>
        <w:t xml:space="preserve">: </w:t>
      </w:r>
      <w:r w:rsidRPr="00866877">
        <w:rPr>
          <w:rFonts w:cstheme="minorHAnsi"/>
          <w:iCs/>
          <w:color w:val="auto"/>
          <w:sz w:val="16"/>
          <w:szCs w:val="16"/>
        </w:rPr>
        <w:t>Quantity in T of Hydrogen stored in one single storage</w:t>
      </w:r>
      <w:r>
        <w:rPr>
          <w:rFonts w:cstheme="minorHAnsi"/>
          <w:iCs/>
          <w:color w:val="auto"/>
          <w:sz w:val="16"/>
          <w:szCs w:val="16"/>
        </w:rPr>
        <w:t xml:space="preserve">. </w:t>
      </w:r>
      <w:r w:rsidRPr="00B364CB">
        <w:rPr>
          <w:rFonts w:cstheme="minorHAnsi"/>
          <w:iCs/>
          <w:color w:val="auto"/>
          <w:sz w:val="16"/>
          <w:szCs w:val="16"/>
        </w:rPr>
        <w:t>Concerning the tank capacity, please consider: 125 t = 1,500 m</w:t>
      </w:r>
      <w:r w:rsidRPr="0064549A">
        <w:rPr>
          <w:rFonts w:cstheme="minorHAnsi"/>
          <w:iCs/>
          <w:color w:val="auto"/>
          <w:sz w:val="16"/>
          <w:szCs w:val="16"/>
          <w:vertAlign w:val="superscript"/>
        </w:rPr>
        <w:t>3</w:t>
      </w:r>
      <w:r w:rsidRPr="00B364CB">
        <w:rPr>
          <w:rFonts w:cstheme="minorHAnsi"/>
          <w:iCs/>
          <w:color w:val="auto"/>
          <w:sz w:val="16"/>
          <w:szCs w:val="16"/>
        </w:rPr>
        <w:t>, 1,400 t = 20,000 m</w:t>
      </w:r>
      <w:r w:rsidRPr="0064549A">
        <w:rPr>
          <w:rFonts w:cstheme="minorHAnsi"/>
          <w:iCs/>
          <w:color w:val="auto"/>
          <w:sz w:val="16"/>
          <w:szCs w:val="16"/>
          <w:vertAlign w:val="superscript"/>
        </w:rPr>
        <w:t>3</w:t>
      </w:r>
    </w:p>
    <w:p w14:paraId="2B8BD627" w14:textId="77777777" w:rsidR="009D0C2E" w:rsidRDefault="009D0C2E" w:rsidP="009D0C2E">
      <w:pPr>
        <w:rPr>
          <w:rFonts w:cstheme="minorHAnsi"/>
          <w:iCs/>
          <w:color w:val="auto"/>
          <w:sz w:val="16"/>
          <w:szCs w:val="16"/>
        </w:rPr>
      </w:pPr>
      <w:r w:rsidRPr="00B364CB">
        <w:rPr>
          <w:rFonts w:cstheme="minorHAnsi"/>
          <w:iCs/>
          <w:color w:val="auto"/>
          <w:sz w:val="16"/>
          <w:szCs w:val="16"/>
        </w:rPr>
        <w:t>KPI-1</w:t>
      </w:r>
      <w:r>
        <w:rPr>
          <w:rFonts w:cstheme="minorHAnsi"/>
          <w:iCs/>
          <w:color w:val="auto"/>
          <w:sz w:val="16"/>
          <w:szCs w:val="16"/>
        </w:rPr>
        <w:t>1</w:t>
      </w:r>
      <w:r w:rsidRPr="00B364CB">
        <w:rPr>
          <w:rFonts w:cstheme="minorHAnsi"/>
          <w:iCs/>
          <w:color w:val="auto"/>
          <w:sz w:val="16"/>
          <w:szCs w:val="16"/>
        </w:rPr>
        <w:t>:</w:t>
      </w:r>
      <w:r>
        <w:rPr>
          <w:rFonts w:cstheme="minorHAnsi"/>
          <w:iCs/>
          <w:color w:val="auto"/>
          <w:sz w:val="16"/>
          <w:szCs w:val="16"/>
        </w:rPr>
        <w:t xml:space="preserve"> </w:t>
      </w:r>
      <w:r w:rsidRPr="00991950">
        <w:rPr>
          <w:rFonts w:cstheme="minorHAnsi"/>
          <w:iCs/>
          <w:color w:val="auto"/>
          <w:sz w:val="16"/>
          <w:szCs w:val="16"/>
        </w:rPr>
        <w:t>Full CAPEX incl. installation</w:t>
      </w:r>
      <w:r>
        <w:rPr>
          <w:rFonts w:cstheme="minorHAnsi"/>
          <w:iCs/>
          <w:color w:val="auto"/>
          <w:sz w:val="16"/>
          <w:szCs w:val="16"/>
        </w:rPr>
        <w:t>. S</w:t>
      </w:r>
      <w:r w:rsidRPr="00991950">
        <w:rPr>
          <w:rFonts w:cstheme="minorHAnsi"/>
          <w:iCs/>
          <w:color w:val="auto"/>
          <w:sz w:val="16"/>
          <w:szCs w:val="16"/>
        </w:rPr>
        <w:t xml:space="preserve">cope includes all equipment and tank installation without civil work (too dependent of </w:t>
      </w:r>
      <w:r>
        <w:rPr>
          <w:rFonts w:cstheme="minorHAnsi"/>
          <w:iCs/>
          <w:color w:val="auto"/>
          <w:sz w:val="16"/>
          <w:szCs w:val="16"/>
        </w:rPr>
        <w:t>the location),</w:t>
      </w:r>
      <w:r w:rsidRPr="00991950">
        <w:rPr>
          <w:rFonts w:cstheme="minorHAnsi"/>
          <w:iCs/>
          <w:color w:val="auto"/>
          <w:sz w:val="16"/>
          <w:szCs w:val="16"/>
        </w:rPr>
        <w:t xml:space="preserve"> without any compression system (pumps or others) and without the pipe connexion from the LH2 unit or to the loading system. Costs assumed for production of a few units per year for 2024 and few tenths per year in 2030.</w:t>
      </w:r>
    </w:p>
    <w:p w14:paraId="2EA352DC" w14:textId="77777777" w:rsidR="009D0C2E" w:rsidRDefault="009D0C2E" w:rsidP="009D0C2E">
      <w:pPr>
        <w:rPr>
          <w:rFonts w:cstheme="minorHAnsi"/>
          <w:iCs/>
          <w:color w:val="auto"/>
          <w:sz w:val="16"/>
          <w:szCs w:val="16"/>
        </w:rPr>
      </w:pPr>
    </w:p>
    <w:p w14:paraId="4AAEA0B5" w14:textId="77777777" w:rsidR="009D0C2E" w:rsidRDefault="009D0C2E" w:rsidP="009D0C2E">
      <w:pPr>
        <w:rPr>
          <w:rFonts w:cstheme="minorHAnsi"/>
          <w:iCs/>
          <w:color w:val="auto"/>
          <w:sz w:val="16"/>
          <w:szCs w:val="16"/>
        </w:rPr>
      </w:pPr>
      <w:r w:rsidRPr="00A327DB">
        <w:rPr>
          <w:rFonts w:cstheme="minorHAnsi"/>
          <w:iCs/>
          <w:color w:val="auto"/>
          <w:sz w:val="16"/>
          <w:szCs w:val="16"/>
        </w:rPr>
        <w:t>KPI-12</w:t>
      </w:r>
      <w:r>
        <w:rPr>
          <w:rFonts w:cstheme="minorHAnsi"/>
          <w:iCs/>
          <w:color w:val="auto"/>
          <w:sz w:val="16"/>
          <w:szCs w:val="16"/>
        </w:rPr>
        <w:t>: T</w:t>
      </w:r>
      <w:r w:rsidRPr="00A327DB">
        <w:rPr>
          <w:rFonts w:cstheme="minorHAnsi"/>
          <w:iCs/>
          <w:color w:val="auto"/>
          <w:sz w:val="16"/>
          <w:szCs w:val="16"/>
        </w:rPr>
        <w:t>he boil-off is measured as a percentage of the nominal capacity</w:t>
      </w:r>
    </w:p>
    <w:p w14:paraId="285810FA" w14:textId="77777777" w:rsidR="009D0C2E" w:rsidRDefault="009D0C2E" w:rsidP="009D0C2E">
      <w:pPr>
        <w:rPr>
          <w:rFonts w:cstheme="minorHAnsi"/>
          <w:iCs/>
          <w:color w:val="auto"/>
          <w:sz w:val="16"/>
          <w:szCs w:val="16"/>
        </w:rPr>
      </w:pPr>
    </w:p>
    <w:p w14:paraId="55901CC3" w14:textId="77777777" w:rsidR="009D0C2E" w:rsidRDefault="009D0C2E" w:rsidP="009D0C2E">
      <w:pPr>
        <w:rPr>
          <w:rFonts w:cstheme="minorHAnsi"/>
          <w:iCs/>
          <w:color w:val="auto"/>
          <w:sz w:val="16"/>
          <w:szCs w:val="16"/>
        </w:rPr>
      </w:pPr>
      <w:r>
        <w:rPr>
          <w:rFonts w:cstheme="minorHAnsi"/>
          <w:iCs/>
          <w:color w:val="auto"/>
          <w:sz w:val="16"/>
          <w:szCs w:val="16"/>
        </w:rPr>
        <w:t xml:space="preserve">KPI-13: </w:t>
      </w:r>
      <w:r w:rsidRPr="00993B42">
        <w:rPr>
          <w:rFonts w:cstheme="minorHAnsi"/>
          <w:iCs/>
          <w:color w:val="auto"/>
          <w:sz w:val="16"/>
          <w:szCs w:val="16"/>
        </w:rPr>
        <w:t>Quantity in T of Hydrogen stored in one single storage</w:t>
      </w:r>
      <w:r>
        <w:rPr>
          <w:rFonts w:cstheme="minorHAnsi"/>
          <w:iCs/>
          <w:color w:val="auto"/>
          <w:sz w:val="16"/>
          <w:szCs w:val="16"/>
        </w:rPr>
        <w:t>, r</w:t>
      </w:r>
      <w:r w:rsidRPr="00BE445C">
        <w:rPr>
          <w:rFonts w:cstheme="minorHAnsi"/>
          <w:iCs/>
          <w:color w:val="auto"/>
          <w:sz w:val="16"/>
          <w:szCs w:val="16"/>
        </w:rPr>
        <w:t>eal quantity in the tank including "un pumping" inventory</w:t>
      </w:r>
    </w:p>
    <w:p w14:paraId="14AC4BCB" w14:textId="77777777" w:rsidR="009D0C2E" w:rsidRDefault="009D0C2E" w:rsidP="009D0C2E">
      <w:pPr>
        <w:rPr>
          <w:rFonts w:cstheme="minorHAnsi"/>
          <w:iCs/>
          <w:color w:val="auto"/>
          <w:sz w:val="16"/>
          <w:szCs w:val="16"/>
        </w:rPr>
      </w:pPr>
    </w:p>
    <w:p w14:paraId="30E47441" w14:textId="77777777" w:rsidR="009D0C2E" w:rsidRDefault="009D0C2E" w:rsidP="009D0C2E">
      <w:pPr>
        <w:rPr>
          <w:rFonts w:cstheme="minorHAnsi"/>
          <w:iCs/>
          <w:color w:val="auto"/>
          <w:sz w:val="16"/>
          <w:szCs w:val="16"/>
        </w:rPr>
      </w:pPr>
      <w:r>
        <w:rPr>
          <w:rFonts w:cstheme="minorHAnsi"/>
          <w:iCs/>
          <w:color w:val="auto"/>
          <w:sz w:val="16"/>
          <w:szCs w:val="16"/>
        </w:rPr>
        <w:t xml:space="preserve">KPI-14: </w:t>
      </w:r>
      <w:r w:rsidRPr="00596712">
        <w:rPr>
          <w:rFonts w:cstheme="minorHAnsi"/>
          <w:iCs/>
          <w:color w:val="auto"/>
          <w:sz w:val="16"/>
          <w:szCs w:val="16"/>
        </w:rPr>
        <w:t>Full CAPEX incl. installation</w:t>
      </w:r>
      <w:r>
        <w:rPr>
          <w:rFonts w:cstheme="minorHAnsi"/>
          <w:iCs/>
          <w:color w:val="auto"/>
          <w:sz w:val="16"/>
          <w:szCs w:val="16"/>
        </w:rPr>
        <w:t>, t</w:t>
      </w:r>
      <w:r w:rsidRPr="00596712">
        <w:rPr>
          <w:rFonts w:cstheme="minorHAnsi"/>
          <w:iCs/>
          <w:color w:val="auto"/>
          <w:sz w:val="16"/>
          <w:szCs w:val="16"/>
        </w:rPr>
        <w:t>he scope is the storage only with all equipments (valves, support...) but not the ship</w:t>
      </w:r>
    </w:p>
    <w:p w14:paraId="474C9C5B" w14:textId="77777777" w:rsidR="009D0C2E" w:rsidRDefault="009D0C2E" w:rsidP="009D0C2E">
      <w:pPr>
        <w:rPr>
          <w:rFonts w:cstheme="minorHAnsi"/>
          <w:iCs/>
          <w:color w:val="auto"/>
          <w:sz w:val="16"/>
          <w:szCs w:val="16"/>
        </w:rPr>
      </w:pPr>
    </w:p>
    <w:p w14:paraId="6117387B" w14:textId="77777777" w:rsidR="009D0C2E" w:rsidRDefault="009D0C2E" w:rsidP="009D0C2E">
      <w:pPr>
        <w:rPr>
          <w:rFonts w:cstheme="minorHAnsi"/>
          <w:iCs/>
          <w:color w:val="auto"/>
          <w:sz w:val="16"/>
          <w:szCs w:val="16"/>
        </w:rPr>
      </w:pPr>
      <w:r>
        <w:rPr>
          <w:rFonts w:cstheme="minorHAnsi"/>
          <w:iCs/>
          <w:color w:val="auto"/>
          <w:sz w:val="16"/>
          <w:szCs w:val="16"/>
        </w:rPr>
        <w:t xml:space="preserve">KPI-15: </w:t>
      </w:r>
      <w:r w:rsidRPr="00EC6E38">
        <w:rPr>
          <w:rFonts w:cstheme="minorHAnsi"/>
          <w:iCs/>
          <w:color w:val="auto"/>
          <w:sz w:val="16"/>
          <w:szCs w:val="16"/>
        </w:rPr>
        <w:t>Potential usage of the boil-off is not considered at this point. All data are without this optimisation. % of the total capacity.</w:t>
      </w:r>
    </w:p>
    <w:p w14:paraId="52DEB653" w14:textId="77777777" w:rsidR="009D0C2E" w:rsidRPr="00E4788A" w:rsidRDefault="009D0C2E" w:rsidP="009D0C2E"/>
    <w:p w14:paraId="450580B8" w14:textId="601D10CE" w:rsidR="009D0C2E" w:rsidRPr="00B364CB" w:rsidRDefault="009D0C2E" w:rsidP="009D0C2E">
      <w:pPr>
        <w:pStyle w:val="Caption"/>
        <w:rPr>
          <w:sz w:val="24"/>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14</w:t>
      </w:r>
      <w:r w:rsidRPr="00B364CB">
        <w:rPr>
          <w:sz w:val="24"/>
        </w:rPr>
        <w:fldChar w:fldCharType="end"/>
      </w:r>
      <w:r w:rsidRPr="00B364CB">
        <w:rPr>
          <w:sz w:val="24"/>
        </w:rPr>
        <w:t>: KPIs for hydrogen distribution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32"/>
        <w:gridCol w:w="3735"/>
        <w:gridCol w:w="1199"/>
        <w:gridCol w:w="900"/>
        <w:gridCol w:w="898"/>
        <w:gridCol w:w="1346"/>
      </w:tblGrid>
      <w:tr w:rsidR="009D0C2E" w:rsidRPr="00B364CB" w14:paraId="68DA9339" w14:textId="77777777" w:rsidTr="00120F40">
        <w:trPr>
          <w:trHeight w:val="315"/>
        </w:trPr>
        <w:tc>
          <w:tcPr>
            <w:tcW w:w="566" w:type="pct"/>
            <w:vMerge w:val="restart"/>
            <w:shd w:val="clear" w:color="auto" w:fill="BFBFBF" w:themeFill="background1" w:themeFillShade="BF"/>
            <w:vAlign w:val="center"/>
            <w:hideMark/>
          </w:tcPr>
          <w:p w14:paraId="7F27E244"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No</w:t>
            </w:r>
          </w:p>
        </w:tc>
        <w:tc>
          <w:tcPr>
            <w:tcW w:w="2050" w:type="pct"/>
            <w:vMerge w:val="restart"/>
            <w:shd w:val="clear" w:color="auto" w:fill="BFBFBF" w:themeFill="background1" w:themeFillShade="BF"/>
            <w:vAlign w:val="center"/>
            <w:hideMark/>
          </w:tcPr>
          <w:p w14:paraId="38203939" w14:textId="77777777" w:rsidR="009D0C2E" w:rsidRPr="00B364CB" w:rsidRDefault="009D0C2E" w:rsidP="009D0C2E">
            <w:pPr>
              <w:widowControl/>
              <w:ind w:firstLineChars="600" w:firstLine="1200"/>
              <w:jc w:val="center"/>
              <w:rPr>
                <w:rFonts w:cs="Arial"/>
                <w:b/>
                <w:bCs/>
                <w:sz w:val="20"/>
                <w:szCs w:val="20"/>
                <w:lang w:eastAsia="en-GB" w:bidi="ar-SA"/>
              </w:rPr>
            </w:pPr>
            <w:r w:rsidRPr="00B364CB">
              <w:rPr>
                <w:rFonts w:cs="Arial"/>
                <w:b/>
                <w:bCs/>
                <w:sz w:val="20"/>
                <w:szCs w:val="20"/>
                <w:lang w:eastAsia="en-GB" w:bidi="ar-SA"/>
              </w:rPr>
              <w:t>Parameter</w:t>
            </w:r>
          </w:p>
        </w:tc>
        <w:tc>
          <w:tcPr>
            <w:tcW w:w="658" w:type="pct"/>
            <w:vMerge w:val="restart"/>
            <w:shd w:val="clear" w:color="auto" w:fill="BFBFBF" w:themeFill="background1" w:themeFillShade="BF"/>
            <w:vAlign w:val="center"/>
            <w:hideMark/>
          </w:tcPr>
          <w:p w14:paraId="4740168C"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Unit</w:t>
            </w:r>
          </w:p>
        </w:tc>
        <w:tc>
          <w:tcPr>
            <w:tcW w:w="494" w:type="pct"/>
            <w:shd w:val="clear" w:color="auto" w:fill="BFBFBF" w:themeFill="background1" w:themeFillShade="BF"/>
          </w:tcPr>
          <w:p w14:paraId="00ADE6B5"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232" w:type="pct"/>
            <w:gridSpan w:val="2"/>
            <w:shd w:val="clear" w:color="auto" w:fill="BFBFBF" w:themeFill="background1" w:themeFillShade="BF"/>
            <w:vAlign w:val="center"/>
          </w:tcPr>
          <w:p w14:paraId="2A786C2C" w14:textId="77777777" w:rsidR="009D0C2E" w:rsidRPr="00B364CB" w:rsidRDefault="009D0C2E" w:rsidP="009D0C2E">
            <w:pPr>
              <w:widowControl/>
              <w:tabs>
                <w:tab w:val="left" w:pos="431"/>
                <w:tab w:val="center" w:pos="1239"/>
              </w:tabs>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54C7CD56" w14:textId="77777777" w:rsidTr="00120F40">
        <w:trPr>
          <w:trHeight w:val="315"/>
        </w:trPr>
        <w:tc>
          <w:tcPr>
            <w:tcW w:w="566" w:type="pct"/>
            <w:vMerge/>
            <w:tcBorders>
              <w:bottom w:val="single" w:sz="8" w:space="0" w:color="000000"/>
            </w:tcBorders>
            <w:shd w:val="clear" w:color="auto" w:fill="BFBFBF" w:themeFill="background1" w:themeFillShade="BF"/>
            <w:vAlign w:val="center"/>
            <w:hideMark/>
          </w:tcPr>
          <w:p w14:paraId="244EE2BD" w14:textId="77777777" w:rsidR="009D0C2E" w:rsidRPr="00B364CB" w:rsidRDefault="009D0C2E" w:rsidP="009D0C2E">
            <w:pPr>
              <w:widowControl/>
              <w:jc w:val="center"/>
              <w:rPr>
                <w:rFonts w:cs="Arial"/>
                <w:b/>
                <w:bCs/>
                <w:sz w:val="20"/>
                <w:szCs w:val="20"/>
                <w:lang w:eastAsia="en-GB" w:bidi="ar-SA"/>
              </w:rPr>
            </w:pPr>
          </w:p>
        </w:tc>
        <w:tc>
          <w:tcPr>
            <w:tcW w:w="2050" w:type="pct"/>
            <w:vMerge/>
            <w:tcBorders>
              <w:bottom w:val="single" w:sz="8" w:space="0" w:color="000000"/>
            </w:tcBorders>
            <w:shd w:val="clear" w:color="auto" w:fill="BFBFBF" w:themeFill="background1" w:themeFillShade="BF"/>
            <w:vAlign w:val="center"/>
            <w:hideMark/>
          </w:tcPr>
          <w:p w14:paraId="015D338C" w14:textId="77777777" w:rsidR="009D0C2E" w:rsidRPr="00B364CB" w:rsidRDefault="009D0C2E" w:rsidP="009D0C2E">
            <w:pPr>
              <w:widowControl/>
              <w:jc w:val="center"/>
              <w:rPr>
                <w:rFonts w:cs="Arial"/>
                <w:b/>
                <w:bCs/>
                <w:sz w:val="20"/>
                <w:szCs w:val="20"/>
                <w:lang w:eastAsia="en-GB" w:bidi="ar-SA"/>
              </w:rPr>
            </w:pPr>
          </w:p>
        </w:tc>
        <w:tc>
          <w:tcPr>
            <w:tcW w:w="658" w:type="pct"/>
            <w:vMerge/>
            <w:tcBorders>
              <w:bottom w:val="single" w:sz="8" w:space="0" w:color="000000"/>
            </w:tcBorders>
            <w:shd w:val="clear" w:color="auto" w:fill="BFBFBF" w:themeFill="background1" w:themeFillShade="BF"/>
            <w:vAlign w:val="center"/>
            <w:hideMark/>
          </w:tcPr>
          <w:p w14:paraId="6F8F2EE4" w14:textId="77777777" w:rsidR="009D0C2E" w:rsidRPr="00B364CB" w:rsidRDefault="009D0C2E" w:rsidP="009D0C2E">
            <w:pPr>
              <w:widowControl/>
              <w:jc w:val="center"/>
              <w:rPr>
                <w:rFonts w:cs="Arial"/>
                <w:b/>
                <w:bCs/>
                <w:sz w:val="20"/>
                <w:szCs w:val="20"/>
                <w:lang w:eastAsia="en-GB" w:bidi="ar-SA"/>
              </w:rPr>
            </w:pPr>
          </w:p>
        </w:tc>
        <w:tc>
          <w:tcPr>
            <w:tcW w:w="494" w:type="pct"/>
            <w:tcBorders>
              <w:bottom w:val="single" w:sz="8" w:space="0" w:color="000000"/>
            </w:tcBorders>
            <w:shd w:val="clear" w:color="auto" w:fill="BFBFBF" w:themeFill="background1" w:themeFillShade="BF"/>
          </w:tcPr>
          <w:p w14:paraId="6306C109"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493" w:type="pct"/>
            <w:tcBorders>
              <w:bottom w:val="single" w:sz="8" w:space="0" w:color="000000"/>
            </w:tcBorders>
            <w:shd w:val="clear" w:color="auto" w:fill="BFBFBF" w:themeFill="background1" w:themeFillShade="BF"/>
          </w:tcPr>
          <w:p w14:paraId="15286458"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739" w:type="pct"/>
            <w:tcBorders>
              <w:bottom w:val="single" w:sz="8" w:space="0" w:color="000000"/>
            </w:tcBorders>
            <w:shd w:val="clear" w:color="auto" w:fill="BFBFBF" w:themeFill="background1" w:themeFillShade="BF"/>
            <w:vAlign w:val="center"/>
            <w:hideMark/>
          </w:tcPr>
          <w:p w14:paraId="499E30ED"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4D9C1F2F" w14:textId="77777777" w:rsidTr="00120F40">
        <w:trPr>
          <w:trHeight w:val="518"/>
        </w:trPr>
        <w:tc>
          <w:tcPr>
            <w:tcW w:w="5000" w:type="pct"/>
            <w:gridSpan w:val="6"/>
            <w:shd w:val="clear" w:color="auto" w:fill="D9D9D9" w:themeFill="background1" w:themeFillShade="D9"/>
            <w:vAlign w:val="center"/>
          </w:tcPr>
          <w:p w14:paraId="101D42E6" w14:textId="77777777" w:rsidR="009D0C2E" w:rsidRPr="00B364CB" w:rsidRDefault="009D0C2E" w:rsidP="009D0C2E">
            <w:pPr>
              <w:widowControl/>
              <w:jc w:val="center"/>
              <w:rPr>
                <w:rFonts w:cs="Arial"/>
                <w:sz w:val="20"/>
                <w:szCs w:val="20"/>
                <w:lang w:eastAsia="en-GB" w:bidi="ar-SA"/>
              </w:rPr>
            </w:pPr>
            <w:r w:rsidRPr="00B364CB">
              <w:rPr>
                <w:rFonts w:ascii="Calibri" w:hAnsi="Calibri"/>
                <w:b/>
                <w:bCs/>
                <w:szCs w:val="22"/>
                <w:lang w:eastAsia="en-GB" w:bidi="ar-SA"/>
              </w:rPr>
              <w:t>Hydrogen compression</w:t>
            </w:r>
          </w:p>
        </w:tc>
      </w:tr>
      <w:tr w:rsidR="009D0C2E" w:rsidRPr="00B364CB" w14:paraId="5B06D66D" w14:textId="77777777" w:rsidTr="00120F40">
        <w:trPr>
          <w:trHeight w:val="397"/>
        </w:trPr>
        <w:tc>
          <w:tcPr>
            <w:tcW w:w="566" w:type="pct"/>
            <w:shd w:val="clear" w:color="auto" w:fill="auto"/>
            <w:vAlign w:val="center"/>
            <w:hideMark/>
          </w:tcPr>
          <w:p w14:paraId="79653FA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c>
          <w:tcPr>
            <w:tcW w:w="2050" w:type="pct"/>
            <w:shd w:val="clear" w:color="auto" w:fill="auto"/>
            <w:vAlign w:val="center"/>
          </w:tcPr>
          <w:p w14:paraId="3C4844A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Technical lifetime</w:t>
            </w:r>
          </w:p>
        </w:tc>
        <w:tc>
          <w:tcPr>
            <w:tcW w:w="658" w:type="pct"/>
            <w:shd w:val="clear" w:color="auto" w:fill="auto"/>
            <w:vAlign w:val="center"/>
          </w:tcPr>
          <w:p w14:paraId="3B7FC50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y</w:t>
            </w:r>
            <w:r>
              <w:rPr>
                <w:rFonts w:cs="Arial"/>
                <w:sz w:val="20"/>
                <w:szCs w:val="20"/>
                <w:lang w:eastAsia="en-GB" w:bidi="ar-SA"/>
              </w:rPr>
              <w:t>ear</w:t>
            </w:r>
          </w:p>
        </w:tc>
        <w:tc>
          <w:tcPr>
            <w:tcW w:w="494" w:type="pct"/>
            <w:shd w:val="clear" w:color="auto" w:fill="auto"/>
            <w:vAlign w:val="center"/>
          </w:tcPr>
          <w:p w14:paraId="2FB6035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w:t>
            </w:r>
          </w:p>
        </w:tc>
        <w:tc>
          <w:tcPr>
            <w:tcW w:w="493" w:type="pct"/>
            <w:shd w:val="clear" w:color="auto" w:fill="auto"/>
            <w:vAlign w:val="center"/>
          </w:tcPr>
          <w:p w14:paraId="74AA249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14</w:t>
            </w:r>
          </w:p>
        </w:tc>
        <w:tc>
          <w:tcPr>
            <w:tcW w:w="739" w:type="pct"/>
            <w:shd w:val="clear" w:color="auto" w:fill="auto"/>
            <w:vAlign w:val="center"/>
          </w:tcPr>
          <w:p w14:paraId="3E4AEA2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20</w:t>
            </w:r>
          </w:p>
        </w:tc>
      </w:tr>
      <w:tr w:rsidR="009D0C2E" w:rsidRPr="00B364CB" w14:paraId="31084245" w14:textId="77777777" w:rsidTr="00120F40">
        <w:trPr>
          <w:trHeight w:val="315"/>
        </w:trPr>
        <w:tc>
          <w:tcPr>
            <w:tcW w:w="566" w:type="pct"/>
            <w:shd w:val="clear" w:color="auto" w:fill="auto"/>
            <w:vAlign w:val="center"/>
            <w:hideMark/>
          </w:tcPr>
          <w:p w14:paraId="305D0D2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c>
          <w:tcPr>
            <w:tcW w:w="2050" w:type="pct"/>
            <w:shd w:val="clear" w:color="auto" w:fill="auto"/>
            <w:vAlign w:val="center"/>
          </w:tcPr>
          <w:p w14:paraId="7CCD9CA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Energy consumption pipeline</w:t>
            </w:r>
          </w:p>
          <w:p w14:paraId="76FFA18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(30 to 200 bar)</w:t>
            </w:r>
          </w:p>
        </w:tc>
        <w:tc>
          <w:tcPr>
            <w:tcW w:w="658" w:type="pct"/>
            <w:shd w:val="clear" w:color="auto" w:fill="auto"/>
            <w:vAlign w:val="center"/>
          </w:tcPr>
          <w:p w14:paraId="47E5E48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kWh/kg</w:t>
            </w:r>
          </w:p>
        </w:tc>
        <w:tc>
          <w:tcPr>
            <w:tcW w:w="494" w:type="pct"/>
            <w:shd w:val="clear" w:color="auto" w:fill="auto"/>
            <w:vAlign w:val="center"/>
          </w:tcPr>
          <w:p w14:paraId="597E144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c>
          <w:tcPr>
            <w:tcW w:w="493" w:type="pct"/>
            <w:shd w:val="clear" w:color="auto" w:fill="auto"/>
            <w:vAlign w:val="center"/>
          </w:tcPr>
          <w:p w14:paraId="54DD72F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2.5</w:t>
            </w:r>
          </w:p>
        </w:tc>
        <w:tc>
          <w:tcPr>
            <w:tcW w:w="739" w:type="pct"/>
            <w:shd w:val="clear" w:color="auto" w:fill="auto"/>
            <w:vAlign w:val="center"/>
          </w:tcPr>
          <w:p w14:paraId="4E91236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r>
      <w:tr w:rsidR="009D0C2E" w:rsidRPr="00B364CB" w14:paraId="70EF71D1" w14:textId="77777777" w:rsidTr="00120F40">
        <w:trPr>
          <w:trHeight w:val="370"/>
        </w:trPr>
        <w:tc>
          <w:tcPr>
            <w:tcW w:w="566" w:type="pct"/>
            <w:shd w:val="clear" w:color="auto" w:fill="auto"/>
            <w:vAlign w:val="center"/>
            <w:hideMark/>
          </w:tcPr>
          <w:p w14:paraId="24E323B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c>
          <w:tcPr>
            <w:tcW w:w="2050" w:type="pct"/>
            <w:shd w:val="clear" w:color="auto" w:fill="auto"/>
            <w:vAlign w:val="center"/>
          </w:tcPr>
          <w:p w14:paraId="38DDE45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Energy consumption HRS </w:t>
            </w:r>
          </w:p>
          <w:p w14:paraId="338ECF8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 to 900 bar)</w:t>
            </w:r>
          </w:p>
        </w:tc>
        <w:tc>
          <w:tcPr>
            <w:tcW w:w="658" w:type="pct"/>
            <w:shd w:val="clear" w:color="auto" w:fill="auto"/>
            <w:vAlign w:val="center"/>
          </w:tcPr>
          <w:p w14:paraId="08BC3EA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kWh/kg</w:t>
            </w:r>
          </w:p>
        </w:tc>
        <w:tc>
          <w:tcPr>
            <w:tcW w:w="494" w:type="pct"/>
            <w:shd w:val="clear" w:color="auto" w:fill="auto"/>
            <w:vAlign w:val="center"/>
          </w:tcPr>
          <w:p w14:paraId="38BCEAA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6</w:t>
            </w:r>
          </w:p>
        </w:tc>
        <w:tc>
          <w:tcPr>
            <w:tcW w:w="493" w:type="pct"/>
            <w:shd w:val="clear" w:color="auto" w:fill="auto"/>
            <w:vAlign w:val="center"/>
          </w:tcPr>
          <w:p w14:paraId="4283F6C5"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4</w:t>
            </w:r>
          </w:p>
        </w:tc>
        <w:tc>
          <w:tcPr>
            <w:tcW w:w="739" w:type="pct"/>
            <w:shd w:val="clear" w:color="auto" w:fill="auto"/>
            <w:vAlign w:val="center"/>
          </w:tcPr>
          <w:p w14:paraId="5B9EAA13"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3</w:t>
            </w:r>
          </w:p>
        </w:tc>
      </w:tr>
      <w:tr w:rsidR="009D0C2E" w:rsidRPr="00B364CB" w14:paraId="289E4DE6" w14:textId="77777777" w:rsidTr="00120F40">
        <w:trPr>
          <w:trHeight w:val="315"/>
        </w:trPr>
        <w:tc>
          <w:tcPr>
            <w:tcW w:w="566" w:type="pct"/>
            <w:shd w:val="clear" w:color="auto" w:fill="auto"/>
            <w:vAlign w:val="center"/>
            <w:hideMark/>
          </w:tcPr>
          <w:p w14:paraId="2CEE53B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2050" w:type="pct"/>
            <w:shd w:val="clear" w:color="auto" w:fill="auto"/>
            <w:vAlign w:val="center"/>
          </w:tcPr>
          <w:p w14:paraId="4E0F5A6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MTBF</w:t>
            </w:r>
          </w:p>
        </w:tc>
        <w:tc>
          <w:tcPr>
            <w:tcW w:w="658" w:type="pct"/>
            <w:shd w:val="clear" w:color="auto" w:fill="auto"/>
            <w:vAlign w:val="center"/>
          </w:tcPr>
          <w:p w14:paraId="3E0B9B4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w:t>
            </w:r>
          </w:p>
        </w:tc>
        <w:tc>
          <w:tcPr>
            <w:tcW w:w="494" w:type="pct"/>
            <w:shd w:val="clear" w:color="auto" w:fill="auto"/>
            <w:vAlign w:val="center"/>
          </w:tcPr>
          <w:p w14:paraId="5E50AA5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25,000</w:t>
            </w:r>
          </w:p>
        </w:tc>
        <w:tc>
          <w:tcPr>
            <w:tcW w:w="493" w:type="pct"/>
            <w:shd w:val="clear" w:color="auto" w:fill="auto"/>
            <w:vAlign w:val="center"/>
          </w:tcPr>
          <w:p w14:paraId="57A2AFC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40,000</w:t>
            </w:r>
          </w:p>
        </w:tc>
        <w:tc>
          <w:tcPr>
            <w:tcW w:w="739" w:type="pct"/>
            <w:shd w:val="clear" w:color="auto" w:fill="auto"/>
            <w:vAlign w:val="center"/>
          </w:tcPr>
          <w:p w14:paraId="173D602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60,000</w:t>
            </w:r>
          </w:p>
        </w:tc>
      </w:tr>
      <w:tr w:rsidR="009D0C2E" w:rsidRPr="00B364CB" w14:paraId="0338FBEA" w14:textId="77777777" w:rsidTr="00120F40">
        <w:trPr>
          <w:trHeight w:val="315"/>
        </w:trPr>
        <w:tc>
          <w:tcPr>
            <w:tcW w:w="566" w:type="pct"/>
            <w:shd w:val="clear" w:color="auto" w:fill="auto"/>
            <w:vAlign w:val="center"/>
            <w:hideMark/>
          </w:tcPr>
          <w:p w14:paraId="5C1F3DF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w:t>
            </w:r>
          </w:p>
        </w:tc>
        <w:tc>
          <w:tcPr>
            <w:tcW w:w="2050" w:type="pct"/>
            <w:shd w:val="clear" w:color="auto" w:fill="auto"/>
            <w:vAlign w:val="center"/>
          </w:tcPr>
          <w:p w14:paraId="3598ABD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OPEX pipeline</w:t>
            </w:r>
          </w:p>
          <w:p w14:paraId="3D04DD53" w14:textId="77777777" w:rsidR="009D0C2E" w:rsidRPr="00B364CB" w:rsidRDefault="009D0C2E" w:rsidP="009D0C2E">
            <w:pPr>
              <w:widowControl/>
              <w:jc w:val="center"/>
              <w:rPr>
                <w:rFonts w:cs="Arial"/>
                <w:sz w:val="20"/>
                <w:szCs w:val="20"/>
                <w:lang w:eastAsia="en-GB" w:bidi="ar-SA"/>
              </w:rPr>
            </w:pPr>
          </w:p>
          <w:p w14:paraId="7EAB95E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OPEX HRS</w:t>
            </w:r>
          </w:p>
        </w:tc>
        <w:tc>
          <w:tcPr>
            <w:tcW w:w="658" w:type="pct"/>
            <w:shd w:val="clear" w:color="auto" w:fill="auto"/>
            <w:vAlign w:val="center"/>
          </w:tcPr>
          <w:p w14:paraId="17A306E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494" w:type="pct"/>
            <w:shd w:val="clear" w:color="auto" w:fill="auto"/>
            <w:vAlign w:val="center"/>
          </w:tcPr>
          <w:p w14:paraId="644C9E1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0.05</w:t>
            </w:r>
          </w:p>
          <w:p w14:paraId="6A5AA256" w14:textId="77777777" w:rsidR="009D0C2E" w:rsidRPr="00B364CB" w:rsidRDefault="009D0C2E" w:rsidP="009D0C2E">
            <w:pPr>
              <w:widowControl/>
              <w:jc w:val="center"/>
              <w:rPr>
                <w:rFonts w:cs="Arial"/>
                <w:sz w:val="20"/>
                <w:szCs w:val="20"/>
                <w:lang w:eastAsia="en-GB" w:bidi="ar-SA"/>
              </w:rPr>
            </w:pPr>
          </w:p>
          <w:p w14:paraId="3212BB5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0.1</w:t>
            </w:r>
          </w:p>
        </w:tc>
        <w:tc>
          <w:tcPr>
            <w:tcW w:w="493" w:type="pct"/>
            <w:shd w:val="clear" w:color="auto" w:fill="auto"/>
            <w:vAlign w:val="center"/>
          </w:tcPr>
          <w:p w14:paraId="13AA13B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0.03</w:t>
            </w:r>
          </w:p>
          <w:p w14:paraId="7EC2E071" w14:textId="77777777" w:rsidR="009D0C2E" w:rsidRPr="00B364CB" w:rsidRDefault="009D0C2E" w:rsidP="009D0C2E">
            <w:pPr>
              <w:widowControl/>
              <w:jc w:val="center"/>
              <w:rPr>
                <w:rFonts w:cs="Arial"/>
                <w:sz w:val="20"/>
                <w:szCs w:val="20"/>
                <w:lang w:eastAsia="en-GB" w:bidi="ar-SA"/>
              </w:rPr>
            </w:pPr>
          </w:p>
          <w:p w14:paraId="1529392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0.07</w:t>
            </w:r>
          </w:p>
        </w:tc>
        <w:tc>
          <w:tcPr>
            <w:tcW w:w="739" w:type="pct"/>
            <w:shd w:val="clear" w:color="auto" w:fill="auto"/>
            <w:vAlign w:val="center"/>
          </w:tcPr>
          <w:p w14:paraId="6982486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0.01</w:t>
            </w:r>
          </w:p>
          <w:p w14:paraId="4621BE2A" w14:textId="77777777" w:rsidR="009D0C2E" w:rsidRPr="00B364CB" w:rsidRDefault="009D0C2E" w:rsidP="009D0C2E">
            <w:pPr>
              <w:widowControl/>
              <w:jc w:val="center"/>
              <w:rPr>
                <w:rFonts w:cs="Arial"/>
                <w:sz w:val="20"/>
                <w:szCs w:val="20"/>
                <w:lang w:eastAsia="en-GB" w:bidi="ar-SA"/>
              </w:rPr>
            </w:pPr>
          </w:p>
          <w:p w14:paraId="1789240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0.03</w:t>
            </w:r>
          </w:p>
        </w:tc>
      </w:tr>
      <w:tr w:rsidR="009D0C2E" w:rsidRPr="00B364CB" w14:paraId="08B92D77" w14:textId="77777777" w:rsidTr="00120F40">
        <w:trPr>
          <w:trHeight w:val="422"/>
        </w:trPr>
        <w:tc>
          <w:tcPr>
            <w:tcW w:w="566" w:type="pct"/>
            <w:shd w:val="clear" w:color="auto" w:fill="auto"/>
            <w:vAlign w:val="center"/>
            <w:hideMark/>
          </w:tcPr>
          <w:p w14:paraId="3C24F6C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6</w:t>
            </w:r>
          </w:p>
        </w:tc>
        <w:tc>
          <w:tcPr>
            <w:tcW w:w="2050" w:type="pct"/>
            <w:shd w:val="clear" w:color="auto" w:fill="auto"/>
            <w:vAlign w:val="center"/>
          </w:tcPr>
          <w:p w14:paraId="711C280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CAPEX for the compressor pipeline</w:t>
            </w:r>
          </w:p>
          <w:p w14:paraId="60388F6C" w14:textId="77777777" w:rsidR="009D0C2E" w:rsidRPr="00B364CB" w:rsidRDefault="009D0C2E" w:rsidP="009D0C2E">
            <w:pPr>
              <w:widowControl/>
              <w:jc w:val="center"/>
              <w:rPr>
                <w:rFonts w:cs="Arial"/>
                <w:sz w:val="20"/>
                <w:szCs w:val="20"/>
                <w:lang w:eastAsia="en-GB" w:bidi="ar-SA"/>
              </w:rPr>
            </w:pPr>
          </w:p>
          <w:p w14:paraId="74E31E3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CAPEX for the compressor HRS</w:t>
            </w:r>
          </w:p>
          <w:p w14:paraId="480BFB9A" w14:textId="77777777" w:rsidR="009D0C2E" w:rsidRPr="00B364CB" w:rsidRDefault="009D0C2E" w:rsidP="009D0C2E">
            <w:pPr>
              <w:widowControl/>
              <w:jc w:val="center"/>
              <w:rPr>
                <w:rFonts w:cs="Arial"/>
                <w:sz w:val="20"/>
                <w:szCs w:val="20"/>
                <w:lang w:eastAsia="en-GB" w:bidi="ar-SA"/>
              </w:rPr>
            </w:pPr>
          </w:p>
        </w:tc>
        <w:tc>
          <w:tcPr>
            <w:tcW w:w="658" w:type="pct"/>
            <w:shd w:val="clear" w:color="auto" w:fill="auto"/>
            <w:vAlign w:val="center"/>
          </w:tcPr>
          <w:p w14:paraId="0EC01D1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w:t>
            </w:r>
          </w:p>
        </w:tc>
        <w:tc>
          <w:tcPr>
            <w:tcW w:w="494" w:type="pct"/>
            <w:shd w:val="clear" w:color="auto" w:fill="auto"/>
            <w:vAlign w:val="center"/>
          </w:tcPr>
          <w:p w14:paraId="7B289C2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1,300</w:t>
            </w:r>
          </w:p>
          <w:p w14:paraId="5FFC3340" w14:textId="77777777" w:rsidR="009D0C2E" w:rsidRPr="00B364CB" w:rsidRDefault="009D0C2E" w:rsidP="009D0C2E">
            <w:pPr>
              <w:widowControl/>
              <w:jc w:val="center"/>
              <w:rPr>
                <w:rFonts w:cs="Arial"/>
                <w:sz w:val="20"/>
                <w:szCs w:val="20"/>
                <w:lang w:eastAsia="en-GB" w:bidi="ar-SA"/>
              </w:rPr>
            </w:pPr>
          </w:p>
          <w:p w14:paraId="6947146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7,700</w:t>
            </w:r>
          </w:p>
          <w:p w14:paraId="66E6EB24" w14:textId="77777777" w:rsidR="009D0C2E" w:rsidRPr="00B364CB" w:rsidRDefault="009D0C2E" w:rsidP="009D0C2E">
            <w:pPr>
              <w:widowControl/>
              <w:jc w:val="center"/>
              <w:rPr>
                <w:rFonts w:cs="Arial"/>
                <w:sz w:val="20"/>
                <w:szCs w:val="20"/>
                <w:lang w:eastAsia="en-GB" w:bidi="ar-SA"/>
              </w:rPr>
            </w:pPr>
          </w:p>
        </w:tc>
        <w:tc>
          <w:tcPr>
            <w:tcW w:w="493" w:type="pct"/>
            <w:shd w:val="clear" w:color="auto" w:fill="auto"/>
            <w:vAlign w:val="center"/>
          </w:tcPr>
          <w:p w14:paraId="43D7AC9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1,000</w:t>
            </w:r>
          </w:p>
          <w:p w14:paraId="440578B2" w14:textId="77777777" w:rsidR="009D0C2E" w:rsidRPr="00B364CB" w:rsidRDefault="009D0C2E" w:rsidP="009D0C2E">
            <w:pPr>
              <w:widowControl/>
              <w:jc w:val="center"/>
              <w:rPr>
                <w:rFonts w:cs="Arial"/>
                <w:sz w:val="20"/>
                <w:szCs w:val="20"/>
                <w:lang w:eastAsia="en-GB" w:bidi="ar-SA"/>
              </w:rPr>
            </w:pPr>
          </w:p>
          <w:p w14:paraId="20F41BF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5,600</w:t>
            </w:r>
          </w:p>
          <w:p w14:paraId="4FE150EE" w14:textId="77777777" w:rsidR="009D0C2E" w:rsidRPr="00B364CB" w:rsidRDefault="009D0C2E" w:rsidP="009D0C2E">
            <w:pPr>
              <w:widowControl/>
              <w:jc w:val="center"/>
              <w:rPr>
                <w:rFonts w:cs="Arial"/>
                <w:sz w:val="20"/>
                <w:szCs w:val="20"/>
                <w:lang w:eastAsia="en-GB" w:bidi="ar-SA"/>
              </w:rPr>
            </w:pPr>
          </w:p>
        </w:tc>
        <w:tc>
          <w:tcPr>
            <w:tcW w:w="739" w:type="pct"/>
            <w:shd w:val="clear" w:color="auto" w:fill="auto"/>
            <w:vAlign w:val="center"/>
          </w:tcPr>
          <w:p w14:paraId="11EAACE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650</w:t>
            </w:r>
          </w:p>
          <w:p w14:paraId="72F6F539" w14:textId="77777777" w:rsidR="009D0C2E" w:rsidRPr="00B364CB" w:rsidRDefault="009D0C2E" w:rsidP="009D0C2E">
            <w:pPr>
              <w:widowControl/>
              <w:jc w:val="center"/>
              <w:rPr>
                <w:rFonts w:cs="Arial"/>
                <w:sz w:val="20"/>
                <w:szCs w:val="20"/>
                <w:lang w:eastAsia="en-GB" w:bidi="ar-SA"/>
              </w:rPr>
            </w:pPr>
          </w:p>
          <w:p w14:paraId="072A827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3,500</w:t>
            </w:r>
          </w:p>
          <w:p w14:paraId="04DC0BB1" w14:textId="77777777" w:rsidR="009D0C2E" w:rsidRPr="00B364CB" w:rsidRDefault="009D0C2E" w:rsidP="009D0C2E">
            <w:pPr>
              <w:widowControl/>
              <w:jc w:val="center"/>
              <w:rPr>
                <w:rFonts w:cs="Arial"/>
                <w:sz w:val="20"/>
                <w:szCs w:val="20"/>
                <w:lang w:eastAsia="en-GB" w:bidi="ar-SA"/>
              </w:rPr>
            </w:pPr>
          </w:p>
        </w:tc>
      </w:tr>
      <w:tr w:rsidR="009D0C2E" w:rsidRPr="00B364CB" w14:paraId="221D96A2" w14:textId="77777777" w:rsidTr="00120F40">
        <w:trPr>
          <w:trHeight w:val="486"/>
        </w:trPr>
        <w:tc>
          <w:tcPr>
            <w:tcW w:w="5000" w:type="pct"/>
            <w:gridSpan w:val="6"/>
            <w:shd w:val="clear" w:color="auto" w:fill="D9D9D9" w:themeFill="background1" w:themeFillShade="D9"/>
            <w:vAlign w:val="center"/>
          </w:tcPr>
          <w:p w14:paraId="4311EF7E" w14:textId="77777777" w:rsidR="009D0C2E" w:rsidRPr="00B364CB" w:rsidRDefault="009D0C2E" w:rsidP="009D0C2E">
            <w:pPr>
              <w:widowControl/>
              <w:jc w:val="center"/>
              <w:rPr>
                <w:rFonts w:ascii="Calibri" w:hAnsi="Calibri"/>
                <w:b/>
                <w:bCs/>
                <w:szCs w:val="22"/>
                <w:lang w:eastAsia="en-GB" w:bidi="ar-SA"/>
              </w:rPr>
            </w:pPr>
            <w:r w:rsidRPr="00B364CB">
              <w:rPr>
                <w:rFonts w:ascii="Calibri" w:hAnsi="Calibri"/>
                <w:b/>
                <w:bCs/>
                <w:szCs w:val="22"/>
                <w:lang w:eastAsia="en-GB" w:bidi="ar-SA"/>
              </w:rPr>
              <w:t>Hydrogen purification</w:t>
            </w:r>
          </w:p>
        </w:tc>
      </w:tr>
      <w:tr w:rsidR="009D0C2E" w:rsidRPr="00B364CB" w14:paraId="0087A313" w14:textId="77777777" w:rsidTr="00120F40">
        <w:trPr>
          <w:trHeight w:val="525"/>
        </w:trPr>
        <w:tc>
          <w:tcPr>
            <w:tcW w:w="566" w:type="pct"/>
            <w:shd w:val="clear" w:color="auto" w:fill="auto"/>
            <w:vAlign w:val="center"/>
            <w:hideMark/>
          </w:tcPr>
          <w:p w14:paraId="642880D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w:t>
            </w:r>
          </w:p>
        </w:tc>
        <w:tc>
          <w:tcPr>
            <w:tcW w:w="2050" w:type="pct"/>
            <w:shd w:val="clear" w:color="auto" w:fill="auto"/>
            <w:vAlign w:val="center"/>
          </w:tcPr>
          <w:p w14:paraId="00E4B17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Lifetime</w:t>
            </w:r>
          </w:p>
        </w:tc>
        <w:tc>
          <w:tcPr>
            <w:tcW w:w="658" w:type="pct"/>
            <w:shd w:val="clear" w:color="auto" w:fill="auto"/>
            <w:vAlign w:val="center"/>
          </w:tcPr>
          <w:p w14:paraId="6078325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y</w:t>
            </w:r>
          </w:p>
        </w:tc>
        <w:tc>
          <w:tcPr>
            <w:tcW w:w="494" w:type="pct"/>
            <w:shd w:val="clear" w:color="auto" w:fill="auto"/>
            <w:vAlign w:val="center"/>
          </w:tcPr>
          <w:p w14:paraId="7E30EC5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5 </w:t>
            </w:r>
          </w:p>
        </w:tc>
        <w:tc>
          <w:tcPr>
            <w:tcW w:w="493" w:type="pct"/>
            <w:shd w:val="clear" w:color="auto" w:fill="auto"/>
            <w:vAlign w:val="center"/>
          </w:tcPr>
          <w:p w14:paraId="35E84AC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w:t>
            </w:r>
          </w:p>
        </w:tc>
        <w:tc>
          <w:tcPr>
            <w:tcW w:w="739" w:type="pct"/>
            <w:shd w:val="clear" w:color="auto" w:fill="auto"/>
            <w:vAlign w:val="center"/>
          </w:tcPr>
          <w:p w14:paraId="2B8AA27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20</w:t>
            </w:r>
          </w:p>
        </w:tc>
      </w:tr>
      <w:tr w:rsidR="009D0C2E" w:rsidRPr="00B364CB" w14:paraId="5E5ECCE5" w14:textId="77777777" w:rsidTr="00120F40">
        <w:trPr>
          <w:trHeight w:val="525"/>
        </w:trPr>
        <w:tc>
          <w:tcPr>
            <w:tcW w:w="566" w:type="pct"/>
            <w:shd w:val="clear" w:color="auto" w:fill="auto"/>
            <w:vAlign w:val="center"/>
            <w:hideMark/>
          </w:tcPr>
          <w:p w14:paraId="6E87BC5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lastRenderedPageBreak/>
              <w:t>8</w:t>
            </w:r>
          </w:p>
        </w:tc>
        <w:tc>
          <w:tcPr>
            <w:tcW w:w="2050" w:type="pct"/>
            <w:shd w:val="clear" w:color="auto" w:fill="auto"/>
            <w:vAlign w:val="center"/>
          </w:tcPr>
          <w:p w14:paraId="6850FE1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Energy consumption - separation</w:t>
            </w:r>
          </w:p>
        </w:tc>
        <w:tc>
          <w:tcPr>
            <w:tcW w:w="658" w:type="pct"/>
            <w:shd w:val="clear" w:color="auto" w:fill="auto"/>
            <w:vAlign w:val="center"/>
          </w:tcPr>
          <w:p w14:paraId="062FBAD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kWh/kg</w:t>
            </w:r>
          </w:p>
        </w:tc>
        <w:tc>
          <w:tcPr>
            <w:tcW w:w="494" w:type="pct"/>
            <w:shd w:val="clear" w:color="auto" w:fill="auto"/>
            <w:vAlign w:val="center"/>
          </w:tcPr>
          <w:p w14:paraId="70200D8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493" w:type="pct"/>
            <w:shd w:val="clear" w:color="auto" w:fill="auto"/>
            <w:vAlign w:val="center"/>
          </w:tcPr>
          <w:p w14:paraId="18B3765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w:t>
            </w:r>
          </w:p>
        </w:tc>
        <w:tc>
          <w:tcPr>
            <w:tcW w:w="739" w:type="pct"/>
            <w:shd w:val="clear" w:color="auto" w:fill="auto"/>
            <w:vAlign w:val="center"/>
          </w:tcPr>
          <w:p w14:paraId="37D0BFE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r>
      <w:tr w:rsidR="009D0C2E" w:rsidRPr="00B364CB" w14:paraId="11E8E66B" w14:textId="77777777" w:rsidTr="00120F40">
        <w:trPr>
          <w:trHeight w:val="315"/>
        </w:trPr>
        <w:tc>
          <w:tcPr>
            <w:tcW w:w="566" w:type="pct"/>
            <w:shd w:val="clear" w:color="auto" w:fill="auto"/>
            <w:vAlign w:val="center"/>
            <w:hideMark/>
          </w:tcPr>
          <w:p w14:paraId="75E74E1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w:t>
            </w:r>
          </w:p>
        </w:tc>
        <w:tc>
          <w:tcPr>
            <w:tcW w:w="2050" w:type="pct"/>
            <w:shd w:val="clear" w:color="auto" w:fill="auto"/>
            <w:vAlign w:val="center"/>
          </w:tcPr>
          <w:p w14:paraId="45AB036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Energy consumption - purification</w:t>
            </w:r>
          </w:p>
        </w:tc>
        <w:tc>
          <w:tcPr>
            <w:tcW w:w="658" w:type="pct"/>
            <w:shd w:val="clear" w:color="auto" w:fill="auto"/>
            <w:vAlign w:val="center"/>
          </w:tcPr>
          <w:p w14:paraId="4CAF1BE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kWh/kg</w:t>
            </w:r>
          </w:p>
        </w:tc>
        <w:tc>
          <w:tcPr>
            <w:tcW w:w="494" w:type="pct"/>
            <w:shd w:val="clear" w:color="auto" w:fill="auto"/>
            <w:vAlign w:val="center"/>
          </w:tcPr>
          <w:p w14:paraId="74CD51D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w:t>
            </w:r>
          </w:p>
        </w:tc>
        <w:tc>
          <w:tcPr>
            <w:tcW w:w="493" w:type="pct"/>
            <w:shd w:val="clear" w:color="auto" w:fill="auto"/>
            <w:vAlign w:val="center"/>
          </w:tcPr>
          <w:p w14:paraId="03C898E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c>
          <w:tcPr>
            <w:tcW w:w="739" w:type="pct"/>
            <w:shd w:val="clear" w:color="auto" w:fill="auto"/>
            <w:vAlign w:val="center"/>
          </w:tcPr>
          <w:p w14:paraId="419F28B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2.5</w:t>
            </w:r>
          </w:p>
        </w:tc>
      </w:tr>
      <w:tr w:rsidR="009D0C2E" w:rsidRPr="00B364CB" w14:paraId="4945CB21" w14:textId="77777777" w:rsidTr="00120F40">
        <w:trPr>
          <w:trHeight w:val="525"/>
        </w:trPr>
        <w:tc>
          <w:tcPr>
            <w:tcW w:w="566" w:type="pct"/>
            <w:shd w:val="clear" w:color="auto" w:fill="auto"/>
            <w:vAlign w:val="center"/>
            <w:hideMark/>
          </w:tcPr>
          <w:p w14:paraId="2EDC61B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w:t>
            </w:r>
          </w:p>
        </w:tc>
        <w:tc>
          <w:tcPr>
            <w:tcW w:w="2050" w:type="pct"/>
            <w:shd w:val="clear" w:color="auto" w:fill="auto"/>
            <w:vAlign w:val="center"/>
          </w:tcPr>
          <w:p w14:paraId="579DE1A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Hydrogen Recovery factor</w:t>
            </w:r>
          </w:p>
        </w:tc>
        <w:tc>
          <w:tcPr>
            <w:tcW w:w="658" w:type="pct"/>
            <w:shd w:val="clear" w:color="auto" w:fill="auto"/>
            <w:vAlign w:val="center"/>
          </w:tcPr>
          <w:p w14:paraId="5EE6AFA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494" w:type="pct"/>
            <w:shd w:val="clear" w:color="auto" w:fill="auto"/>
            <w:vAlign w:val="center"/>
          </w:tcPr>
          <w:p w14:paraId="52ECF69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80</w:t>
            </w:r>
          </w:p>
        </w:tc>
        <w:tc>
          <w:tcPr>
            <w:tcW w:w="493" w:type="pct"/>
            <w:shd w:val="clear" w:color="auto" w:fill="auto"/>
            <w:vAlign w:val="center"/>
          </w:tcPr>
          <w:p w14:paraId="67BD4B7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90</w:t>
            </w:r>
          </w:p>
        </w:tc>
        <w:tc>
          <w:tcPr>
            <w:tcW w:w="739" w:type="pct"/>
            <w:shd w:val="clear" w:color="auto" w:fill="auto"/>
            <w:vAlign w:val="center"/>
          </w:tcPr>
          <w:p w14:paraId="6405B03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95</w:t>
            </w:r>
          </w:p>
        </w:tc>
      </w:tr>
      <w:tr w:rsidR="009D0C2E" w:rsidRPr="00B364CB" w14:paraId="047F7BEC" w14:textId="77777777" w:rsidTr="00120F40">
        <w:trPr>
          <w:trHeight w:val="525"/>
        </w:trPr>
        <w:tc>
          <w:tcPr>
            <w:tcW w:w="566" w:type="pct"/>
            <w:shd w:val="clear" w:color="auto" w:fill="auto"/>
            <w:vAlign w:val="center"/>
            <w:hideMark/>
          </w:tcPr>
          <w:p w14:paraId="158E7DB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11</w:t>
            </w:r>
          </w:p>
        </w:tc>
        <w:tc>
          <w:tcPr>
            <w:tcW w:w="2050" w:type="pct"/>
            <w:shd w:val="clear" w:color="auto" w:fill="auto"/>
            <w:vAlign w:val="center"/>
          </w:tcPr>
          <w:p w14:paraId="1679AF5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w:t>
            </w:r>
            <w:r w:rsidRPr="001708FC">
              <w:rPr>
                <w:rFonts w:cs="Arial"/>
                <w:sz w:val="20"/>
                <w:szCs w:val="20"/>
                <w:vertAlign w:val="subscript"/>
                <w:lang w:eastAsia="en-GB" w:bidi="ar-SA"/>
              </w:rPr>
              <w:t>2</w:t>
            </w:r>
            <w:r w:rsidRPr="00B364CB">
              <w:rPr>
                <w:rFonts w:cs="Arial"/>
                <w:sz w:val="20"/>
                <w:szCs w:val="20"/>
                <w:lang w:eastAsia="en-GB" w:bidi="ar-SA"/>
              </w:rPr>
              <w:t xml:space="preserve"> levelised cost purification</w:t>
            </w:r>
          </w:p>
        </w:tc>
        <w:tc>
          <w:tcPr>
            <w:tcW w:w="658" w:type="pct"/>
            <w:shd w:val="clear" w:color="auto" w:fill="auto"/>
            <w:vAlign w:val="center"/>
          </w:tcPr>
          <w:p w14:paraId="5547AE7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494" w:type="pct"/>
            <w:shd w:val="clear" w:color="auto" w:fill="auto"/>
            <w:vAlign w:val="center"/>
          </w:tcPr>
          <w:p w14:paraId="39FCBE4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1.5</w:t>
            </w:r>
          </w:p>
        </w:tc>
        <w:tc>
          <w:tcPr>
            <w:tcW w:w="493" w:type="pct"/>
            <w:shd w:val="clear" w:color="auto" w:fill="auto"/>
            <w:vAlign w:val="center"/>
          </w:tcPr>
          <w:p w14:paraId="301BB83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c>
          <w:tcPr>
            <w:tcW w:w="739" w:type="pct"/>
            <w:shd w:val="clear" w:color="auto" w:fill="auto"/>
            <w:vAlign w:val="center"/>
          </w:tcPr>
          <w:p w14:paraId="32766EA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0.5</w:t>
            </w:r>
          </w:p>
        </w:tc>
      </w:tr>
    </w:tbl>
    <w:p w14:paraId="29C1C741" w14:textId="77777777" w:rsidR="009D0C2E" w:rsidRPr="00B364CB" w:rsidRDefault="009D0C2E" w:rsidP="009D0C2E">
      <w:pPr>
        <w:tabs>
          <w:tab w:val="left" w:pos="1805"/>
        </w:tabs>
        <w:spacing w:after="120"/>
        <w:jc w:val="both"/>
        <w:rPr>
          <w:rFonts w:cstheme="minorHAnsi"/>
          <w:b/>
          <w:iCs/>
          <w:color w:val="auto"/>
          <w:sz w:val="16"/>
          <w:szCs w:val="16"/>
          <w:u w:val="single"/>
        </w:rPr>
      </w:pPr>
    </w:p>
    <w:p w14:paraId="0A05DD23"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1E0136FF"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KPI-1: Time that a maintained compressor system, with its minor components/parts (no core) being replaced, is able to operate until End-of-Life (EoL) criterium is met. For mature technology (TRL≥6), the main EoL criterium is the optimisation of total cost of system (evaluated as TCO, total cost of ownership as CAPEX + n∙OPEX(n), with OPEX dependent by time [year(n)] due to performance degradation). In mathematical terms, assuming a linear time degradation, lifetime is expressed in years as the square root of the ratio between CAPEX and yearly degradation (expressed as the yearly increment of maintenance and consumption cost due to the degradation of performance with respect to Beginning-Of-Life – BoL -, i.e., additional substitution spare parts). For emerging technology (TRL ≤5), EoL criterium assumes compression system (core parts) achieved the 90% of BoL performance (as compressed flow rate or pressure ratio). </w:t>
      </w:r>
    </w:p>
    <w:p w14:paraId="2FA79FB7" w14:textId="5723AB3C"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KPI-2: </w:t>
      </w:r>
      <w:r w:rsidR="007C571E">
        <w:rPr>
          <w:rFonts w:cstheme="minorHAnsi"/>
          <w:iCs/>
          <w:color w:val="auto"/>
          <w:sz w:val="16"/>
          <w:szCs w:val="16"/>
        </w:rPr>
        <w:t>E</w:t>
      </w:r>
      <w:r w:rsidRPr="008B6B45">
        <w:rPr>
          <w:rFonts w:cstheme="minorHAnsi"/>
          <w:iCs/>
          <w:color w:val="auto"/>
          <w:sz w:val="16"/>
          <w:szCs w:val="16"/>
        </w:rPr>
        <w:t>nergy consumption to compress a kilogram o</w:t>
      </w:r>
      <w:r>
        <w:rPr>
          <w:rFonts w:cstheme="minorHAnsi"/>
          <w:iCs/>
          <w:color w:val="auto"/>
          <w:sz w:val="16"/>
          <w:szCs w:val="16"/>
        </w:rPr>
        <w:t>f H2 from 5 bar(a) to 100 bar</w:t>
      </w:r>
      <w:r w:rsidRPr="008B6B45">
        <w:rPr>
          <w:rFonts w:cstheme="minorHAnsi"/>
          <w:iCs/>
          <w:color w:val="auto"/>
          <w:sz w:val="16"/>
          <w:szCs w:val="16"/>
        </w:rPr>
        <w:t xml:space="preserve"> (without considering cooling power).</w:t>
      </w:r>
      <w:r w:rsidRPr="008B6B45">
        <w:t xml:space="preserve"> </w:t>
      </w:r>
      <w:r w:rsidRPr="008B6B45">
        <w:rPr>
          <w:rFonts w:cstheme="minorHAnsi"/>
          <w:iCs/>
          <w:color w:val="auto"/>
          <w:sz w:val="16"/>
          <w:szCs w:val="16"/>
        </w:rPr>
        <w:t>Inlet pressure 5 bar(a), outlet pressure 100 bar(a) sufficient for most pipeline streams. This KPI is specifically for Pipeline application, and large-scale compression system (&gt;1000 kg/d). Energy consumption needs only for the compression process, not include the cooling power. For mature tech (TRL≥6), KPI is focused on the system level, while for innovative tech (TRL ≤5), it regards the core part of technology.</w:t>
      </w:r>
    </w:p>
    <w:p w14:paraId="4CA70978"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KPI-3: Energy consumption to compress a kilogram of H</w:t>
      </w:r>
      <w:r w:rsidRPr="001708FC">
        <w:rPr>
          <w:rFonts w:cstheme="minorHAnsi"/>
          <w:iCs/>
          <w:color w:val="auto"/>
          <w:sz w:val="16"/>
          <w:szCs w:val="16"/>
          <w:vertAlign w:val="subscript"/>
        </w:rPr>
        <w:t>2</w:t>
      </w:r>
      <w:r w:rsidRPr="00B364CB">
        <w:rPr>
          <w:rFonts w:cstheme="minorHAnsi"/>
          <w:iCs/>
          <w:color w:val="auto"/>
          <w:sz w:val="16"/>
          <w:szCs w:val="16"/>
        </w:rPr>
        <w:t xml:space="preserve"> from 30 bar(a) to 900 bar(a). This KPI is specifically for HRS application, and mid-scale compression system (200-1000 kg/d). Energy consumption needs only for the compression process, does not include the cooling power. For mature tech (TRL≥6), KPI is focused on the system level, while for innovative tech (TRL ≤5), KPI regards the core part of technology.</w:t>
      </w:r>
    </w:p>
    <w:p w14:paraId="3F232034" w14:textId="77777777" w:rsidR="009D0C2E"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KPI-4: Mean time between failure (or stoppage) of the system that render the system inoperable without maintenance. </w:t>
      </w:r>
      <w:r w:rsidRPr="009B5625">
        <w:rPr>
          <w:rFonts w:cstheme="minorHAnsi"/>
          <w:iCs/>
          <w:color w:val="auto"/>
          <w:sz w:val="16"/>
          <w:szCs w:val="16"/>
        </w:rPr>
        <w:t>PI connected to the technology. Reliability should be estimated by sufficient failure events in proper long-term tests. For mature tech (TRL≥6), failure can be associated to rupture, wear, degradation of compressors parts which occurs without correct maintenance while for innovative tech (TRL ≤5), failure focus exclusively on the key element of technology (e.g., membrane, electrochemical cell, or active material)</w:t>
      </w:r>
    </w:p>
    <w:p w14:paraId="61E71A9B"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KPI-5: Ratio of the maintenance costs, both fixed and variable (including overhaul cost, repair cost, replacement cost, maintenance cost) per unit of compressed hydrogen output. Energy cost is not considered.  Values is estimated as the ratio of total O&amp;M cost (typical as annual percentage of CAPEX) and the yearly amount of compressed hydrogen, considering compressor availability/operating time about 100% (8760 hrs.). Same boundaries conditions as for KP-2 and KPI-3 for pipeline and HRS.</w:t>
      </w:r>
    </w:p>
    <w:p w14:paraId="79F49761"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KPI-6: Capital cost of manufacturing of the compressor device (capital cost of system) normalised to the daily nominal capacity of the system. Fluid is pure hydrogen compliance with ISO 14687:2019. Same boundaries conditions as for KP-2 and KPI-3 for pipeline and HRS.</w:t>
      </w:r>
    </w:p>
    <w:p w14:paraId="376053BC"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KPI-7: Concerning purification system.</w:t>
      </w:r>
    </w:p>
    <w:p w14:paraId="05791191"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KPI-8: Energy consumption to separate hydrogen from mixture. This KPI regards separation process, where it is necessary to extract hydrogen from a mixture with low hydrogen content. (e.g. H</w:t>
      </w:r>
      <w:r w:rsidRPr="002F1BEB">
        <w:rPr>
          <w:rFonts w:cstheme="minorHAnsi"/>
          <w:iCs/>
          <w:color w:val="auto"/>
          <w:sz w:val="16"/>
          <w:szCs w:val="16"/>
          <w:vertAlign w:val="subscript"/>
        </w:rPr>
        <w:t>2</w:t>
      </w:r>
      <w:r w:rsidRPr="00B364CB">
        <w:rPr>
          <w:rFonts w:cstheme="minorHAnsi"/>
          <w:iCs/>
          <w:color w:val="auto"/>
          <w:sz w:val="16"/>
          <w:szCs w:val="16"/>
        </w:rPr>
        <w:t xml:space="preserve"> from gas grid). Energy consumption must take in consideration pressure and temperature requirements of the process. Additional efforts (compression, thermoregulation) should be taken in account to normalise the energy cost with respect to reference case (feed stream pressure 30 bar, temperature 300K). For mature tech (TRL≥6), KPI is focused on the system level, while for innovative tech (TRL ≤5), it regards the core part of technology.  The feed/inlet H</w:t>
      </w:r>
      <w:r w:rsidRPr="002F1BEB">
        <w:rPr>
          <w:rFonts w:cstheme="minorHAnsi"/>
          <w:iCs/>
          <w:color w:val="auto"/>
          <w:sz w:val="16"/>
          <w:szCs w:val="16"/>
          <w:vertAlign w:val="subscript"/>
        </w:rPr>
        <w:t>2</w:t>
      </w:r>
      <w:r w:rsidRPr="00B364CB">
        <w:rPr>
          <w:rFonts w:cstheme="minorHAnsi"/>
          <w:iCs/>
          <w:color w:val="auto"/>
          <w:sz w:val="16"/>
          <w:szCs w:val="16"/>
        </w:rPr>
        <w:t xml:space="preserve"> molar fraction must be between 0.1 to 0.75. KPI should be evaluated with a minimum recovery rate of hydrogen about 80%. Output H</w:t>
      </w:r>
      <w:r w:rsidRPr="002F1BEB">
        <w:rPr>
          <w:rFonts w:cstheme="minorHAnsi"/>
          <w:iCs/>
          <w:color w:val="auto"/>
          <w:sz w:val="16"/>
          <w:szCs w:val="16"/>
          <w:vertAlign w:val="subscript"/>
        </w:rPr>
        <w:t>2</w:t>
      </w:r>
      <w:r w:rsidRPr="00B364CB">
        <w:rPr>
          <w:rFonts w:cstheme="minorHAnsi"/>
          <w:iCs/>
          <w:color w:val="auto"/>
          <w:sz w:val="16"/>
          <w:szCs w:val="16"/>
        </w:rPr>
        <w:t xml:space="preserve"> molar fraction must be &gt; 99%</w:t>
      </w:r>
    </w:p>
    <w:p w14:paraId="10A398FB"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KPI-9: Energy consumption to purify hydrogen. This KPI regards purification process, where it is necessary to extract hydrogen from a mixture with high hydrogen content. (e.g. syngas). KPI for high TRL technology should be considered on the overall system, while it should be focused on the key components for low TRL technology. Energy consumption must take into consideration the technology's requirements for pressure or temperature. Additional efforts (compression, thermoregulation) should be taken in account to normalise the cost with respect to reference case (feed stream pressure 30 bar, temperature 300K).</w:t>
      </w:r>
    </w:p>
    <w:p w14:paraId="6F309C96"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KPI-10: Ratio between output purified hydrogen flow and hydrogen content into the input feed flow. For high technology TRL this regards overall purification/separation system. For low technology TRL, KPI focuses on the key elements of technology as membrane/electrochemical cell/active material. Output feed must be in compliance with ISO 14687:2019. Molar fraction in feed gas H</w:t>
      </w:r>
      <w:r w:rsidRPr="002F1BEB">
        <w:rPr>
          <w:rFonts w:cstheme="minorHAnsi"/>
          <w:iCs/>
          <w:color w:val="auto"/>
          <w:sz w:val="16"/>
          <w:szCs w:val="16"/>
          <w:vertAlign w:val="subscript"/>
        </w:rPr>
        <w:t>2</w:t>
      </w:r>
      <w:r w:rsidRPr="00B364CB">
        <w:rPr>
          <w:rFonts w:cstheme="minorHAnsi"/>
          <w:iCs/>
          <w:color w:val="auto"/>
          <w:sz w:val="16"/>
          <w:szCs w:val="16"/>
        </w:rPr>
        <w:t xml:space="preserve"> for separation application should be in range between 0.1-0.75 molar fraction in feed gas H</w:t>
      </w:r>
      <w:r w:rsidRPr="002F1BEB">
        <w:rPr>
          <w:rFonts w:cstheme="minorHAnsi"/>
          <w:iCs/>
          <w:color w:val="auto"/>
          <w:sz w:val="16"/>
          <w:szCs w:val="16"/>
          <w:vertAlign w:val="subscript"/>
        </w:rPr>
        <w:t>2</w:t>
      </w:r>
      <w:r w:rsidRPr="00B364CB">
        <w:rPr>
          <w:rFonts w:cstheme="minorHAnsi"/>
          <w:iCs/>
          <w:color w:val="auto"/>
          <w:sz w:val="16"/>
          <w:szCs w:val="16"/>
        </w:rPr>
        <w:t xml:space="preserve"> for purification application should be in range between 0.75-0.9995.</w:t>
      </w:r>
    </w:p>
    <w:p w14:paraId="36F42AAB" w14:textId="3D87D262"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KPI-11: </w:t>
      </w:r>
      <w:r w:rsidR="007C571E">
        <w:rPr>
          <w:rFonts w:cstheme="minorHAnsi"/>
          <w:iCs/>
          <w:color w:val="auto"/>
          <w:sz w:val="16"/>
          <w:szCs w:val="16"/>
        </w:rPr>
        <w:t>L</w:t>
      </w:r>
      <w:r w:rsidRPr="00B364CB">
        <w:rPr>
          <w:rFonts w:cstheme="minorHAnsi"/>
          <w:iCs/>
          <w:color w:val="auto"/>
          <w:sz w:val="16"/>
          <w:szCs w:val="16"/>
        </w:rPr>
        <w:t xml:space="preserve">evelised cost of separation or purification process, expressed as the cost for the processed </w:t>
      </w:r>
      <w:r>
        <w:rPr>
          <w:rFonts w:cstheme="minorHAnsi"/>
          <w:iCs/>
          <w:color w:val="auto"/>
          <w:sz w:val="16"/>
          <w:szCs w:val="16"/>
        </w:rPr>
        <w:t xml:space="preserve">mass of </w:t>
      </w:r>
      <w:r w:rsidRPr="00B364CB">
        <w:rPr>
          <w:rFonts w:cstheme="minorHAnsi"/>
          <w:iCs/>
          <w:color w:val="auto"/>
          <w:sz w:val="16"/>
          <w:szCs w:val="16"/>
        </w:rPr>
        <w:t>H</w:t>
      </w:r>
      <w:r w:rsidRPr="002F1BEB">
        <w:rPr>
          <w:rFonts w:cstheme="minorHAnsi"/>
          <w:iCs/>
          <w:color w:val="auto"/>
          <w:sz w:val="16"/>
          <w:szCs w:val="16"/>
          <w:vertAlign w:val="subscript"/>
        </w:rPr>
        <w:t>2</w:t>
      </w:r>
      <w:r w:rsidRPr="00B364CB">
        <w:rPr>
          <w:rFonts w:cstheme="minorHAnsi"/>
          <w:iCs/>
          <w:color w:val="auto"/>
          <w:sz w:val="16"/>
          <w:szCs w:val="16"/>
        </w:rPr>
        <w:t xml:space="preserve"> </w:t>
      </w:r>
      <w:r>
        <w:rPr>
          <w:rFonts w:cstheme="minorHAnsi"/>
          <w:iCs/>
          <w:color w:val="auto"/>
          <w:sz w:val="16"/>
          <w:szCs w:val="16"/>
        </w:rPr>
        <w:t xml:space="preserve">in </w:t>
      </w:r>
      <w:r w:rsidRPr="00B364CB">
        <w:rPr>
          <w:rFonts w:cstheme="minorHAnsi"/>
          <w:iCs/>
          <w:color w:val="auto"/>
          <w:sz w:val="16"/>
          <w:szCs w:val="16"/>
        </w:rPr>
        <w:t>kg. KPI focus exclusively for high TRL technology. Minimum hydrogen recovery factor is 80%. Output H</w:t>
      </w:r>
      <w:r w:rsidRPr="002F1BEB">
        <w:rPr>
          <w:rFonts w:cstheme="minorHAnsi"/>
          <w:iCs/>
          <w:color w:val="auto"/>
          <w:sz w:val="16"/>
          <w:szCs w:val="16"/>
          <w:vertAlign w:val="subscript"/>
        </w:rPr>
        <w:t>2</w:t>
      </w:r>
      <w:r w:rsidRPr="00B364CB">
        <w:rPr>
          <w:rFonts w:cstheme="minorHAnsi"/>
          <w:iCs/>
          <w:color w:val="auto"/>
          <w:sz w:val="16"/>
          <w:szCs w:val="16"/>
        </w:rPr>
        <w:t xml:space="preserve"> molar fraction must be &gt; 99% or in compliance with ISO 14687:2019 for purification application, where it needs.  </w:t>
      </w:r>
    </w:p>
    <w:p w14:paraId="5015A57B" w14:textId="77777777" w:rsidR="009D0C2E" w:rsidRPr="00B364CB" w:rsidRDefault="009D0C2E" w:rsidP="009D0C2E">
      <w:pPr>
        <w:tabs>
          <w:tab w:val="left" w:pos="1805"/>
        </w:tabs>
        <w:spacing w:after="120"/>
        <w:jc w:val="both"/>
        <w:rPr>
          <w:rFonts w:cstheme="minorHAnsi"/>
          <w:iCs/>
          <w:color w:val="auto"/>
          <w:sz w:val="16"/>
          <w:szCs w:val="16"/>
        </w:rPr>
      </w:pPr>
    </w:p>
    <w:p w14:paraId="377786D7" w14:textId="77777777" w:rsidR="00D46C9B" w:rsidRDefault="00D46C9B">
      <w:pPr>
        <w:rPr>
          <w:rFonts w:asciiTheme="minorHAnsi" w:eastAsiaTheme="minorHAnsi" w:hAnsiTheme="minorHAnsi" w:cstheme="minorBidi"/>
          <w:i/>
          <w:iCs/>
          <w:color w:val="1F497D" w:themeColor="text2"/>
          <w:sz w:val="24"/>
          <w:szCs w:val="18"/>
          <w:u w:val="single"/>
          <w:lang w:bidi="ar-SA"/>
        </w:rPr>
      </w:pPr>
      <w:r>
        <w:rPr>
          <w:sz w:val="24"/>
        </w:rPr>
        <w:br w:type="page"/>
      </w:r>
    </w:p>
    <w:p w14:paraId="697A44D6" w14:textId="0771DD2A" w:rsidR="009D0C2E" w:rsidRPr="00B364CB" w:rsidRDefault="009D0C2E" w:rsidP="009D0C2E">
      <w:pPr>
        <w:pStyle w:val="Caption"/>
        <w:rPr>
          <w:sz w:val="24"/>
        </w:rPr>
      </w:pPr>
      <w:r w:rsidRPr="00B364CB">
        <w:rPr>
          <w:sz w:val="24"/>
        </w:rPr>
        <w:lastRenderedPageBreak/>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15</w:t>
      </w:r>
      <w:r w:rsidRPr="00B364CB">
        <w:rPr>
          <w:sz w:val="24"/>
        </w:rPr>
        <w:fldChar w:fldCharType="end"/>
      </w:r>
      <w:r w:rsidRPr="00B364CB">
        <w:rPr>
          <w:sz w:val="24"/>
        </w:rPr>
        <w:t xml:space="preserve"> KPIs for hydrogen </w:t>
      </w:r>
      <w:r w:rsidR="00DB35B8" w:rsidRPr="00B364CB">
        <w:rPr>
          <w:sz w:val="24"/>
        </w:rPr>
        <w:t>refuelling</w:t>
      </w:r>
      <w:r w:rsidRPr="00B364CB">
        <w:rPr>
          <w:sz w:val="24"/>
        </w:rPr>
        <w:t xml:space="preserve"> stations</w:t>
      </w:r>
    </w:p>
    <w:tbl>
      <w:tblPr>
        <w:tblpPr w:leftFromText="180" w:rightFromText="180" w:vertAnchor="text" w:tblpY="1"/>
        <w:tblOverlap w:val="never"/>
        <w:tblW w:w="5000" w:type="pct"/>
        <w:tblLook w:val="04A0" w:firstRow="1" w:lastRow="0" w:firstColumn="1" w:lastColumn="0" w:noHBand="0" w:noVBand="1"/>
      </w:tblPr>
      <w:tblGrid>
        <w:gridCol w:w="1790"/>
        <w:gridCol w:w="24"/>
        <w:gridCol w:w="1645"/>
        <w:gridCol w:w="978"/>
        <w:gridCol w:w="1122"/>
        <w:gridCol w:w="924"/>
        <w:gridCol w:w="1217"/>
        <w:gridCol w:w="1410"/>
      </w:tblGrid>
      <w:tr w:rsidR="009D0C2E" w:rsidRPr="00B364CB" w14:paraId="0374648B" w14:textId="77777777" w:rsidTr="00120F40">
        <w:trPr>
          <w:trHeight w:val="345"/>
        </w:trPr>
        <w:tc>
          <w:tcPr>
            <w:tcW w:w="995" w:type="pct"/>
            <w:gridSpan w:val="2"/>
            <w:vMerge w:val="restart"/>
            <w:tcBorders>
              <w:top w:val="single" w:sz="8" w:space="0" w:color="000000"/>
              <w:left w:val="single" w:sz="8" w:space="0" w:color="000000"/>
              <w:right w:val="single" w:sz="8" w:space="0" w:color="000000"/>
            </w:tcBorders>
            <w:shd w:val="clear" w:color="auto" w:fill="BFBFBF" w:themeFill="background1" w:themeFillShade="BF"/>
            <w:vAlign w:val="center"/>
            <w:hideMark/>
          </w:tcPr>
          <w:p w14:paraId="12AFA7D4"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No</w:t>
            </w:r>
          </w:p>
        </w:tc>
        <w:tc>
          <w:tcPr>
            <w:tcW w:w="1440" w:type="pct"/>
            <w:gridSpan w:val="2"/>
            <w:vMerge w:val="restart"/>
            <w:tcBorders>
              <w:top w:val="single" w:sz="8" w:space="0" w:color="000000"/>
              <w:left w:val="nil"/>
              <w:right w:val="single" w:sz="8" w:space="0" w:color="000000"/>
            </w:tcBorders>
            <w:shd w:val="clear" w:color="auto" w:fill="BFBFBF" w:themeFill="background1" w:themeFillShade="BF"/>
            <w:vAlign w:val="center"/>
            <w:hideMark/>
          </w:tcPr>
          <w:p w14:paraId="77C61A92"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Parameter</w:t>
            </w:r>
          </w:p>
        </w:tc>
        <w:tc>
          <w:tcPr>
            <w:tcW w:w="616" w:type="pct"/>
            <w:vMerge w:val="restart"/>
            <w:tcBorders>
              <w:top w:val="single" w:sz="8" w:space="0" w:color="000000"/>
              <w:left w:val="nil"/>
              <w:right w:val="single" w:sz="8" w:space="0" w:color="000000"/>
            </w:tcBorders>
            <w:shd w:val="clear" w:color="auto" w:fill="BFBFBF" w:themeFill="background1" w:themeFillShade="BF"/>
            <w:vAlign w:val="center"/>
            <w:hideMark/>
          </w:tcPr>
          <w:p w14:paraId="05F659D7"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Unit</w:t>
            </w:r>
          </w:p>
        </w:tc>
        <w:tc>
          <w:tcPr>
            <w:tcW w:w="5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56E137E3" w14:textId="77777777" w:rsidR="009D0C2E" w:rsidRPr="00B364CB" w:rsidRDefault="009D0C2E" w:rsidP="009D0C2E">
            <w:pPr>
              <w:widowControl/>
              <w:jc w:val="center"/>
              <w:rPr>
                <w:rFonts w:cs="Arial"/>
                <w:b/>
                <w:bCs/>
                <w:sz w:val="20"/>
                <w:szCs w:val="20"/>
                <w:lang w:eastAsia="en-GB" w:bidi="ar-SA"/>
              </w:rPr>
            </w:pPr>
          </w:p>
          <w:p w14:paraId="1929F4CE"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442" w:type="pct"/>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79A1478B" w14:textId="77777777" w:rsidR="009D0C2E" w:rsidRPr="00B364CB" w:rsidRDefault="009D0C2E" w:rsidP="009D0C2E">
            <w:pPr>
              <w:widowControl/>
              <w:jc w:val="center"/>
              <w:rPr>
                <w:rFonts w:cs="Arial"/>
                <w:b/>
                <w:bCs/>
                <w:sz w:val="20"/>
                <w:szCs w:val="20"/>
                <w:lang w:eastAsia="en-GB" w:bidi="ar-SA"/>
              </w:rPr>
            </w:pPr>
          </w:p>
          <w:p w14:paraId="3B428EFD"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62FF0F28" w14:textId="77777777" w:rsidTr="00120F40">
        <w:trPr>
          <w:trHeight w:val="449"/>
        </w:trPr>
        <w:tc>
          <w:tcPr>
            <w:tcW w:w="995" w:type="pct"/>
            <w:gridSpan w:val="2"/>
            <w:vMerge/>
            <w:tcBorders>
              <w:left w:val="single" w:sz="8" w:space="0" w:color="000000"/>
              <w:bottom w:val="single" w:sz="8" w:space="0" w:color="000000"/>
              <w:right w:val="single" w:sz="8" w:space="0" w:color="000000"/>
            </w:tcBorders>
            <w:shd w:val="clear" w:color="auto" w:fill="BFBFBF" w:themeFill="background1" w:themeFillShade="BF"/>
            <w:vAlign w:val="center"/>
            <w:hideMark/>
          </w:tcPr>
          <w:p w14:paraId="2341D9CD" w14:textId="77777777" w:rsidR="009D0C2E" w:rsidRPr="00B364CB" w:rsidRDefault="009D0C2E" w:rsidP="009D0C2E">
            <w:pPr>
              <w:widowControl/>
              <w:jc w:val="center"/>
              <w:rPr>
                <w:rFonts w:cs="Arial"/>
                <w:b/>
                <w:bCs/>
                <w:sz w:val="20"/>
                <w:szCs w:val="20"/>
                <w:lang w:eastAsia="en-GB" w:bidi="ar-SA"/>
              </w:rPr>
            </w:pPr>
          </w:p>
        </w:tc>
        <w:tc>
          <w:tcPr>
            <w:tcW w:w="1440" w:type="pct"/>
            <w:gridSpan w:val="2"/>
            <w:vMerge/>
            <w:tcBorders>
              <w:left w:val="nil"/>
              <w:bottom w:val="single" w:sz="8" w:space="0" w:color="000000"/>
              <w:right w:val="single" w:sz="8" w:space="0" w:color="000000"/>
            </w:tcBorders>
            <w:shd w:val="clear" w:color="auto" w:fill="BFBFBF" w:themeFill="background1" w:themeFillShade="BF"/>
            <w:vAlign w:val="center"/>
            <w:hideMark/>
          </w:tcPr>
          <w:p w14:paraId="304D54E1" w14:textId="77777777" w:rsidR="009D0C2E" w:rsidRPr="00B364CB" w:rsidRDefault="009D0C2E" w:rsidP="009D0C2E">
            <w:pPr>
              <w:widowControl/>
              <w:jc w:val="center"/>
              <w:rPr>
                <w:rFonts w:cs="Arial"/>
                <w:b/>
                <w:bCs/>
                <w:sz w:val="20"/>
                <w:szCs w:val="20"/>
                <w:lang w:eastAsia="en-GB" w:bidi="ar-SA"/>
              </w:rPr>
            </w:pPr>
          </w:p>
        </w:tc>
        <w:tc>
          <w:tcPr>
            <w:tcW w:w="616" w:type="pct"/>
            <w:vMerge/>
            <w:tcBorders>
              <w:left w:val="nil"/>
              <w:bottom w:val="single" w:sz="8" w:space="0" w:color="000000"/>
              <w:right w:val="single" w:sz="8" w:space="0" w:color="000000"/>
            </w:tcBorders>
            <w:shd w:val="clear" w:color="auto" w:fill="BFBFBF" w:themeFill="background1" w:themeFillShade="BF"/>
            <w:vAlign w:val="center"/>
            <w:hideMark/>
          </w:tcPr>
          <w:p w14:paraId="21BE198D" w14:textId="77777777" w:rsidR="009D0C2E" w:rsidRPr="00B364CB" w:rsidRDefault="009D0C2E" w:rsidP="009D0C2E">
            <w:pPr>
              <w:widowControl/>
              <w:jc w:val="center"/>
              <w:rPr>
                <w:rFonts w:cs="Arial"/>
                <w:b/>
                <w:bCs/>
                <w:sz w:val="20"/>
                <w:szCs w:val="20"/>
                <w:lang w:eastAsia="en-GB" w:bidi="ar-SA"/>
              </w:rPr>
            </w:pPr>
          </w:p>
        </w:tc>
        <w:tc>
          <w:tcPr>
            <w:tcW w:w="507" w:type="pct"/>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14E6F996"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668" w:type="pct"/>
            <w:tcBorders>
              <w:top w:val="single" w:sz="8" w:space="0" w:color="000000"/>
              <w:left w:val="nil"/>
              <w:bottom w:val="single" w:sz="8" w:space="0" w:color="000000"/>
              <w:right w:val="single" w:sz="4" w:space="0" w:color="auto"/>
            </w:tcBorders>
            <w:shd w:val="clear" w:color="auto" w:fill="BFBFBF" w:themeFill="background1" w:themeFillShade="BF"/>
            <w:vAlign w:val="center"/>
          </w:tcPr>
          <w:p w14:paraId="7C01AE47"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773" w:type="pct"/>
            <w:tcBorders>
              <w:top w:val="single" w:sz="8" w:space="0" w:color="000000"/>
              <w:left w:val="single" w:sz="4" w:space="0" w:color="auto"/>
              <w:bottom w:val="single" w:sz="8" w:space="0" w:color="000000"/>
              <w:right w:val="single" w:sz="8" w:space="0" w:color="auto"/>
            </w:tcBorders>
            <w:shd w:val="clear" w:color="auto" w:fill="BFBFBF" w:themeFill="background1" w:themeFillShade="BF"/>
            <w:vAlign w:val="center"/>
            <w:hideMark/>
          </w:tcPr>
          <w:p w14:paraId="6787E23C"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58EE0A8E" w14:textId="77777777" w:rsidTr="00120F40">
        <w:trPr>
          <w:trHeight w:val="160"/>
        </w:trPr>
        <w:tc>
          <w:tcPr>
            <w:tcW w:w="995" w:type="pct"/>
            <w:gridSpan w:val="2"/>
            <w:vMerge w:val="restart"/>
            <w:tcBorders>
              <w:top w:val="single" w:sz="8" w:space="0" w:color="000000"/>
              <w:left w:val="single" w:sz="8" w:space="0" w:color="000000"/>
              <w:right w:val="single" w:sz="8" w:space="0" w:color="000000"/>
            </w:tcBorders>
            <w:shd w:val="clear" w:color="auto" w:fill="auto"/>
            <w:vAlign w:val="center"/>
            <w:hideMark/>
          </w:tcPr>
          <w:p w14:paraId="6DF558EE" w14:textId="77777777" w:rsidR="009D0C2E" w:rsidRPr="00B364CB" w:rsidRDefault="009D0C2E" w:rsidP="009D0C2E">
            <w:pPr>
              <w:widowControl/>
              <w:jc w:val="center"/>
              <w:rPr>
                <w:rFonts w:cs="Arial"/>
                <w:bCs/>
                <w:sz w:val="20"/>
                <w:szCs w:val="20"/>
                <w:lang w:eastAsia="en-GB" w:bidi="ar-SA"/>
              </w:rPr>
            </w:pPr>
            <w:r w:rsidRPr="00B364CB">
              <w:rPr>
                <w:rFonts w:cs="Arial"/>
                <w:sz w:val="20"/>
                <w:szCs w:val="20"/>
                <w:lang w:eastAsia="en-GB" w:bidi="ar-SA"/>
              </w:rPr>
              <w:t>1</w:t>
            </w:r>
          </w:p>
        </w:tc>
        <w:tc>
          <w:tcPr>
            <w:tcW w:w="903" w:type="pct"/>
            <w:vMerge w:val="restart"/>
            <w:tcBorders>
              <w:top w:val="single" w:sz="8" w:space="0" w:color="000000"/>
              <w:left w:val="nil"/>
              <w:right w:val="single" w:sz="8" w:space="0" w:color="000000"/>
            </w:tcBorders>
            <w:shd w:val="clear" w:color="auto" w:fill="auto"/>
            <w:vAlign w:val="center"/>
          </w:tcPr>
          <w:p w14:paraId="786195C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Energy consumption </w:t>
            </w:r>
          </w:p>
        </w:tc>
        <w:tc>
          <w:tcPr>
            <w:tcW w:w="537" w:type="pct"/>
            <w:tcBorders>
              <w:top w:val="single" w:sz="8" w:space="0" w:color="000000"/>
              <w:left w:val="nil"/>
              <w:right w:val="single" w:sz="8" w:space="0" w:color="000000"/>
            </w:tcBorders>
            <w:shd w:val="clear" w:color="auto" w:fill="auto"/>
            <w:vAlign w:val="center"/>
          </w:tcPr>
          <w:p w14:paraId="52BBBBB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700 bar</w:t>
            </w:r>
          </w:p>
        </w:tc>
        <w:tc>
          <w:tcPr>
            <w:tcW w:w="616" w:type="pct"/>
            <w:vMerge w:val="restart"/>
            <w:tcBorders>
              <w:top w:val="single" w:sz="8" w:space="0" w:color="000000"/>
              <w:left w:val="nil"/>
              <w:right w:val="single" w:sz="8" w:space="0" w:color="000000"/>
            </w:tcBorders>
            <w:shd w:val="clear" w:color="auto" w:fill="auto"/>
            <w:vAlign w:val="center"/>
          </w:tcPr>
          <w:p w14:paraId="071E811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kWh/kg</w:t>
            </w:r>
          </w:p>
        </w:tc>
        <w:tc>
          <w:tcPr>
            <w:tcW w:w="507" w:type="pct"/>
            <w:tcBorders>
              <w:top w:val="single" w:sz="8" w:space="0" w:color="000000"/>
              <w:left w:val="nil"/>
              <w:right w:val="single" w:sz="8" w:space="0" w:color="000000"/>
            </w:tcBorders>
            <w:shd w:val="clear" w:color="auto" w:fill="auto"/>
            <w:vAlign w:val="center"/>
          </w:tcPr>
          <w:p w14:paraId="384B9FC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w:t>
            </w:r>
          </w:p>
        </w:tc>
        <w:tc>
          <w:tcPr>
            <w:tcW w:w="668" w:type="pct"/>
            <w:tcBorders>
              <w:top w:val="single" w:sz="8" w:space="0" w:color="000000"/>
              <w:left w:val="nil"/>
              <w:right w:val="single" w:sz="4" w:space="0" w:color="auto"/>
            </w:tcBorders>
            <w:shd w:val="clear" w:color="auto" w:fill="auto"/>
            <w:vAlign w:val="center"/>
          </w:tcPr>
          <w:p w14:paraId="483E881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773" w:type="pct"/>
            <w:tcBorders>
              <w:top w:val="single" w:sz="8" w:space="0" w:color="000000"/>
              <w:left w:val="single" w:sz="4" w:space="0" w:color="auto"/>
              <w:right w:val="single" w:sz="8" w:space="0" w:color="auto"/>
            </w:tcBorders>
            <w:shd w:val="clear" w:color="auto" w:fill="auto"/>
            <w:vAlign w:val="center"/>
          </w:tcPr>
          <w:p w14:paraId="21F8980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r>
      <w:tr w:rsidR="009D0C2E" w:rsidRPr="00B364CB" w14:paraId="52ACF2D0" w14:textId="77777777" w:rsidTr="00120F40">
        <w:trPr>
          <w:trHeight w:val="160"/>
        </w:trPr>
        <w:tc>
          <w:tcPr>
            <w:tcW w:w="995" w:type="pct"/>
            <w:gridSpan w:val="2"/>
            <w:vMerge/>
            <w:tcBorders>
              <w:left w:val="single" w:sz="8" w:space="0" w:color="000000"/>
              <w:right w:val="single" w:sz="8" w:space="0" w:color="000000"/>
            </w:tcBorders>
            <w:shd w:val="clear" w:color="auto" w:fill="auto"/>
            <w:vAlign w:val="center"/>
          </w:tcPr>
          <w:p w14:paraId="3F17CFA3" w14:textId="77777777" w:rsidR="009D0C2E" w:rsidRPr="00B364CB" w:rsidRDefault="009D0C2E" w:rsidP="009D0C2E">
            <w:pPr>
              <w:widowControl/>
              <w:jc w:val="center"/>
              <w:rPr>
                <w:rFonts w:cs="Arial"/>
                <w:sz w:val="20"/>
                <w:szCs w:val="20"/>
                <w:lang w:eastAsia="en-GB" w:bidi="ar-SA"/>
              </w:rPr>
            </w:pPr>
          </w:p>
        </w:tc>
        <w:tc>
          <w:tcPr>
            <w:tcW w:w="903" w:type="pct"/>
            <w:vMerge/>
            <w:tcBorders>
              <w:left w:val="nil"/>
              <w:right w:val="single" w:sz="8" w:space="0" w:color="000000"/>
            </w:tcBorders>
            <w:shd w:val="clear" w:color="auto" w:fill="auto"/>
            <w:vAlign w:val="center"/>
          </w:tcPr>
          <w:p w14:paraId="0F858931" w14:textId="77777777" w:rsidR="009D0C2E" w:rsidRPr="00B364CB" w:rsidRDefault="009D0C2E" w:rsidP="009D0C2E">
            <w:pPr>
              <w:widowControl/>
              <w:jc w:val="center"/>
              <w:rPr>
                <w:rFonts w:cs="Arial"/>
                <w:sz w:val="20"/>
                <w:szCs w:val="20"/>
                <w:lang w:eastAsia="en-GB" w:bidi="ar-SA"/>
              </w:rPr>
            </w:pPr>
          </w:p>
        </w:tc>
        <w:tc>
          <w:tcPr>
            <w:tcW w:w="537" w:type="pct"/>
            <w:tcBorders>
              <w:top w:val="nil"/>
              <w:left w:val="nil"/>
              <w:right w:val="single" w:sz="8" w:space="0" w:color="000000"/>
            </w:tcBorders>
            <w:shd w:val="clear" w:color="auto" w:fill="auto"/>
            <w:vAlign w:val="center"/>
          </w:tcPr>
          <w:p w14:paraId="10ECE2A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350 bar</w:t>
            </w:r>
          </w:p>
        </w:tc>
        <w:tc>
          <w:tcPr>
            <w:tcW w:w="616" w:type="pct"/>
            <w:vMerge/>
            <w:tcBorders>
              <w:left w:val="nil"/>
              <w:right w:val="single" w:sz="8" w:space="0" w:color="000000"/>
            </w:tcBorders>
            <w:shd w:val="clear" w:color="auto" w:fill="auto"/>
            <w:vAlign w:val="center"/>
          </w:tcPr>
          <w:p w14:paraId="6ABF45C7" w14:textId="77777777" w:rsidR="009D0C2E" w:rsidRPr="00B364CB" w:rsidRDefault="009D0C2E" w:rsidP="009D0C2E">
            <w:pPr>
              <w:widowControl/>
              <w:jc w:val="center"/>
              <w:rPr>
                <w:rFonts w:cs="Arial"/>
                <w:sz w:val="20"/>
                <w:szCs w:val="20"/>
                <w:lang w:eastAsia="en-GB" w:bidi="ar-SA"/>
              </w:rPr>
            </w:pPr>
          </w:p>
        </w:tc>
        <w:tc>
          <w:tcPr>
            <w:tcW w:w="507" w:type="pct"/>
            <w:tcBorders>
              <w:top w:val="nil"/>
              <w:left w:val="nil"/>
              <w:right w:val="single" w:sz="8" w:space="0" w:color="000000"/>
            </w:tcBorders>
            <w:shd w:val="clear" w:color="auto" w:fill="auto"/>
            <w:vAlign w:val="center"/>
          </w:tcPr>
          <w:p w14:paraId="46E4D6D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w:t>
            </w:r>
          </w:p>
        </w:tc>
        <w:tc>
          <w:tcPr>
            <w:tcW w:w="668" w:type="pct"/>
            <w:tcBorders>
              <w:top w:val="nil"/>
              <w:left w:val="nil"/>
              <w:right w:val="single" w:sz="4" w:space="0" w:color="auto"/>
            </w:tcBorders>
            <w:shd w:val="clear" w:color="auto" w:fill="auto"/>
            <w:vAlign w:val="center"/>
          </w:tcPr>
          <w:p w14:paraId="541286A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2.5</w:t>
            </w:r>
          </w:p>
        </w:tc>
        <w:tc>
          <w:tcPr>
            <w:tcW w:w="773" w:type="pct"/>
            <w:tcBorders>
              <w:left w:val="single" w:sz="4" w:space="0" w:color="auto"/>
              <w:right w:val="single" w:sz="8" w:space="0" w:color="auto"/>
            </w:tcBorders>
            <w:shd w:val="clear" w:color="auto" w:fill="auto"/>
            <w:vAlign w:val="center"/>
          </w:tcPr>
          <w:p w14:paraId="65C5071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r>
      <w:tr w:rsidR="009D0C2E" w:rsidRPr="00B364CB" w14:paraId="67434316" w14:textId="77777777" w:rsidTr="00120F40">
        <w:trPr>
          <w:trHeight w:val="160"/>
        </w:trPr>
        <w:tc>
          <w:tcPr>
            <w:tcW w:w="995" w:type="pct"/>
            <w:gridSpan w:val="2"/>
            <w:vMerge/>
            <w:tcBorders>
              <w:left w:val="single" w:sz="8" w:space="0" w:color="000000"/>
              <w:bottom w:val="single" w:sz="8" w:space="0" w:color="000000"/>
              <w:right w:val="single" w:sz="8" w:space="0" w:color="000000"/>
            </w:tcBorders>
            <w:shd w:val="clear" w:color="auto" w:fill="auto"/>
            <w:vAlign w:val="center"/>
          </w:tcPr>
          <w:p w14:paraId="4FEBF505" w14:textId="77777777" w:rsidR="009D0C2E" w:rsidRPr="00B364CB" w:rsidRDefault="009D0C2E" w:rsidP="009D0C2E">
            <w:pPr>
              <w:widowControl/>
              <w:jc w:val="center"/>
              <w:rPr>
                <w:rFonts w:cs="Arial"/>
                <w:sz w:val="20"/>
                <w:szCs w:val="20"/>
                <w:lang w:eastAsia="en-GB" w:bidi="ar-SA"/>
              </w:rPr>
            </w:pPr>
          </w:p>
        </w:tc>
        <w:tc>
          <w:tcPr>
            <w:tcW w:w="903" w:type="pct"/>
            <w:vMerge/>
            <w:tcBorders>
              <w:left w:val="nil"/>
              <w:bottom w:val="single" w:sz="8" w:space="0" w:color="000000"/>
              <w:right w:val="single" w:sz="8" w:space="0" w:color="000000"/>
            </w:tcBorders>
            <w:shd w:val="clear" w:color="auto" w:fill="auto"/>
            <w:vAlign w:val="center"/>
          </w:tcPr>
          <w:p w14:paraId="2A23AA64" w14:textId="77777777" w:rsidR="009D0C2E" w:rsidRPr="00B364CB" w:rsidRDefault="009D0C2E" w:rsidP="009D0C2E">
            <w:pPr>
              <w:widowControl/>
              <w:jc w:val="center"/>
              <w:rPr>
                <w:rFonts w:cs="Arial"/>
                <w:sz w:val="20"/>
                <w:szCs w:val="20"/>
                <w:lang w:eastAsia="en-GB" w:bidi="ar-SA"/>
              </w:rPr>
            </w:pPr>
          </w:p>
        </w:tc>
        <w:tc>
          <w:tcPr>
            <w:tcW w:w="537" w:type="pct"/>
            <w:tcBorders>
              <w:top w:val="nil"/>
              <w:left w:val="nil"/>
              <w:bottom w:val="single" w:sz="8" w:space="0" w:color="000000"/>
              <w:right w:val="single" w:sz="8" w:space="0" w:color="000000"/>
            </w:tcBorders>
            <w:shd w:val="clear" w:color="auto" w:fill="auto"/>
            <w:vAlign w:val="center"/>
          </w:tcPr>
          <w:p w14:paraId="354C958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LH</w:t>
            </w:r>
            <w:r w:rsidRPr="00603A27">
              <w:rPr>
                <w:rFonts w:cs="Arial"/>
                <w:sz w:val="20"/>
                <w:szCs w:val="20"/>
                <w:vertAlign w:val="subscript"/>
                <w:lang w:eastAsia="en-GB" w:bidi="ar-SA"/>
              </w:rPr>
              <w:t>2</w:t>
            </w:r>
          </w:p>
        </w:tc>
        <w:tc>
          <w:tcPr>
            <w:tcW w:w="616" w:type="pct"/>
            <w:vMerge/>
            <w:tcBorders>
              <w:left w:val="nil"/>
              <w:bottom w:val="single" w:sz="8" w:space="0" w:color="000000"/>
              <w:right w:val="single" w:sz="8" w:space="0" w:color="000000"/>
            </w:tcBorders>
            <w:shd w:val="clear" w:color="auto" w:fill="auto"/>
            <w:vAlign w:val="center"/>
          </w:tcPr>
          <w:p w14:paraId="5611DFD1" w14:textId="77777777" w:rsidR="009D0C2E" w:rsidRPr="00B364CB" w:rsidRDefault="009D0C2E" w:rsidP="009D0C2E">
            <w:pPr>
              <w:widowControl/>
              <w:jc w:val="center"/>
              <w:rPr>
                <w:rFonts w:cs="Arial"/>
                <w:sz w:val="20"/>
                <w:szCs w:val="20"/>
                <w:lang w:eastAsia="en-GB" w:bidi="ar-SA"/>
              </w:rPr>
            </w:pPr>
          </w:p>
        </w:tc>
        <w:tc>
          <w:tcPr>
            <w:tcW w:w="507" w:type="pct"/>
            <w:tcBorders>
              <w:top w:val="nil"/>
              <w:left w:val="nil"/>
              <w:bottom w:val="single" w:sz="8" w:space="0" w:color="000000"/>
              <w:right w:val="single" w:sz="8" w:space="0" w:color="000000"/>
            </w:tcBorders>
            <w:shd w:val="clear" w:color="auto" w:fill="auto"/>
            <w:vAlign w:val="center"/>
          </w:tcPr>
          <w:p w14:paraId="06C44B7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0.5</w:t>
            </w:r>
          </w:p>
        </w:tc>
        <w:tc>
          <w:tcPr>
            <w:tcW w:w="668" w:type="pct"/>
            <w:tcBorders>
              <w:top w:val="nil"/>
              <w:left w:val="nil"/>
              <w:bottom w:val="single" w:sz="8" w:space="0" w:color="000000"/>
              <w:right w:val="single" w:sz="4" w:space="0" w:color="auto"/>
            </w:tcBorders>
            <w:shd w:val="clear" w:color="auto" w:fill="auto"/>
            <w:vAlign w:val="center"/>
          </w:tcPr>
          <w:p w14:paraId="338FD55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0.5</w:t>
            </w:r>
          </w:p>
        </w:tc>
        <w:tc>
          <w:tcPr>
            <w:tcW w:w="773" w:type="pct"/>
            <w:tcBorders>
              <w:left w:val="single" w:sz="4" w:space="0" w:color="auto"/>
              <w:bottom w:val="single" w:sz="8" w:space="0" w:color="000000"/>
              <w:right w:val="single" w:sz="8" w:space="0" w:color="auto"/>
            </w:tcBorders>
            <w:shd w:val="clear" w:color="auto" w:fill="auto"/>
            <w:vAlign w:val="center"/>
          </w:tcPr>
          <w:p w14:paraId="2FF864E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0.3</w:t>
            </w:r>
          </w:p>
        </w:tc>
      </w:tr>
      <w:tr w:rsidR="009D0C2E" w:rsidRPr="00B364CB" w14:paraId="52264A31" w14:textId="77777777" w:rsidTr="00120F40">
        <w:trPr>
          <w:trHeight w:val="160"/>
        </w:trPr>
        <w:tc>
          <w:tcPr>
            <w:tcW w:w="995" w:type="pct"/>
            <w:gridSpan w:val="2"/>
            <w:vMerge w:val="restart"/>
            <w:tcBorders>
              <w:top w:val="single" w:sz="8" w:space="0" w:color="000000"/>
              <w:left w:val="single" w:sz="8" w:space="0" w:color="000000"/>
              <w:right w:val="single" w:sz="8" w:space="0" w:color="000000"/>
            </w:tcBorders>
            <w:shd w:val="clear" w:color="auto" w:fill="auto"/>
            <w:vAlign w:val="center"/>
            <w:hideMark/>
          </w:tcPr>
          <w:p w14:paraId="1A718F0B" w14:textId="77777777" w:rsidR="009D0C2E" w:rsidRPr="00B364CB" w:rsidRDefault="009D0C2E" w:rsidP="009D0C2E">
            <w:pPr>
              <w:widowControl/>
              <w:jc w:val="center"/>
              <w:rPr>
                <w:rFonts w:cs="Arial"/>
                <w:bCs/>
                <w:sz w:val="20"/>
                <w:szCs w:val="20"/>
                <w:lang w:eastAsia="en-GB" w:bidi="ar-SA"/>
              </w:rPr>
            </w:pPr>
            <w:r w:rsidRPr="00B364CB">
              <w:rPr>
                <w:rFonts w:cs="Arial"/>
                <w:sz w:val="20"/>
                <w:szCs w:val="20"/>
                <w:lang w:eastAsia="en-GB" w:bidi="ar-SA"/>
              </w:rPr>
              <w:t>2</w:t>
            </w:r>
          </w:p>
        </w:tc>
        <w:tc>
          <w:tcPr>
            <w:tcW w:w="903" w:type="pct"/>
            <w:vMerge w:val="restart"/>
            <w:tcBorders>
              <w:top w:val="single" w:sz="8" w:space="0" w:color="000000"/>
              <w:left w:val="nil"/>
              <w:right w:val="single" w:sz="8" w:space="0" w:color="000000"/>
            </w:tcBorders>
            <w:shd w:val="clear" w:color="auto" w:fill="auto"/>
            <w:vAlign w:val="center"/>
          </w:tcPr>
          <w:p w14:paraId="118949A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Availability </w:t>
            </w:r>
          </w:p>
        </w:tc>
        <w:tc>
          <w:tcPr>
            <w:tcW w:w="537" w:type="pct"/>
            <w:tcBorders>
              <w:top w:val="single" w:sz="8" w:space="0" w:color="000000"/>
              <w:left w:val="nil"/>
              <w:right w:val="single" w:sz="8" w:space="0" w:color="000000"/>
            </w:tcBorders>
            <w:shd w:val="clear" w:color="auto" w:fill="auto"/>
            <w:vAlign w:val="center"/>
          </w:tcPr>
          <w:p w14:paraId="5ADA548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700 bar</w:t>
            </w:r>
          </w:p>
        </w:tc>
        <w:tc>
          <w:tcPr>
            <w:tcW w:w="616" w:type="pct"/>
            <w:vMerge w:val="restart"/>
            <w:tcBorders>
              <w:top w:val="single" w:sz="8" w:space="0" w:color="000000"/>
              <w:left w:val="nil"/>
              <w:right w:val="single" w:sz="8" w:space="0" w:color="000000"/>
            </w:tcBorders>
            <w:shd w:val="clear" w:color="auto" w:fill="auto"/>
            <w:vAlign w:val="center"/>
          </w:tcPr>
          <w:p w14:paraId="04EA350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507" w:type="pct"/>
            <w:tcBorders>
              <w:top w:val="single" w:sz="8" w:space="0" w:color="000000"/>
              <w:left w:val="nil"/>
              <w:right w:val="single" w:sz="8" w:space="0" w:color="000000"/>
            </w:tcBorders>
            <w:shd w:val="clear" w:color="auto" w:fill="auto"/>
            <w:vAlign w:val="center"/>
          </w:tcPr>
          <w:p w14:paraId="28015A4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96</w:t>
            </w:r>
          </w:p>
        </w:tc>
        <w:tc>
          <w:tcPr>
            <w:tcW w:w="668" w:type="pct"/>
            <w:tcBorders>
              <w:top w:val="single" w:sz="8" w:space="0" w:color="000000"/>
              <w:left w:val="nil"/>
              <w:right w:val="single" w:sz="4" w:space="0" w:color="auto"/>
            </w:tcBorders>
            <w:shd w:val="clear" w:color="auto" w:fill="auto"/>
            <w:vAlign w:val="center"/>
          </w:tcPr>
          <w:p w14:paraId="56F0747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98</w:t>
            </w:r>
          </w:p>
        </w:tc>
        <w:tc>
          <w:tcPr>
            <w:tcW w:w="773" w:type="pct"/>
            <w:tcBorders>
              <w:top w:val="single" w:sz="8" w:space="0" w:color="000000"/>
              <w:left w:val="single" w:sz="4" w:space="0" w:color="auto"/>
              <w:right w:val="single" w:sz="8" w:space="0" w:color="auto"/>
            </w:tcBorders>
            <w:shd w:val="clear" w:color="auto" w:fill="auto"/>
            <w:vAlign w:val="center"/>
          </w:tcPr>
          <w:p w14:paraId="61B0AE9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99</w:t>
            </w:r>
          </w:p>
        </w:tc>
      </w:tr>
      <w:tr w:rsidR="009D0C2E" w:rsidRPr="00B364CB" w14:paraId="6578ECB8" w14:textId="77777777" w:rsidTr="00120F40">
        <w:trPr>
          <w:trHeight w:val="160"/>
        </w:trPr>
        <w:tc>
          <w:tcPr>
            <w:tcW w:w="995" w:type="pct"/>
            <w:gridSpan w:val="2"/>
            <w:vMerge/>
            <w:tcBorders>
              <w:left w:val="single" w:sz="8" w:space="0" w:color="000000"/>
              <w:right w:val="single" w:sz="8" w:space="0" w:color="000000"/>
            </w:tcBorders>
            <w:shd w:val="clear" w:color="auto" w:fill="auto"/>
            <w:vAlign w:val="center"/>
          </w:tcPr>
          <w:p w14:paraId="21F91F41" w14:textId="77777777" w:rsidR="009D0C2E" w:rsidRPr="00B364CB" w:rsidRDefault="009D0C2E" w:rsidP="009D0C2E">
            <w:pPr>
              <w:widowControl/>
              <w:jc w:val="center"/>
              <w:rPr>
                <w:rFonts w:cs="Arial"/>
                <w:sz w:val="20"/>
                <w:szCs w:val="20"/>
                <w:lang w:eastAsia="en-GB" w:bidi="ar-SA"/>
              </w:rPr>
            </w:pPr>
          </w:p>
        </w:tc>
        <w:tc>
          <w:tcPr>
            <w:tcW w:w="903" w:type="pct"/>
            <w:vMerge/>
            <w:tcBorders>
              <w:left w:val="nil"/>
              <w:right w:val="single" w:sz="8" w:space="0" w:color="000000"/>
            </w:tcBorders>
            <w:shd w:val="clear" w:color="auto" w:fill="auto"/>
            <w:vAlign w:val="center"/>
          </w:tcPr>
          <w:p w14:paraId="6D30D834" w14:textId="77777777" w:rsidR="009D0C2E" w:rsidRPr="00B364CB" w:rsidRDefault="009D0C2E" w:rsidP="009D0C2E">
            <w:pPr>
              <w:widowControl/>
              <w:jc w:val="center"/>
              <w:rPr>
                <w:rFonts w:cs="Arial"/>
                <w:sz w:val="20"/>
                <w:szCs w:val="20"/>
                <w:lang w:eastAsia="en-GB" w:bidi="ar-SA"/>
              </w:rPr>
            </w:pPr>
          </w:p>
        </w:tc>
        <w:tc>
          <w:tcPr>
            <w:tcW w:w="537" w:type="pct"/>
            <w:tcBorders>
              <w:top w:val="nil"/>
              <w:left w:val="nil"/>
              <w:right w:val="single" w:sz="8" w:space="0" w:color="000000"/>
            </w:tcBorders>
            <w:shd w:val="clear" w:color="auto" w:fill="auto"/>
            <w:vAlign w:val="center"/>
          </w:tcPr>
          <w:p w14:paraId="05E329B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350 bar</w:t>
            </w:r>
          </w:p>
        </w:tc>
        <w:tc>
          <w:tcPr>
            <w:tcW w:w="616" w:type="pct"/>
            <w:vMerge/>
            <w:tcBorders>
              <w:left w:val="nil"/>
              <w:right w:val="single" w:sz="8" w:space="0" w:color="000000"/>
            </w:tcBorders>
            <w:shd w:val="clear" w:color="auto" w:fill="auto"/>
            <w:vAlign w:val="center"/>
          </w:tcPr>
          <w:p w14:paraId="76C34D3B" w14:textId="77777777" w:rsidR="009D0C2E" w:rsidRPr="00B364CB" w:rsidRDefault="009D0C2E" w:rsidP="009D0C2E">
            <w:pPr>
              <w:widowControl/>
              <w:jc w:val="center"/>
              <w:rPr>
                <w:rFonts w:cs="Arial"/>
                <w:sz w:val="20"/>
                <w:szCs w:val="20"/>
                <w:lang w:eastAsia="en-GB" w:bidi="ar-SA"/>
              </w:rPr>
            </w:pPr>
          </w:p>
        </w:tc>
        <w:tc>
          <w:tcPr>
            <w:tcW w:w="507" w:type="pct"/>
            <w:tcBorders>
              <w:top w:val="nil"/>
              <w:left w:val="nil"/>
              <w:right w:val="single" w:sz="8" w:space="0" w:color="000000"/>
            </w:tcBorders>
            <w:shd w:val="clear" w:color="auto" w:fill="auto"/>
            <w:vAlign w:val="center"/>
          </w:tcPr>
          <w:p w14:paraId="3D76B9C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97</w:t>
            </w:r>
          </w:p>
        </w:tc>
        <w:tc>
          <w:tcPr>
            <w:tcW w:w="668" w:type="pct"/>
            <w:tcBorders>
              <w:top w:val="nil"/>
              <w:left w:val="nil"/>
              <w:right w:val="single" w:sz="4" w:space="0" w:color="auto"/>
            </w:tcBorders>
            <w:shd w:val="clear" w:color="auto" w:fill="auto"/>
            <w:vAlign w:val="center"/>
          </w:tcPr>
          <w:p w14:paraId="0EC2167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98</w:t>
            </w:r>
          </w:p>
        </w:tc>
        <w:tc>
          <w:tcPr>
            <w:tcW w:w="773" w:type="pct"/>
            <w:tcBorders>
              <w:left w:val="single" w:sz="4" w:space="0" w:color="auto"/>
              <w:right w:val="single" w:sz="8" w:space="0" w:color="auto"/>
            </w:tcBorders>
            <w:shd w:val="clear" w:color="auto" w:fill="auto"/>
            <w:vAlign w:val="center"/>
          </w:tcPr>
          <w:p w14:paraId="46E54AF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99</w:t>
            </w:r>
          </w:p>
        </w:tc>
      </w:tr>
      <w:tr w:rsidR="009D0C2E" w:rsidRPr="00B364CB" w14:paraId="34123597" w14:textId="77777777" w:rsidTr="00120F40">
        <w:trPr>
          <w:trHeight w:val="160"/>
        </w:trPr>
        <w:tc>
          <w:tcPr>
            <w:tcW w:w="995" w:type="pct"/>
            <w:gridSpan w:val="2"/>
            <w:vMerge/>
            <w:tcBorders>
              <w:left w:val="single" w:sz="8" w:space="0" w:color="000000"/>
              <w:bottom w:val="single" w:sz="8" w:space="0" w:color="000000"/>
              <w:right w:val="single" w:sz="8" w:space="0" w:color="000000"/>
            </w:tcBorders>
            <w:shd w:val="clear" w:color="auto" w:fill="auto"/>
            <w:vAlign w:val="center"/>
          </w:tcPr>
          <w:p w14:paraId="6B1E41A2" w14:textId="77777777" w:rsidR="009D0C2E" w:rsidRPr="00B364CB" w:rsidRDefault="009D0C2E" w:rsidP="009D0C2E">
            <w:pPr>
              <w:widowControl/>
              <w:jc w:val="center"/>
              <w:rPr>
                <w:rFonts w:cs="Arial"/>
                <w:sz w:val="20"/>
                <w:szCs w:val="20"/>
                <w:lang w:eastAsia="en-GB" w:bidi="ar-SA"/>
              </w:rPr>
            </w:pPr>
          </w:p>
        </w:tc>
        <w:tc>
          <w:tcPr>
            <w:tcW w:w="903" w:type="pct"/>
            <w:vMerge/>
            <w:tcBorders>
              <w:left w:val="nil"/>
              <w:bottom w:val="single" w:sz="8" w:space="0" w:color="000000"/>
              <w:right w:val="single" w:sz="8" w:space="0" w:color="000000"/>
            </w:tcBorders>
            <w:shd w:val="clear" w:color="auto" w:fill="auto"/>
            <w:vAlign w:val="center"/>
          </w:tcPr>
          <w:p w14:paraId="02C8C82F" w14:textId="77777777" w:rsidR="009D0C2E" w:rsidRPr="00B364CB" w:rsidRDefault="009D0C2E" w:rsidP="009D0C2E">
            <w:pPr>
              <w:widowControl/>
              <w:jc w:val="center"/>
              <w:rPr>
                <w:rFonts w:cs="Arial"/>
                <w:sz w:val="20"/>
                <w:szCs w:val="20"/>
                <w:lang w:eastAsia="en-GB" w:bidi="ar-SA"/>
              </w:rPr>
            </w:pPr>
          </w:p>
        </w:tc>
        <w:tc>
          <w:tcPr>
            <w:tcW w:w="537" w:type="pct"/>
            <w:tcBorders>
              <w:top w:val="nil"/>
              <w:left w:val="nil"/>
              <w:bottom w:val="single" w:sz="8" w:space="0" w:color="000000"/>
              <w:right w:val="single" w:sz="8" w:space="0" w:color="000000"/>
            </w:tcBorders>
            <w:shd w:val="clear" w:color="auto" w:fill="auto"/>
            <w:vAlign w:val="center"/>
          </w:tcPr>
          <w:p w14:paraId="6BB46EF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LH</w:t>
            </w:r>
            <w:r w:rsidRPr="00603A27">
              <w:rPr>
                <w:rFonts w:cs="Arial"/>
                <w:sz w:val="20"/>
                <w:szCs w:val="20"/>
                <w:vertAlign w:val="subscript"/>
                <w:lang w:eastAsia="en-GB" w:bidi="ar-SA"/>
              </w:rPr>
              <w:t>2</w:t>
            </w:r>
          </w:p>
        </w:tc>
        <w:tc>
          <w:tcPr>
            <w:tcW w:w="616" w:type="pct"/>
            <w:vMerge/>
            <w:tcBorders>
              <w:left w:val="nil"/>
              <w:bottom w:val="single" w:sz="8" w:space="0" w:color="000000"/>
              <w:right w:val="single" w:sz="8" w:space="0" w:color="000000"/>
            </w:tcBorders>
            <w:shd w:val="clear" w:color="auto" w:fill="auto"/>
            <w:vAlign w:val="center"/>
          </w:tcPr>
          <w:p w14:paraId="0410F26B" w14:textId="77777777" w:rsidR="009D0C2E" w:rsidRPr="00B364CB" w:rsidRDefault="009D0C2E" w:rsidP="009D0C2E">
            <w:pPr>
              <w:widowControl/>
              <w:jc w:val="center"/>
              <w:rPr>
                <w:rFonts w:cs="Arial"/>
                <w:sz w:val="20"/>
                <w:szCs w:val="20"/>
                <w:lang w:eastAsia="en-GB" w:bidi="ar-SA"/>
              </w:rPr>
            </w:pPr>
          </w:p>
        </w:tc>
        <w:tc>
          <w:tcPr>
            <w:tcW w:w="507" w:type="pct"/>
            <w:tcBorders>
              <w:top w:val="nil"/>
              <w:left w:val="nil"/>
              <w:bottom w:val="single" w:sz="8" w:space="0" w:color="000000"/>
              <w:right w:val="single" w:sz="8" w:space="0" w:color="000000"/>
            </w:tcBorders>
            <w:shd w:val="clear" w:color="auto" w:fill="auto"/>
            <w:vAlign w:val="center"/>
          </w:tcPr>
          <w:p w14:paraId="1930956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95</w:t>
            </w:r>
          </w:p>
        </w:tc>
        <w:tc>
          <w:tcPr>
            <w:tcW w:w="668" w:type="pct"/>
            <w:tcBorders>
              <w:top w:val="nil"/>
              <w:left w:val="nil"/>
              <w:bottom w:val="single" w:sz="8" w:space="0" w:color="000000"/>
              <w:right w:val="single" w:sz="4" w:space="0" w:color="auto"/>
            </w:tcBorders>
            <w:shd w:val="clear" w:color="auto" w:fill="auto"/>
            <w:vAlign w:val="center"/>
          </w:tcPr>
          <w:p w14:paraId="77E0D33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97</w:t>
            </w:r>
          </w:p>
        </w:tc>
        <w:tc>
          <w:tcPr>
            <w:tcW w:w="773" w:type="pct"/>
            <w:tcBorders>
              <w:left w:val="single" w:sz="4" w:space="0" w:color="auto"/>
              <w:bottom w:val="single" w:sz="8" w:space="0" w:color="000000"/>
              <w:right w:val="single" w:sz="8" w:space="0" w:color="auto"/>
            </w:tcBorders>
            <w:shd w:val="clear" w:color="auto" w:fill="auto"/>
            <w:vAlign w:val="center"/>
          </w:tcPr>
          <w:p w14:paraId="0714627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99</w:t>
            </w:r>
          </w:p>
        </w:tc>
      </w:tr>
      <w:tr w:rsidR="009D0C2E" w:rsidRPr="00B364CB" w14:paraId="721A854E" w14:textId="77777777" w:rsidTr="00120F40">
        <w:trPr>
          <w:trHeight w:val="160"/>
        </w:trPr>
        <w:tc>
          <w:tcPr>
            <w:tcW w:w="995" w:type="pct"/>
            <w:gridSpan w:val="2"/>
            <w:vMerge w:val="restart"/>
            <w:tcBorders>
              <w:top w:val="single" w:sz="8" w:space="0" w:color="000000"/>
              <w:left w:val="single" w:sz="8" w:space="0" w:color="000000"/>
              <w:right w:val="single" w:sz="8" w:space="0" w:color="000000"/>
            </w:tcBorders>
            <w:shd w:val="clear" w:color="auto" w:fill="auto"/>
            <w:vAlign w:val="center"/>
            <w:hideMark/>
          </w:tcPr>
          <w:p w14:paraId="399EAAD6" w14:textId="77777777" w:rsidR="009D0C2E" w:rsidRPr="00B364CB" w:rsidRDefault="009D0C2E" w:rsidP="009D0C2E">
            <w:pPr>
              <w:widowControl/>
              <w:jc w:val="center"/>
              <w:rPr>
                <w:rFonts w:cs="Arial"/>
                <w:bCs/>
                <w:sz w:val="20"/>
                <w:szCs w:val="20"/>
                <w:lang w:eastAsia="en-GB" w:bidi="ar-SA"/>
              </w:rPr>
            </w:pPr>
            <w:r w:rsidRPr="00B364CB">
              <w:rPr>
                <w:rFonts w:cs="Arial"/>
                <w:sz w:val="20"/>
                <w:szCs w:val="20"/>
                <w:lang w:eastAsia="en-GB" w:bidi="ar-SA"/>
              </w:rPr>
              <w:t>3</w:t>
            </w:r>
          </w:p>
        </w:tc>
        <w:tc>
          <w:tcPr>
            <w:tcW w:w="903" w:type="pct"/>
            <w:vMerge w:val="restart"/>
            <w:tcBorders>
              <w:top w:val="single" w:sz="8" w:space="0" w:color="000000"/>
              <w:left w:val="nil"/>
              <w:right w:val="single" w:sz="8" w:space="0" w:color="000000"/>
            </w:tcBorders>
            <w:shd w:val="clear" w:color="auto" w:fill="auto"/>
            <w:vAlign w:val="center"/>
          </w:tcPr>
          <w:p w14:paraId="170CAA7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Mean time between failures </w:t>
            </w:r>
          </w:p>
        </w:tc>
        <w:tc>
          <w:tcPr>
            <w:tcW w:w="537" w:type="pct"/>
            <w:tcBorders>
              <w:top w:val="single" w:sz="8" w:space="0" w:color="000000"/>
              <w:left w:val="nil"/>
              <w:right w:val="single" w:sz="8" w:space="0" w:color="000000"/>
            </w:tcBorders>
            <w:shd w:val="clear" w:color="auto" w:fill="auto"/>
            <w:vAlign w:val="center"/>
          </w:tcPr>
          <w:p w14:paraId="5BF3443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700 bar</w:t>
            </w:r>
          </w:p>
        </w:tc>
        <w:tc>
          <w:tcPr>
            <w:tcW w:w="616" w:type="pct"/>
            <w:vMerge w:val="restart"/>
            <w:tcBorders>
              <w:top w:val="single" w:sz="8" w:space="0" w:color="000000"/>
              <w:left w:val="nil"/>
              <w:right w:val="single" w:sz="8" w:space="0" w:color="000000"/>
            </w:tcBorders>
            <w:shd w:val="clear" w:color="auto" w:fill="auto"/>
            <w:vAlign w:val="center"/>
          </w:tcPr>
          <w:p w14:paraId="1E8D787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d</w:t>
            </w:r>
          </w:p>
        </w:tc>
        <w:tc>
          <w:tcPr>
            <w:tcW w:w="507" w:type="pct"/>
            <w:tcBorders>
              <w:top w:val="single" w:sz="8" w:space="0" w:color="000000"/>
              <w:left w:val="nil"/>
              <w:right w:val="single" w:sz="8" w:space="0" w:color="000000"/>
            </w:tcBorders>
            <w:shd w:val="clear" w:color="auto" w:fill="auto"/>
            <w:vAlign w:val="center"/>
          </w:tcPr>
          <w:p w14:paraId="3452DEF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48</w:t>
            </w:r>
          </w:p>
        </w:tc>
        <w:tc>
          <w:tcPr>
            <w:tcW w:w="668" w:type="pct"/>
            <w:tcBorders>
              <w:top w:val="single" w:sz="8" w:space="0" w:color="000000"/>
              <w:left w:val="nil"/>
              <w:right w:val="single" w:sz="4" w:space="0" w:color="auto"/>
            </w:tcBorders>
            <w:shd w:val="clear" w:color="auto" w:fill="auto"/>
            <w:vAlign w:val="center"/>
          </w:tcPr>
          <w:p w14:paraId="6A41A2D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72</w:t>
            </w:r>
          </w:p>
        </w:tc>
        <w:tc>
          <w:tcPr>
            <w:tcW w:w="773" w:type="pct"/>
            <w:tcBorders>
              <w:top w:val="single" w:sz="8" w:space="0" w:color="000000"/>
              <w:left w:val="single" w:sz="4" w:space="0" w:color="auto"/>
              <w:right w:val="single" w:sz="8" w:space="0" w:color="auto"/>
            </w:tcBorders>
            <w:shd w:val="clear" w:color="auto" w:fill="auto"/>
            <w:vAlign w:val="center"/>
          </w:tcPr>
          <w:p w14:paraId="731119D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168</w:t>
            </w:r>
          </w:p>
        </w:tc>
      </w:tr>
      <w:tr w:rsidR="009D0C2E" w:rsidRPr="00B364CB" w14:paraId="3E80F324" w14:textId="77777777" w:rsidTr="00120F40">
        <w:trPr>
          <w:trHeight w:val="160"/>
        </w:trPr>
        <w:tc>
          <w:tcPr>
            <w:tcW w:w="995" w:type="pct"/>
            <w:gridSpan w:val="2"/>
            <w:vMerge/>
            <w:tcBorders>
              <w:left w:val="single" w:sz="8" w:space="0" w:color="000000"/>
              <w:right w:val="single" w:sz="8" w:space="0" w:color="000000"/>
            </w:tcBorders>
            <w:shd w:val="clear" w:color="auto" w:fill="auto"/>
            <w:vAlign w:val="center"/>
          </w:tcPr>
          <w:p w14:paraId="7E7906EE" w14:textId="77777777" w:rsidR="009D0C2E" w:rsidRPr="00B364CB" w:rsidRDefault="009D0C2E" w:rsidP="009D0C2E">
            <w:pPr>
              <w:widowControl/>
              <w:jc w:val="center"/>
              <w:rPr>
                <w:rFonts w:cs="Arial"/>
                <w:sz w:val="20"/>
                <w:szCs w:val="20"/>
                <w:lang w:eastAsia="en-GB" w:bidi="ar-SA"/>
              </w:rPr>
            </w:pPr>
          </w:p>
        </w:tc>
        <w:tc>
          <w:tcPr>
            <w:tcW w:w="903" w:type="pct"/>
            <w:vMerge/>
            <w:tcBorders>
              <w:left w:val="nil"/>
              <w:right w:val="single" w:sz="8" w:space="0" w:color="000000"/>
            </w:tcBorders>
            <w:shd w:val="clear" w:color="auto" w:fill="auto"/>
            <w:vAlign w:val="center"/>
          </w:tcPr>
          <w:p w14:paraId="040BD392" w14:textId="77777777" w:rsidR="009D0C2E" w:rsidRPr="00B364CB" w:rsidRDefault="009D0C2E" w:rsidP="009D0C2E">
            <w:pPr>
              <w:widowControl/>
              <w:jc w:val="center"/>
              <w:rPr>
                <w:rFonts w:cs="Arial"/>
                <w:sz w:val="20"/>
                <w:szCs w:val="20"/>
                <w:lang w:eastAsia="en-GB" w:bidi="ar-SA"/>
              </w:rPr>
            </w:pPr>
          </w:p>
        </w:tc>
        <w:tc>
          <w:tcPr>
            <w:tcW w:w="537" w:type="pct"/>
            <w:tcBorders>
              <w:top w:val="nil"/>
              <w:left w:val="nil"/>
              <w:right w:val="single" w:sz="8" w:space="0" w:color="000000"/>
            </w:tcBorders>
            <w:shd w:val="clear" w:color="auto" w:fill="auto"/>
            <w:vAlign w:val="center"/>
          </w:tcPr>
          <w:p w14:paraId="54C04C4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350 bar</w:t>
            </w:r>
          </w:p>
        </w:tc>
        <w:tc>
          <w:tcPr>
            <w:tcW w:w="616" w:type="pct"/>
            <w:vMerge/>
            <w:tcBorders>
              <w:left w:val="nil"/>
              <w:right w:val="single" w:sz="8" w:space="0" w:color="000000"/>
            </w:tcBorders>
            <w:shd w:val="clear" w:color="auto" w:fill="auto"/>
            <w:vAlign w:val="center"/>
          </w:tcPr>
          <w:p w14:paraId="703BEBA7" w14:textId="77777777" w:rsidR="009D0C2E" w:rsidRPr="00B364CB" w:rsidRDefault="009D0C2E" w:rsidP="009D0C2E">
            <w:pPr>
              <w:widowControl/>
              <w:jc w:val="center"/>
              <w:rPr>
                <w:rFonts w:cs="Arial"/>
                <w:sz w:val="20"/>
                <w:szCs w:val="20"/>
                <w:lang w:eastAsia="en-GB" w:bidi="ar-SA"/>
              </w:rPr>
            </w:pPr>
          </w:p>
        </w:tc>
        <w:tc>
          <w:tcPr>
            <w:tcW w:w="507" w:type="pct"/>
            <w:tcBorders>
              <w:top w:val="nil"/>
              <w:left w:val="nil"/>
              <w:right w:val="single" w:sz="8" w:space="0" w:color="000000"/>
            </w:tcBorders>
            <w:shd w:val="clear" w:color="auto" w:fill="auto"/>
            <w:vAlign w:val="center"/>
          </w:tcPr>
          <w:p w14:paraId="45CC630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96</w:t>
            </w:r>
          </w:p>
        </w:tc>
        <w:tc>
          <w:tcPr>
            <w:tcW w:w="668" w:type="pct"/>
            <w:tcBorders>
              <w:top w:val="nil"/>
              <w:left w:val="nil"/>
              <w:right w:val="single" w:sz="4" w:space="0" w:color="auto"/>
            </w:tcBorders>
            <w:shd w:val="clear" w:color="auto" w:fill="auto"/>
            <w:vAlign w:val="center"/>
          </w:tcPr>
          <w:p w14:paraId="4CFFB2A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144</w:t>
            </w:r>
          </w:p>
        </w:tc>
        <w:tc>
          <w:tcPr>
            <w:tcW w:w="773" w:type="pct"/>
            <w:tcBorders>
              <w:left w:val="single" w:sz="4" w:space="0" w:color="auto"/>
              <w:right w:val="single" w:sz="8" w:space="0" w:color="auto"/>
            </w:tcBorders>
            <w:shd w:val="clear" w:color="auto" w:fill="auto"/>
            <w:vAlign w:val="center"/>
          </w:tcPr>
          <w:p w14:paraId="087653F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336</w:t>
            </w:r>
          </w:p>
        </w:tc>
      </w:tr>
      <w:tr w:rsidR="009D0C2E" w:rsidRPr="00B364CB" w14:paraId="50FB3370" w14:textId="77777777" w:rsidTr="00120F40">
        <w:trPr>
          <w:trHeight w:val="160"/>
        </w:trPr>
        <w:tc>
          <w:tcPr>
            <w:tcW w:w="995" w:type="pct"/>
            <w:gridSpan w:val="2"/>
            <w:vMerge/>
            <w:tcBorders>
              <w:left w:val="single" w:sz="8" w:space="0" w:color="000000"/>
              <w:bottom w:val="single" w:sz="8" w:space="0" w:color="000000"/>
              <w:right w:val="single" w:sz="8" w:space="0" w:color="000000"/>
            </w:tcBorders>
            <w:shd w:val="clear" w:color="auto" w:fill="auto"/>
            <w:vAlign w:val="center"/>
          </w:tcPr>
          <w:p w14:paraId="73FC8AEF" w14:textId="77777777" w:rsidR="009D0C2E" w:rsidRPr="00B364CB" w:rsidRDefault="009D0C2E" w:rsidP="009D0C2E">
            <w:pPr>
              <w:widowControl/>
              <w:jc w:val="center"/>
              <w:rPr>
                <w:rFonts w:cs="Arial"/>
                <w:sz w:val="20"/>
                <w:szCs w:val="20"/>
                <w:lang w:eastAsia="en-GB" w:bidi="ar-SA"/>
              </w:rPr>
            </w:pPr>
          </w:p>
        </w:tc>
        <w:tc>
          <w:tcPr>
            <w:tcW w:w="903" w:type="pct"/>
            <w:vMerge/>
            <w:tcBorders>
              <w:left w:val="nil"/>
              <w:bottom w:val="single" w:sz="8" w:space="0" w:color="000000"/>
              <w:right w:val="single" w:sz="8" w:space="0" w:color="000000"/>
            </w:tcBorders>
            <w:shd w:val="clear" w:color="auto" w:fill="auto"/>
            <w:vAlign w:val="center"/>
          </w:tcPr>
          <w:p w14:paraId="3A6AF161" w14:textId="77777777" w:rsidR="009D0C2E" w:rsidRPr="00B364CB" w:rsidRDefault="009D0C2E" w:rsidP="009D0C2E">
            <w:pPr>
              <w:widowControl/>
              <w:jc w:val="center"/>
              <w:rPr>
                <w:rFonts w:cs="Arial"/>
                <w:sz w:val="20"/>
                <w:szCs w:val="20"/>
                <w:lang w:eastAsia="en-GB" w:bidi="ar-SA"/>
              </w:rPr>
            </w:pPr>
          </w:p>
        </w:tc>
        <w:tc>
          <w:tcPr>
            <w:tcW w:w="537" w:type="pct"/>
            <w:tcBorders>
              <w:top w:val="nil"/>
              <w:left w:val="nil"/>
              <w:bottom w:val="single" w:sz="8" w:space="0" w:color="000000"/>
              <w:right w:val="single" w:sz="8" w:space="0" w:color="000000"/>
            </w:tcBorders>
            <w:shd w:val="clear" w:color="auto" w:fill="auto"/>
            <w:vAlign w:val="center"/>
          </w:tcPr>
          <w:p w14:paraId="33BAE82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LH</w:t>
            </w:r>
            <w:r w:rsidRPr="00603A27">
              <w:rPr>
                <w:rFonts w:cs="Arial"/>
                <w:sz w:val="20"/>
                <w:szCs w:val="20"/>
                <w:vertAlign w:val="subscript"/>
                <w:lang w:eastAsia="en-GB" w:bidi="ar-SA"/>
              </w:rPr>
              <w:t>2</w:t>
            </w:r>
          </w:p>
        </w:tc>
        <w:tc>
          <w:tcPr>
            <w:tcW w:w="616" w:type="pct"/>
            <w:vMerge/>
            <w:tcBorders>
              <w:left w:val="nil"/>
              <w:bottom w:val="single" w:sz="8" w:space="0" w:color="000000"/>
              <w:right w:val="single" w:sz="8" w:space="0" w:color="000000"/>
            </w:tcBorders>
            <w:shd w:val="clear" w:color="auto" w:fill="auto"/>
            <w:vAlign w:val="center"/>
          </w:tcPr>
          <w:p w14:paraId="24684EA6" w14:textId="77777777" w:rsidR="009D0C2E" w:rsidRPr="00B364CB" w:rsidRDefault="009D0C2E" w:rsidP="009D0C2E">
            <w:pPr>
              <w:widowControl/>
              <w:jc w:val="center"/>
              <w:rPr>
                <w:rFonts w:cs="Arial"/>
                <w:sz w:val="20"/>
                <w:szCs w:val="20"/>
                <w:lang w:eastAsia="en-GB" w:bidi="ar-SA"/>
              </w:rPr>
            </w:pPr>
          </w:p>
        </w:tc>
        <w:tc>
          <w:tcPr>
            <w:tcW w:w="507" w:type="pct"/>
            <w:tcBorders>
              <w:top w:val="nil"/>
              <w:left w:val="nil"/>
              <w:bottom w:val="single" w:sz="8" w:space="0" w:color="000000"/>
              <w:right w:val="single" w:sz="8" w:space="0" w:color="000000"/>
            </w:tcBorders>
            <w:shd w:val="clear" w:color="auto" w:fill="auto"/>
            <w:vAlign w:val="center"/>
          </w:tcPr>
          <w:p w14:paraId="509DF82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144</w:t>
            </w:r>
          </w:p>
        </w:tc>
        <w:tc>
          <w:tcPr>
            <w:tcW w:w="668" w:type="pct"/>
            <w:tcBorders>
              <w:top w:val="nil"/>
              <w:left w:val="nil"/>
              <w:bottom w:val="single" w:sz="8" w:space="0" w:color="000000"/>
              <w:right w:val="single" w:sz="4" w:space="0" w:color="auto"/>
            </w:tcBorders>
            <w:shd w:val="clear" w:color="auto" w:fill="auto"/>
            <w:vAlign w:val="center"/>
          </w:tcPr>
          <w:p w14:paraId="5746567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216</w:t>
            </w:r>
          </w:p>
        </w:tc>
        <w:tc>
          <w:tcPr>
            <w:tcW w:w="773" w:type="pct"/>
            <w:tcBorders>
              <w:left w:val="single" w:sz="4" w:space="0" w:color="auto"/>
              <w:bottom w:val="single" w:sz="8" w:space="0" w:color="000000"/>
              <w:right w:val="single" w:sz="8" w:space="0" w:color="auto"/>
            </w:tcBorders>
            <w:shd w:val="clear" w:color="auto" w:fill="auto"/>
            <w:vAlign w:val="center"/>
          </w:tcPr>
          <w:p w14:paraId="40712DE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504</w:t>
            </w:r>
          </w:p>
        </w:tc>
      </w:tr>
      <w:tr w:rsidR="009D0C2E" w:rsidRPr="00B364CB" w14:paraId="6D3519BE" w14:textId="77777777" w:rsidTr="00120F40">
        <w:trPr>
          <w:trHeight w:val="125"/>
        </w:trPr>
        <w:tc>
          <w:tcPr>
            <w:tcW w:w="982" w:type="pct"/>
            <w:vMerge w:val="restart"/>
            <w:tcBorders>
              <w:top w:val="single" w:sz="8" w:space="0" w:color="000000"/>
              <w:left w:val="single" w:sz="8" w:space="0" w:color="000000"/>
              <w:right w:val="single" w:sz="8" w:space="0" w:color="000000"/>
            </w:tcBorders>
            <w:shd w:val="clear" w:color="auto" w:fill="auto"/>
            <w:vAlign w:val="center"/>
            <w:hideMark/>
          </w:tcPr>
          <w:p w14:paraId="4FF129D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916" w:type="pct"/>
            <w:gridSpan w:val="2"/>
            <w:vMerge w:val="restart"/>
            <w:tcBorders>
              <w:top w:val="single" w:sz="8" w:space="0" w:color="000000"/>
              <w:left w:val="nil"/>
              <w:right w:val="single" w:sz="8" w:space="0" w:color="000000"/>
            </w:tcBorders>
            <w:shd w:val="clear" w:color="auto" w:fill="auto"/>
            <w:vAlign w:val="center"/>
          </w:tcPr>
          <w:p w14:paraId="71DE713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Annual maintenance cost </w:t>
            </w:r>
          </w:p>
        </w:tc>
        <w:tc>
          <w:tcPr>
            <w:tcW w:w="537" w:type="pct"/>
            <w:tcBorders>
              <w:top w:val="single" w:sz="8" w:space="0" w:color="000000"/>
              <w:left w:val="nil"/>
              <w:right w:val="single" w:sz="8" w:space="0" w:color="000000"/>
            </w:tcBorders>
            <w:shd w:val="clear" w:color="auto" w:fill="auto"/>
            <w:vAlign w:val="center"/>
          </w:tcPr>
          <w:p w14:paraId="7DA97A6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700 bar</w:t>
            </w:r>
          </w:p>
        </w:tc>
        <w:tc>
          <w:tcPr>
            <w:tcW w:w="616" w:type="pct"/>
            <w:vMerge w:val="restart"/>
            <w:tcBorders>
              <w:top w:val="single" w:sz="8" w:space="0" w:color="000000"/>
              <w:left w:val="nil"/>
              <w:right w:val="single" w:sz="8" w:space="0" w:color="000000"/>
            </w:tcBorders>
            <w:shd w:val="clear" w:color="auto" w:fill="auto"/>
            <w:vAlign w:val="center"/>
          </w:tcPr>
          <w:p w14:paraId="69CAC41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507" w:type="pct"/>
            <w:tcBorders>
              <w:top w:val="single" w:sz="8" w:space="0" w:color="000000"/>
              <w:left w:val="nil"/>
              <w:right w:val="single" w:sz="8" w:space="0" w:color="000000"/>
            </w:tcBorders>
            <w:shd w:val="clear" w:color="auto" w:fill="auto"/>
            <w:vAlign w:val="center"/>
          </w:tcPr>
          <w:p w14:paraId="22D2C45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c>
          <w:tcPr>
            <w:tcW w:w="668" w:type="pct"/>
            <w:tcBorders>
              <w:top w:val="single" w:sz="8" w:space="0" w:color="000000"/>
              <w:left w:val="nil"/>
              <w:right w:val="single" w:sz="4" w:space="0" w:color="auto"/>
            </w:tcBorders>
            <w:shd w:val="clear" w:color="auto" w:fill="auto"/>
            <w:vAlign w:val="center"/>
          </w:tcPr>
          <w:p w14:paraId="0AC2E06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0.5</w:t>
            </w:r>
          </w:p>
        </w:tc>
        <w:tc>
          <w:tcPr>
            <w:tcW w:w="773" w:type="pct"/>
            <w:tcBorders>
              <w:top w:val="single" w:sz="8" w:space="0" w:color="000000"/>
              <w:left w:val="single" w:sz="4" w:space="0" w:color="auto"/>
              <w:right w:val="single" w:sz="8" w:space="0" w:color="auto"/>
            </w:tcBorders>
            <w:shd w:val="clear" w:color="auto" w:fill="auto"/>
            <w:vAlign w:val="center"/>
          </w:tcPr>
          <w:p w14:paraId="7126812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0.3</w:t>
            </w:r>
          </w:p>
        </w:tc>
      </w:tr>
      <w:tr w:rsidR="009D0C2E" w:rsidRPr="00B364CB" w14:paraId="67ACFD48" w14:textId="77777777" w:rsidTr="00120F40">
        <w:trPr>
          <w:trHeight w:val="123"/>
        </w:trPr>
        <w:tc>
          <w:tcPr>
            <w:tcW w:w="982" w:type="pct"/>
            <w:vMerge/>
            <w:tcBorders>
              <w:left w:val="single" w:sz="8" w:space="0" w:color="000000"/>
              <w:bottom w:val="single" w:sz="8" w:space="0" w:color="000000"/>
              <w:right w:val="single" w:sz="8" w:space="0" w:color="000000"/>
            </w:tcBorders>
            <w:shd w:val="clear" w:color="auto" w:fill="auto"/>
            <w:vAlign w:val="center"/>
          </w:tcPr>
          <w:p w14:paraId="29297BF2" w14:textId="77777777" w:rsidR="009D0C2E" w:rsidRPr="00B364CB" w:rsidRDefault="009D0C2E" w:rsidP="009D0C2E">
            <w:pPr>
              <w:widowControl/>
              <w:jc w:val="center"/>
              <w:rPr>
                <w:rFonts w:cs="Arial"/>
                <w:sz w:val="20"/>
                <w:szCs w:val="20"/>
                <w:lang w:eastAsia="en-GB" w:bidi="ar-SA"/>
              </w:rPr>
            </w:pPr>
          </w:p>
        </w:tc>
        <w:tc>
          <w:tcPr>
            <w:tcW w:w="916" w:type="pct"/>
            <w:gridSpan w:val="2"/>
            <w:vMerge/>
            <w:tcBorders>
              <w:left w:val="nil"/>
              <w:bottom w:val="single" w:sz="8" w:space="0" w:color="000000"/>
              <w:right w:val="single" w:sz="8" w:space="0" w:color="000000"/>
            </w:tcBorders>
            <w:shd w:val="clear" w:color="auto" w:fill="auto"/>
            <w:vAlign w:val="center"/>
          </w:tcPr>
          <w:p w14:paraId="3784B860" w14:textId="77777777" w:rsidR="009D0C2E" w:rsidRPr="00B364CB" w:rsidRDefault="009D0C2E" w:rsidP="009D0C2E">
            <w:pPr>
              <w:widowControl/>
              <w:jc w:val="center"/>
              <w:rPr>
                <w:rFonts w:cs="Arial"/>
                <w:sz w:val="20"/>
                <w:szCs w:val="20"/>
                <w:lang w:eastAsia="en-GB" w:bidi="ar-SA"/>
              </w:rPr>
            </w:pPr>
          </w:p>
        </w:tc>
        <w:tc>
          <w:tcPr>
            <w:tcW w:w="537" w:type="pct"/>
            <w:tcBorders>
              <w:top w:val="nil"/>
              <w:left w:val="nil"/>
              <w:right w:val="single" w:sz="8" w:space="0" w:color="000000"/>
            </w:tcBorders>
            <w:shd w:val="clear" w:color="auto" w:fill="auto"/>
            <w:vAlign w:val="center"/>
          </w:tcPr>
          <w:p w14:paraId="79A1FCF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350 bar</w:t>
            </w:r>
          </w:p>
        </w:tc>
        <w:tc>
          <w:tcPr>
            <w:tcW w:w="616" w:type="pct"/>
            <w:vMerge/>
            <w:tcBorders>
              <w:left w:val="nil"/>
              <w:bottom w:val="single" w:sz="8" w:space="0" w:color="000000"/>
              <w:right w:val="single" w:sz="8" w:space="0" w:color="000000"/>
            </w:tcBorders>
            <w:shd w:val="clear" w:color="auto" w:fill="auto"/>
            <w:vAlign w:val="center"/>
          </w:tcPr>
          <w:p w14:paraId="56724B26" w14:textId="77777777" w:rsidR="009D0C2E" w:rsidRPr="00B364CB" w:rsidRDefault="009D0C2E" w:rsidP="009D0C2E">
            <w:pPr>
              <w:widowControl/>
              <w:jc w:val="center"/>
              <w:rPr>
                <w:rFonts w:cs="Arial"/>
                <w:sz w:val="20"/>
                <w:szCs w:val="20"/>
                <w:lang w:eastAsia="en-GB" w:bidi="ar-SA"/>
              </w:rPr>
            </w:pPr>
          </w:p>
        </w:tc>
        <w:tc>
          <w:tcPr>
            <w:tcW w:w="507" w:type="pct"/>
            <w:tcBorders>
              <w:top w:val="nil"/>
              <w:left w:val="nil"/>
              <w:right w:val="single" w:sz="8" w:space="0" w:color="000000"/>
            </w:tcBorders>
            <w:shd w:val="clear" w:color="auto" w:fill="auto"/>
            <w:vAlign w:val="center"/>
          </w:tcPr>
          <w:p w14:paraId="79B9CC4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0.66</w:t>
            </w:r>
          </w:p>
        </w:tc>
        <w:tc>
          <w:tcPr>
            <w:tcW w:w="668" w:type="pct"/>
            <w:tcBorders>
              <w:top w:val="nil"/>
              <w:left w:val="nil"/>
              <w:right w:val="single" w:sz="4" w:space="0" w:color="auto"/>
            </w:tcBorders>
            <w:shd w:val="clear" w:color="auto" w:fill="auto"/>
            <w:vAlign w:val="center"/>
          </w:tcPr>
          <w:p w14:paraId="67DF2AC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0.35</w:t>
            </w:r>
          </w:p>
        </w:tc>
        <w:tc>
          <w:tcPr>
            <w:tcW w:w="773" w:type="pct"/>
            <w:tcBorders>
              <w:left w:val="single" w:sz="4" w:space="0" w:color="auto"/>
              <w:right w:val="single" w:sz="8" w:space="0" w:color="auto"/>
            </w:tcBorders>
            <w:shd w:val="clear" w:color="auto" w:fill="auto"/>
            <w:vAlign w:val="center"/>
          </w:tcPr>
          <w:p w14:paraId="7778930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0.15</w:t>
            </w:r>
          </w:p>
        </w:tc>
      </w:tr>
      <w:tr w:rsidR="009D0C2E" w:rsidRPr="00B364CB" w14:paraId="0B6568D7" w14:textId="77777777" w:rsidTr="00120F40">
        <w:trPr>
          <w:trHeight w:val="123"/>
        </w:trPr>
        <w:tc>
          <w:tcPr>
            <w:tcW w:w="98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7DA4AB" w14:textId="77777777" w:rsidR="009D0C2E" w:rsidRPr="00B364CB" w:rsidRDefault="009D0C2E" w:rsidP="009D0C2E">
            <w:pPr>
              <w:widowControl/>
              <w:jc w:val="center"/>
              <w:rPr>
                <w:rFonts w:cs="Arial"/>
                <w:sz w:val="20"/>
                <w:szCs w:val="20"/>
                <w:lang w:eastAsia="en-GB" w:bidi="ar-SA"/>
              </w:rPr>
            </w:pPr>
          </w:p>
        </w:tc>
        <w:tc>
          <w:tcPr>
            <w:tcW w:w="916" w:type="pct"/>
            <w:gridSpan w:val="2"/>
            <w:vMerge/>
            <w:tcBorders>
              <w:top w:val="single" w:sz="8" w:space="0" w:color="000000"/>
              <w:left w:val="nil"/>
              <w:bottom w:val="single" w:sz="8" w:space="0" w:color="000000"/>
              <w:right w:val="single" w:sz="8" w:space="0" w:color="000000"/>
            </w:tcBorders>
            <w:shd w:val="clear" w:color="auto" w:fill="auto"/>
            <w:vAlign w:val="center"/>
          </w:tcPr>
          <w:p w14:paraId="59233B71" w14:textId="77777777" w:rsidR="009D0C2E" w:rsidRPr="00B364CB" w:rsidRDefault="009D0C2E" w:rsidP="009D0C2E">
            <w:pPr>
              <w:widowControl/>
              <w:jc w:val="center"/>
              <w:rPr>
                <w:rFonts w:cs="Arial"/>
                <w:sz w:val="20"/>
                <w:szCs w:val="20"/>
                <w:lang w:eastAsia="en-GB" w:bidi="ar-SA"/>
              </w:rPr>
            </w:pPr>
          </w:p>
        </w:tc>
        <w:tc>
          <w:tcPr>
            <w:tcW w:w="537" w:type="pct"/>
            <w:tcBorders>
              <w:left w:val="nil"/>
              <w:bottom w:val="single" w:sz="8" w:space="0" w:color="000000"/>
              <w:right w:val="single" w:sz="8" w:space="0" w:color="000000"/>
            </w:tcBorders>
            <w:shd w:val="clear" w:color="auto" w:fill="auto"/>
            <w:vAlign w:val="center"/>
          </w:tcPr>
          <w:p w14:paraId="37AC39B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LH</w:t>
            </w:r>
            <w:r w:rsidRPr="00603A27">
              <w:rPr>
                <w:rFonts w:cs="Arial"/>
                <w:sz w:val="20"/>
                <w:szCs w:val="20"/>
                <w:vertAlign w:val="subscript"/>
                <w:lang w:eastAsia="en-GB" w:bidi="ar-SA"/>
              </w:rPr>
              <w:t>2</w:t>
            </w:r>
          </w:p>
        </w:tc>
        <w:tc>
          <w:tcPr>
            <w:tcW w:w="616" w:type="pct"/>
            <w:vMerge/>
            <w:tcBorders>
              <w:top w:val="single" w:sz="8" w:space="0" w:color="000000"/>
              <w:left w:val="nil"/>
              <w:bottom w:val="single" w:sz="8" w:space="0" w:color="000000"/>
              <w:right w:val="single" w:sz="8" w:space="0" w:color="000000"/>
            </w:tcBorders>
            <w:shd w:val="clear" w:color="auto" w:fill="auto"/>
            <w:vAlign w:val="center"/>
          </w:tcPr>
          <w:p w14:paraId="652DF465" w14:textId="77777777" w:rsidR="009D0C2E" w:rsidRPr="00B364CB" w:rsidRDefault="009D0C2E" w:rsidP="009D0C2E">
            <w:pPr>
              <w:widowControl/>
              <w:jc w:val="center"/>
              <w:rPr>
                <w:rFonts w:cs="Arial"/>
                <w:sz w:val="20"/>
                <w:szCs w:val="20"/>
                <w:lang w:eastAsia="en-GB" w:bidi="ar-SA"/>
              </w:rPr>
            </w:pPr>
          </w:p>
        </w:tc>
        <w:tc>
          <w:tcPr>
            <w:tcW w:w="507" w:type="pct"/>
            <w:tcBorders>
              <w:left w:val="nil"/>
              <w:bottom w:val="single" w:sz="8" w:space="0" w:color="000000"/>
              <w:right w:val="single" w:sz="8" w:space="0" w:color="000000"/>
            </w:tcBorders>
            <w:shd w:val="clear" w:color="auto" w:fill="auto"/>
            <w:vAlign w:val="center"/>
          </w:tcPr>
          <w:p w14:paraId="2F05B04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c>
          <w:tcPr>
            <w:tcW w:w="668" w:type="pct"/>
            <w:tcBorders>
              <w:left w:val="nil"/>
              <w:bottom w:val="single" w:sz="8" w:space="0" w:color="000000"/>
              <w:right w:val="single" w:sz="4" w:space="0" w:color="auto"/>
            </w:tcBorders>
            <w:shd w:val="clear" w:color="auto" w:fill="auto"/>
            <w:vAlign w:val="center"/>
          </w:tcPr>
          <w:p w14:paraId="0847F7E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0.5</w:t>
            </w:r>
          </w:p>
        </w:tc>
        <w:tc>
          <w:tcPr>
            <w:tcW w:w="773" w:type="pct"/>
            <w:tcBorders>
              <w:left w:val="single" w:sz="4" w:space="0" w:color="auto"/>
              <w:bottom w:val="single" w:sz="8" w:space="0" w:color="000000"/>
              <w:right w:val="single" w:sz="8" w:space="0" w:color="auto"/>
            </w:tcBorders>
            <w:shd w:val="clear" w:color="auto" w:fill="auto"/>
            <w:vAlign w:val="center"/>
          </w:tcPr>
          <w:p w14:paraId="4BFEDCB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0.3</w:t>
            </w:r>
          </w:p>
        </w:tc>
      </w:tr>
      <w:tr w:rsidR="009D0C2E" w:rsidRPr="00B364CB" w14:paraId="587DD3B5" w14:textId="77777777" w:rsidTr="00120F40">
        <w:trPr>
          <w:trHeight w:val="106"/>
        </w:trPr>
        <w:tc>
          <w:tcPr>
            <w:tcW w:w="982" w:type="pct"/>
            <w:vMerge w:val="restart"/>
            <w:tcBorders>
              <w:top w:val="single" w:sz="8" w:space="0" w:color="000000"/>
              <w:left w:val="single" w:sz="8" w:space="0" w:color="000000"/>
              <w:right w:val="single" w:sz="8" w:space="0" w:color="000000"/>
            </w:tcBorders>
            <w:shd w:val="clear" w:color="auto" w:fill="auto"/>
            <w:vAlign w:val="center"/>
            <w:hideMark/>
          </w:tcPr>
          <w:p w14:paraId="4C73C13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w:t>
            </w:r>
          </w:p>
        </w:tc>
        <w:tc>
          <w:tcPr>
            <w:tcW w:w="916" w:type="pct"/>
            <w:gridSpan w:val="2"/>
            <w:vMerge w:val="restart"/>
            <w:tcBorders>
              <w:top w:val="single" w:sz="8" w:space="0" w:color="000000"/>
              <w:left w:val="nil"/>
              <w:right w:val="single" w:sz="8" w:space="0" w:color="000000"/>
            </w:tcBorders>
            <w:shd w:val="clear" w:color="auto" w:fill="auto"/>
            <w:vAlign w:val="center"/>
          </w:tcPr>
          <w:p w14:paraId="0FC8554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Labour</w:t>
            </w:r>
          </w:p>
        </w:tc>
        <w:tc>
          <w:tcPr>
            <w:tcW w:w="537" w:type="pct"/>
            <w:tcBorders>
              <w:top w:val="single" w:sz="8" w:space="0" w:color="000000"/>
              <w:left w:val="nil"/>
              <w:right w:val="single" w:sz="8" w:space="0" w:color="000000"/>
            </w:tcBorders>
            <w:shd w:val="clear" w:color="auto" w:fill="auto"/>
            <w:vAlign w:val="center"/>
          </w:tcPr>
          <w:p w14:paraId="137BD5F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700 bar</w:t>
            </w:r>
          </w:p>
        </w:tc>
        <w:tc>
          <w:tcPr>
            <w:tcW w:w="616" w:type="pct"/>
            <w:vMerge w:val="restart"/>
            <w:tcBorders>
              <w:top w:val="single" w:sz="8" w:space="0" w:color="000000"/>
              <w:left w:val="nil"/>
              <w:right w:val="single" w:sz="8" w:space="0" w:color="000000"/>
            </w:tcBorders>
            <w:shd w:val="clear" w:color="auto" w:fill="auto"/>
            <w:vAlign w:val="center"/>
          </w:tcPr>
          <w:p w14:paraId="10CC2A6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person h/kh</w:t>
            </w:r>
          </w:p>
        </w:tc>
        <w:tc>
          <w:tcPr>
            <w:tcW w:w="507" w:type="pct"/>
            <w:tcBorders>
              <w:top w:val="single" w:sz="8" w:space="0" w:color="000000"/>
              <w:left w:val="nil"/>
              <w:right w:val="single" w:sz="8" w:space="0" w:color="000000"/>
            </w:tcBorders>
            <w:shd w:val="clear" w:color="auto" w:fill="auto"/>
            <w:vAlign w:val="center"/>
          </w:tcPr>
          <w:p w14:paraId="0383FB8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70</w:t>
            </w:r>
          </w:p>
        </w:tc>
        <w:tc>
          <w:tcPr>
            <w:tcW w:w="668" w:type="pct"/>
            <w:tcBorders>
              <w:top w:val="single" w:sz="8" w:space="0" w:color="000000"/>
              <w:left w:val="nil"/>
              <w:right w:val="single" w:sz="4" w:space="0" w:color="auto"/>
            </w:tcBorders>
            <w:shd w:val="clear" w:color="auto" w:fill="auto"/>
            <w:vAlign w:val="center"/>
          </w:tcPr>
          <w:p w14:paraId="795432E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28</w:t>
            </w:r>
          </w:p>
        </w:tc>
        <w:tc>
          <w:tcPr>
            <w:tcW w:w="773" w:type="pct"/>
            <w:tcBorders>
              <w:top w:val="single" w:sz="8" w:space="0" w:color="000000"/>
              <w:left w:val="single" w:sz="4" w:space="0" w:color="auto"/>
              <w:right w:val="single" w:sz="8" w:space="0" w:color="auto"/>
            </w:tcBorders>
            <w:shd w:val="clear" w:color="auto" w:fill="auto"/>
            <w:vAlign w:val="center"/>
          </w:tcPr>
          <w:p w14:paraId="2E323DE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16</w:t>
            </w:r>
          </w:p>
        </w:tc>
      </w:tr>
      <w:tr w:rsidR="009D0C2E" w:rsidRPr="00B364CB" w14:paraId="754B37EF" w14:textId="77777777" w:rsidTr="00120F40">
        <w:trPr>
          <w:trHeight w:val="105"/>
        </w:trPr>
        <w:tc>
          <w:tcPr>
            <w:tcW w:w="982" w:type="pct"/>
            <w:vMerge/>
            <w:tcBorders>
              <w:left w:val="single" w:sz="8" w:space="0" w:color="000000"/>
              <w:right w:val="single" w:sz="8" w:space="0" w:color="000000"/>
            </w:tcBorders>
            <w:shd w:val="clear" w:color="auto" w:fill="auto"/>
            <w:vAlign w:val="center"/>
          </w:tcPr>
          <w:p w14:paraId="6E2FAC34" w14:textId="77777777" w:rsidR="009D0C2E" w:rsidRPr="00B364CB" w:rsidRDefault="009D0C2E" w:rsidP="009D0C2E">
            <w:pPr>
              <w:widowControl/>
              <w:jc w:val="center"/>
              <w:rPr>
                <w:rFonts w:cs="Arial"/>
                <w:sz w:val="20"/>
                <w:szCs w:val="20"/>
                <w:lang w:eastAsia="en-GB" w:bidi="ar-SA"/>
              </w:rPr>
            </w:pPr>
          </w:p>
        </w:tc>
        <w:tc>
          <w:tcPr>
            <w:tcW w:w="916" w:type="pct"/>
            <w:gridSpan w:val="2"/>
            <w:vMerge/>
            <w:tcBorders>
              <w:left w:val="nil"/>
              <w:right w:val="single" w:sz="8" w:space="0" w:color="000000"/>
            </w:tcBorders>
            <w:shd w:val="clear" w:color="auto" w:fill="auto"/>
            <w:vAlign w:val="center"/>
          </w:tcPr>
          <w:p w14:paraId="35EE44D9" w14:textId="77777777" w:rsidR="009D0C2E" w:rsidRPr="00B364CB" w:rsidRDefault="009D0C2E" w:rsidP="009D0C2E">
            <w:pPr>
              <w:widowControl/>
              <w:jc w:val="center"/>
              <w:rPr>
                <w:rFonts w:cs="Arial"/>
                <w:sz w:val="20"/>
                <w:szCs w:val="20"/>
                <w:lang w:eastAsia="en-GB" w:bidi="ar-SA"/>
              </w:rPr>
            </w:pPr>
          </w:p>
        </w:tc>
        <w:tc>
          <w:tcPr>
            <w:tcW w:w="537" w:type="pct"/>
            <w:tcBorders>
              <w:top w:val="nil"/>
              <w:left w:val="nil"/>
              <w:right w:val="single" w:sz="8" w:space="0" w:color="000000"/>
            </w:tcBorders>
            <w:shd w:val="clear" w:color="auto" w:fill="auto"/>
            <w:vAlign w:val="center"/>
          </w:tcPr>
          <w:p w14:paraId="10D3F95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350 bar</w:t>
            </w:r>
          </w:p>
        </w:tc>
        <w:tc>
          <w:tcPr>
            <w:tcW w:w="616" w:type="pct"/>
            <w:vMerge/>
            <w:tcBorders>
              <w:left w:val="nil"/>
              <w:right w:val="single" w:sz="8" w:space="0" w:color="000000"/>
            </w:tcBorders>
            <w:shd w:val="clear" w:color="auto" w:fill="auto"/>
            <w:vAlign w:val="center"/>
          </w:tcPr>
          <w:p w14:paraId="2F118DDF" w14:textId="77777777" w:rsidR="009D0C2E" w:rsidRPr="00B364CB" w:rsidRDefault="009D0C2E" w:rsidP="009D0C2E">
            <w:pPr>
              <w:widowControl/>
              <w:jc w:val="center"/>
              <w:rPr>
                <w:rFonts w:cs="Arial"/>
                <w:sz w:val="20"/>
                <w:szCs w:val="20"/>
                <w:lang w:eastAsia="en-GB" w:bidi="ar-SA"/>
              </w:rPr>
            </w:pPr>
          </w:p>
        </w:tc>
        <w:tc>
          <w:tcPr>
            <w:tcW w:w="507" w:type="pct"/>
            <w:tcBorders>
              <w:top w:val="nil"/>
              <w:left w:val="nil"/>
              <w:right w:val="single" w:sz="8" w:space="0" w:color="000000"/>
            </w:tcBorders>
            <w:shd w:val="clear" w:color="auto" w:fill="auto"/>
            <w:vAlign w:val="center"/>
          </w:tcPr>
          <w:p w14:paraId="4F7C62E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42</w:t>
            </w:r>
          </w:p>
        </w:tc>
        <w:tc>
          <w:tcPr>
            <w:tcW w:w="668" w:type="pct"/>
            <w:tcBorders>
              <w:top w:val="nil"/>
              <w:left w:val="nil"/>
              <w:right w:val="single" w:sz="4" w:space="0" w:color="auto"/>
            </w:tcBorders>
            <w:shd w:val="clear" w:color="auto" w:fill="auto"/>
            <w:vAlign w:val="center"/>
          </w:tcPr>
          <w:p w14:paraId="71EA146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17</w:t>
            </w:r>
          </w:p>
        </w:tc>
        <w:tc>
          <w:tcPr>
            <w:tcW w:w="773" w:type="pct"/>
            <w:tcBorders>
              <w:left w:val="single" w:sz="4" w:space="0" w:color="auto"/>
              <w:right w:val="single" w:sz="8" w:space="0" w:color="auto"/>
            </w:tcBorders>
            <w:shd w:val="clear" w:color="auto" w:fill="auto"/>
            <w:vAlign w:val="center"/>
          </w:tcPr>
          <w:p w14:paraId="3C1E666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w:t>
            </w:r>
          </w:p>
        </w:tc>
      </w:tr>
      <w:tr w:rsidR="009D0C2E" w:rsidRPr="00B364CB" w14:paraId="504F1D70" w14:textId="77777777" w:rsidTr="00120F40">
        <w:trPr>
          <w:trHeight w:val="105"/>
        </w:trPr>
        <w:tc>
          <w:tcPr>
            <w:tcW w:w="982" w:type="pct"/>
            <w:vMerge/>
            <w:tcBorders>
              <w:left w:val="single" w:sz="8" w:space="0" w:color="000000"/>
              <w:bottom w:val="single" w:sz="8" w:space="0" w:color="000000"/>
              <w:right w:val="single" w:sz="8" w:space="0" w:color="000000"/>
            </w:tcBorders>
            <w:shd w:val="clear" w:color="auto" w:fill="auto"/>
            <w:vAlign w:val="center"/>
          </w:tcPr>
          <w:p w14:paraId="61ADC6B4" w14:textId="77777777" w:rsidR="009D0C2E" w:rsidRPr="00B364CB" w:rsidRDefault="009D0C2E" w:rsidP="009D0C2E">
            <w:pPr>
              <w:widowControl/>
              <w:jc w:val="center"/>
              <w:rPr>
                <w:rFonts w:cs="Arial"/>
                <w:sz w:val="20"/>
                <w:szCs w:val="20"/>
                <w:lang w:eastAsia="en-GB" w:bidi="ar-SA"/>
              </w:rPr>
            </w:pPr>
          </w:p>
        </w:tc>
        <w:tc>
          <w:tcPr>
            <w:tcW w:w="916" w:type="pct"/>
            <w:gridSpan w:val="2"/>
            <w:vMerge/>
            <w:tcBorders>
              <w:left w:val="nil"/>
              <w:bottom w:val="single" w:sz="8" w:space="0" w:color="000000"/>
              <w:right w:val="single" w:sz="8" w:space="0" w:color="000000"/>
            </w:tcBorders>
            <w:shd w:val="clear" w:color="auto" w:fill="auto"/>
            <w:vAlign w:val="center"/>
          </w:tcPr>
          <w:p w14:paraId="62ACE365" w14:textId="77777777" w:rsidR="009D0C2E" w:rsidRPr="00B364CB" w:rsidRDefault="009D0C2E" w:rsidP="009D0C2E">
            <w:pPr>
              <w:widowControl/>
              <w:jc w:val="center"/>
              <w:rPr>
                <w:rFonts w:cs="Arial"/>
                <w:sz w:val="20"/>
                <w:szCs w:val="20"/>
                <w:lang w:eastAsia="en-GB" w:bidi="ar-SA"/>
              </w:rPr>
            </w:pPr>
          </w:p>
        </w:tc>
        <w:tc>
          <w:tcPr>
            <w:tcW w:w="537" w:type="pct"/>
            <w:tcBorders>
              <w:top w:val="nil"/>
              <w:left w:val="nil"/>
              <w:bottom w:val="single" w:sz="8" w:space="0" w:color="000000"/>
              <w:right w:val="single" w:sz="8" w:space="0" w:color="000000"/>
            </w:tcBorders>
            <w:shd w:val="clear" w:color="auto" w:fill="auto"/>
            <w:vAlign w:val="center"/>
          </w:tcPr>
          <w:p w14:paraId="1D9C8B2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LH</w:t>
            </w:r>
            <w:r w:rsidRPr="00603A27">
              <w:rPr>
                <w:rFonts w:cs="Arial"/>
                <w:sz w:val="20"/>
                <w:szCs w:val="20"/>
                <w:vertAlign w:val="subscript"/>
                <w:lang w:eastAsia="en-GB" w:bidi="ar-SA"/>
              </w:rPr>
              <w:t>2</w:t>
            </w:r>
          </w:p>
        </w:tc>
        <w:tc>
          <w:tcPr>
            <w:tcW w:w="616" w:type="pct"/>
            <w:vMerge/>
            <w:tcBorders>
              <w:left w:val="nil"/>
              <w:bottom w:val="single" w:sz="8" w:space="0" w:color="000000"/>
              <w:right w:val="single" w:sz="8" w:space="0" w:color="000000"/>
            </w:tcBorders>
            <w:shd w:val="clear" w:color="auto" w:fill="auto"/>
            <w:vAlign w:val="center"/>
          </w:tcPr>
          <w:p w14:paraId="19927158" w14:textId="77777777" w:rsidR="009D0C2E" w:rsidRPr="00B364CB" w:rsidRDefault="009D0C2E" w:rsidP="009D0C2E">
            <w:pPr>
              <w:widowControl/>
              <w:jc w:val="center"/>
              <w:rPr>
                <w:rFonts w:cs="Arial"/>
                <w:sz w:val="20"/>
                <w:szCs w:val="20"/>
                <w:lang w:eastAsia="en-GB" w:bidi="ar-SA"/>
              </w:rPr>
            </w:pPr>
          </w:p>
        </w:tc>
        <w:tc>
          <w:tcPr>
            <w:tcW w:w="507" w:type="pct"/>
            <w:tcBorders>
              <w:top w:val="nil"/>
              <w:left w:val="nil"/>
              <w:bottom w:val="single" w:sz="8" w:space="0" w:color="000000"/>
              <w:right w:val="single" w:sz="8" w:space="0" w:color="000000"/>
            </w:tcBorders>
            <w:shd w:val="clear" w:color="auto" w:fill="auto"/>
            <w:vAlign w:val="center"/>
          </w:tcPr>
          <w:p w14:paraId="2212F63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70</w:t>
            </w:r>
          </w:p>
        </w:tc>
        <w:tc>
          <w:tcPr>
            <w:tcW w:w="668" w:type="pct"/>
            <w:tcBorders>
              <w:top w:val="nil"/>
              <w:left w:val="nil"/>
              <w:bottom w:val="single" w:sz="8" w:space="0" w:color="000000"/>
              <w:right w:val="single" w:sz="4" w:space="0" w:color="auto"/>
            </w:tcBorders>
            <w:shd w:val="clear" w:color="auto" w:fill="auto"/>
            <w:vAlign w:val="center"/>
          </w:tcPr>
          <w:p w14:paraId="4C7C6D2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28</w:t>
            </w:r>
          </w:p>
        </w:tc>
        <w:tc>
          <w:tcPr>
            <w:tcW w:w="773" w:type="pct"/>
            <w:tcBorders>
              <w:left w:val="single" w:sz="4" w:space="0" w:color="auto"/>
              <w:bottom w:val="single" w:sz="8" w:space="0" w:color="000000"/>
              <w:right w:val="single" w:sz="8" w:space="0" w:color="auto"/>
            </w:tcBorders>
            <w:shd w:val="clear" w:color="auto" w:fill="auto"/>
            <w:vAlign w:val="center"/>
          </w:tcPr>
          <w:p w14:paraId="5C7359F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16</w:t>
            </w:r>
          </w:p>
        </w:tc>
      </w:tr>
      <w:tr w:rsidR="009D0C2E" w:rsidRPr="00B364CB" w14:paraId="1743FDB7" w14:textId="77777777" w:rsidTr="00120F40">
        <w:trPr>
          <w:trHeight w:val="369"/>
        </w:trPr>
        <w:tc>
          <w:tcPr>
            <w:tcW w:w="982" w:type="pct"/>
            <w:vMerge w:val="restart"/>
            <w:tcBorders>
              <w:top w:val="single" w:sz="8" w:space="0" w:color="000000"/>
              <w:left w:val="single" w:sz="8" w:space="0" w:color="000000"/>
              <w:right w:val="single" w:sz="8" w:space="0" w:color="000000"/>
            </w:tcBorders>
            <w:shd w:val="clear" w:color="auto" w:fill="auto"/>
            <w:vAlign w:val="center"/>
            <w:hideMark/>
          </w:tcPr>
          <w:p w14:paraId="0629412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6</w:t>
            </w:r>
          </w:p>
        </w:tc>
        <w:tc>
          <w:tcPr>
            <w:tcW w:w="916" w:type="pct"/>
            <w:gridSpan w:val="2"/>
            <w:vMerge w:val="restart"/>
            <w:tcBorders>
              <w:top w:val="single" w:sz="8" w:space="0" w:color="000000"/>
              <w:left w:val="nil"/>
              <w:right w:val="single" w:sz="8" w:space="0" w:color="000000"/>
            </w:tcBorders>
            <w:shd w:val="clear" w:color="auto" w:fill="auto"/>
            <w:vAlign w:val="center"/>
          </w:tcPr>
          <w:p w14:paraId="77B6665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CAPEX for the HRS 700 bar (200-1,000 kg/d)</w:t>
            </w:r>
          </w:p>
        </w:tc>
        <w:tc>
          <w:tcPr>
            <w:tcW w:w="537" w:type="pct"/>
            <w:tcBorders>
              <w:top w:val="single" w:sz="8" w:space="0" w:color="000000"/>
              <w:left w:val="nil"/>
              <w:right w:val="single" w:sz="8" w:space="0" w:color="000000"/>
            </w:tcBorders>
            <w:shd w:val="clear" w:color="auto" w:fill="auto"/>
            <w:vAlign w:val="center"/>
          </w:tcPr>
          <w:p w14:paraId="2B80EF4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700 bar</w:t>
            </w:r>
          </w:p>
        </w:tc>
        <w:tc>
          <w:tcPr>
            <w:tcW w:w="616" w:type="pct"/>
            <w:vMerge w:val="restart"/>
            <w:tcBorders>
              <w:top w:val="single" w:sz="8" w:space="0" w:color="000000"/>
              <w:left w:val="nil"/>
              <w:right w:val="single" w:sz="8" w:space="0" w:color="000000"/>
            </w:tcBorders>
            <w:shd w:val="clear" w:color="auto" w:fill="auto"/>
            <w:vAlign w:val="center"/>
          </w:tcPr>
          <w:p w14:paraId="0C6817F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 /</w:t>
            </w:r>
          </w:p>
          <w:p w14:paraId="106D0A4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(kg/day)</w:t>
            </w:r>
          </w:p>
        </w:tc>
        <w:tc>
          <w:tcPr>
            <w:tcW w:w="507" w:type="pct"/>
            <w:tcBorders>
              <w:top w:val="single" w:sz="8" w:space="0" w:color="000000"/>
              <w:left w:val="nil"/>
              <w:right w:val="single" w:sz="8" w:space="0" w:color="000000"/>
            </w:tcBorders>
            <w:shd w:val="clear" w:color="auto" w:fill="auto"/>
            <w:vAlign w:val="center"/>
          </w:tcPr>
          <w:p w14:paraId="4230C0BA" w14:textId="77777777" w:rsidR="009D0C2E" w:rsidRPr="00B364CB" w:rsidRDefault="009D0C2E" w:rsidP="009D0C2E">
            <w:pPr>
              <w:widowControl/>
              <w:jc w:val="center"/>
              <w:rPr>
                <w:rFonts w:cs="Arial"/>
                <w:sz w:val="20"/>
                <w:szCs w:val="20"/>
                <w:lang w:eastAsia="en-GB" w:bidi="ar-SA"/>
              </w:rPr>
            </w:pPr>
            <w:r w:rsidRPr="00B364CB">
              <w:rPr>
                <w:rFonts w:cs="Arial"/>
                <w:iCs/>
                <w:sz w:val="21"/>
                <w:szCs w:val="21"/>
                <w:lang w:eastAsia="en-GB" w:bidi="ar-SA"/>
              </w:rPr>
              <w:t>2-6</w:t>
            </w:r>
          </w:p>
        </w:tc>
        <w:tc>
          <w:tcPr>
            <w:tcW w:w="668" w:type="pct"/>
            <w:tcBorders>
              <w:top w:val="single" w:sz="8" w:space="0" w:color="000000"/>
              <w:left w:val="nil"/>
              <w:right w:val="single" w:sz="4" w:space="0" w:color="auto"/>
            </w:tcBorders>
            <w:shd w:val="clear" w:color="auto" w:fill="auto"/>
            <w:vAlign w:val="center"/>
          </w:tcPr>
          <w:p w14:paraId="635E8579" w14:textId="77777777" w:rsidR="009D0C2E" w:rsidRPr="00B364CB" w:rsidRDefault="009D0C2E" w:rsidP="009D0C2E">
            <w:pPr>
              <w:widowControl/>
              <w:jc w:val="center"/>
              <w:rPr>
                <w:rFonts w:cs="Arial"/>
                <w:sz w:val="20"/>
                <w:szCs w:val="20"/>
                <w:lang w:eastAsia="en-GB" w:bidi="ar-SA"/>
              </w:rPr>
            </w:pPr>
            <w:r w:rsidRPr="00B364CB">
              <w:rPr>
                <w:rFonts w:cs="Arial"/>
                <w:iCs/>
                <w:sz w:val="21"/>
                <w:szCs w:val="21"/>
                <w:lang w:eastAsia="en-GB" w:bidi="ar-SA"/>
              </w:rPr>
              <w:t>1.5-4</w:t>
            </w:r>
          </w:p>
        </w:tc>
        <w:tc>
          <w:tcPr>
            <w:tcW w:w="773" w:type="pct"/>
            <w:tcBorders>
              <w:top w:val="single" w:sz="8" w:space="0" w:color="000000"/>
              <w:left w:val="single" w:sz="4" w:space="0" w:color="auto"/>
              <w:right w:val="single" w:sz="8" w:space="0" w:color="auto"/>
            </w:tcBorders>
            <w:shd w:val="clear" w:color="auto" w:fill="auto"/>
            <w:vAlign w:val="center"/>
          </w:tcPr>
          <w:p w14:paraId="3C334DFF" w14:textId="77777777" w:rsidR="009D0C2E" w:rsidRPr="00B364CB" w:rsidRDefault="009D0C2E" w:rsidP="009D0C2E">
            <w:pPr>
              <w:widowControl/>
              <w:jc w:val="center"/>
              <w:rPr>
                <w:rFonts w:cs="Arial"/>
                <w:sz w:val="20"/>
                <w:szCs w:val="20"/>
                <w:lang w:eastAsia="en-GB" w:bidi="ar-SA"/>
              </w:rPr>
            </w:pPr>
            <w:r w:rsidRPr="00B364CB">
              <w:rPr>
                <w:rFonts w:cs="Arial"/>
                <w:iCs/>
                <w:sz w:val="21"/>
                <w:szCs w:val="21"/>
                <w:lang w:eastAsia="en-GB" w:bidi="ar-SA"/>
              </w:rPr>
              <w:t>1-3</w:t>
            </w:r>
          </w:p>
        </w:tc>
      </w:tr>
      <w:tr w:rsidR="009D0C2E" w:rsidRPr="00B364CB" w14:paraId="1EDD5C4D" w14:textId="77777777" w:rsidTr="00120F40">
        <w:trPr>
          <w:trHeight w:val="387"/>
        </w:trPr>
        <w:tc>
          <w:tcPr>
            <w:tcW w:w="982" w:type="pct"/>
            <w:vMerge/>
            <w:tcBorders>
              <w:left w:val="single" w:sz="8" w:space="0" w:color="000000"/>
              <w:right w:val="single" w:sz="8" w:space="0" w:color="000000"/>
            </w:tcBorders>
            <w:shd w:val="clear" w:color="auto" w:fill="auto"/>
            <w:vAlign w:val="center"/>
          </w:tcPr>
          <w:p w14:paraId="2669134C" w14:textId="77777777" w:rsidR="009D0C2E" w:rsidRPr="00B364CB" w:rsidRDefault="009D0C2E" w:rsidP="009D0C2E">
            <w:pPr>
              <w:widowControl/>
              <w:jc w:val="center"/>
              <w:rPr>
                <w:rFonts w:cs="Arial"/>
                <w:sz w:val="20"/>
                <w:szCs w:val="20"/>
                <w:lang w:eastAsia="en-GB" w:bidi="ar-SA"/>
              </w:rPr>
            </w:pPr>
          </w:p>
        </w:tc>
        <w:tc>
          <w:tcPr>
            <w:tcW w:w="916" w:type="pct"/>
            <w:gridSpan w:val="2"/>
            <w:vMerge/>
            <w:tcBorders>
              <w:left w:val="nil"/>
              <w:right w:val="single" w:sz="8" w:space="0" w:color="000000"/>
            </w:tcBorders>
            <w:shd w:val="clear" w:color="auto" w:fill="auto"/>
            <w:vAlign w:val="center"/>
          </w:tcPr>
          <w:p w14:paraId="28161ED5" w14:textId="77777777" w:rsidR="009D0C2E" w:rsidRPr="00B364CB" w:rsidRDefault="009D0C2E" w:rsidP="009D0C2E">
            <w:pPr>
              <w:widowControl/>
              <w:jc w:val="center"/>
              <w:rPr>
                <w:rFonts w:cs="Arial"/>
                <w:sz w:val="20"/>
                <w:szCs w:val="20"/>
                <w:lang w:eastAsia="en-GB" w:bidi="ar-SA"/>
              </w:rPr>
            </w:pPr>
          </w:p>
        </w:tc>
        <w:tc>
          <w:tcPr>
            <w:tcW w:w="537" w:type="pct"/>
            <w:tcBorders>
              <w:top w:val="nil"/>
              <w:left w:val="nil"/>
              <w:right w:val="single" w:sz="8" w:space="0" w:color="000000"/>
            </w:tcBorders>
            <w:shd w:val="clear" w:color="auto" w:fill="auto"/>
            <w:vAlign w:val="center"/>
          </w:tcPr>
          <w:p w14:paraId="73A98B2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350 bar</w:t>
            </w:r>
          </w:p>
        </w:tc>
        <w:tc>
          <w:tcPr>
            <w:tcW w:w="616" w:type="pct"/>
            <w:vMerge/>
            <w:tcBorders>
              <w:left w:val="nil"/>
              <w:right w:val="single" w:sz="8" w:space="0" w:color="000000"/>
            </w:tcBorders>
            <w:shd w:val="clear" w:color="auto" w:fill="auto"/>
            <w:vAlign w:val="center"/>
          </w:tcPr>
          <w:p w14:paraId="4A4C0C5E" w14:textId="77777777" w:rsidR="009D0C2E" w:rsidRPr="00B364CB" w:rsidRDefault="009D0C2E" w:rsidP="009D0C2E">
            <w:pPr>
              <w:widowControl/>
              <w:jc w:val="center"/>
              <w:rPr>
                <w:rFonts w:cs="Arial"/>
                <w:sz w:val="20"/>
                <w:szCs w:val="20"/>
                <w:lang w:eastAsia="en-GB" w:bidi="ar-SA"/>
              </w:rPr>
            </w:pPr>
          </w:p>
        </w:tc>
        <w:tc>
          <w:tcPr>
            <w:tcW w:w="507" w:type="pct"/>
            <w:tcBorders>
              <w:top w:val="nil"/>
              <w:left w:val="nil"/>
              <w:right w:val="single" w:sz="8" w:space="0" w:color="000000"/>
            </w:tcBorders>
            <w:shd w:val="clear" w:color="auto" w:fill="auto"/>
            <w:vAlign w:val="center"/>
          </w:tcPr>
          <w:p w14:paraId="62834AC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0.8-3.5</w:t>
            </w:r>
          </w:p>
        </w:tc>
        <w:tc>
          <w:tcPr>
            <w:tcW w:w="668" w:type="pct"/>
            <w:tcBorders>
              <w:top w:val="nil"/>
              <w:left w:val="nil"/>
              <w:right w:val="single" w:sz="4" w:space="0" w:color="auto"/>
            </w:tcBorders>
            <w:shd w:val="clear" w:color="auto" w:fill="auto"/>
            <w:vAlign w:val="center"/>
          </w:tcPr>
          <w:p w14:paraId="61D8FCA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0.65-2.5</w:t>
            </w:r>
          </w:p>
        </w:tc>
        <w:tc>
          <w:tcPr>
            <w:tcW w:w="773" w:type="pct"/>
            <w:tcBorders>
              <w:left w:val="single" w:sz="4" w:space="0" w:color="auto"/>
              <w:right w:val="single" w:sz="8" w:space="0" w:color="auto"/>
            </w:tcBorders>
            <w:shd w:val="clear" w:color="auto" w:fill="auto"/>
            <w:vAlign w:val="center"/>
          </w:tcPr>
          <w:p w14:paraId="5C61614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0.5-2</w:t>
            </w:r>
          </w:p>
        </w:tc>
      </w:tr>
      <w:tr w:rsidR="009D0C2E" w:rsidRPr="00B364CB" w14:paraId="1C69B0D8" w14:textId="77777777" w:rsidTr="00120F40">
        <w:trPr>
          <w:trHeight w:val="281"/>
        </w:trPr>
        <w:tc>
          <w:tcPr>
            <w:tcW w:w="982" w:type="pct"/>
            <w:vMerge/>
            <w:tcBorders>
              <w:left w:val="single" w:sz="8" w:space="0" w:color="000000"/>
              <w:bottom w:val="single" w:sz="8" w:space="0" w:color="000000"/>
              <w:right w:val="single" w:sz="8" w:space="0" w:color="000000"/>
            </w:tcBorders>
            <w:shd w:val="clear" w:color="auto" w:fill="auto"/>
            <w:vAlign w:val="center"/>
          </w:tcPr>
          <w:p w14:paraId="2D2AAD59" w14:textId="77777777" w:rsidR="009D0C2E" w:rsidRPr="00B364CB" w:rsidRDefault="009D0C2E" w:rsidP="009D0C2E">
            <w:pPr>
              <w:widowControl/>
              <w:jc w:val="center"/>
              <w:rPr>
                <w:rFonts w:cs="Arial"/>
                <w:sz w:val="20"/>
                <w:szCs w:val="20"/>
                <w:lang w:eastAsia="en-GB" w:bidi="ar-SA"/>
              </w:rPr>
            </w:pPr>
          </w:p>
        </w:tc>
        <w:tc>
          <w:tcPr>
            <w:tcW w:w="916" w:type="pct"/>
            <w:gridSpan w:val="2"/>
            <w:vMerge/>
            <w:tcBorders>
              <w:left w:val="nil"/>
              <w:bottom w:val="single" w:sz="8" w:space="0" w:color="000000"/>
              <w:right w:val="single" w:sz="8" w:space="0" w:color="000000"/>
            </w:tcBorders>
            <w:shd w:val="clear" w:color="auto" w:fill="auto"/>
            <w:vAlign w:val="center"/>
          </w:tcPr>
          <w:p w14:paraId="5948EBB9" w14:textId="77777777" w:rsidR="009D0C2E" w:rsidRPr="00B364CB" w:rsidRDefault="009D0C2E" w:rsidP="009D0C2E">
            <w:pPr>
              <w:widowControl/>
              <w:jc w:val="center"/>
              <w:rPr>
                <w:rFonts w:cs="Arial"/>
                <w:sz w:val="20"/>
                <w:szCs w:val="20"/>
                <w:lang w:eastAsia="en-GB" w:bidi="ar-SA"/>
              </w:rPr>
            </w:pPr>
          </w:p>
        </w:tc>
        <w:tc>
          <w:tcPr>
            <w:tcW w:w="537" w:type="pct"/>
            <w:tcBorders>
              <w:top w:val="nil"/>
              <w:left w:val="nil"/>
              <w:bottom w:val="single" w:sz="8" w:space="0" w:color="000000"/>
              <w:right w:val="single" w:sz="8" w:space="0" w:color="000000"/>
            </w:tcBorders>
            <w:shd w:val="clear" w:color="auto" w:fill="auto"/>
            <w:vAlign w:val="center"/>
          </w:tcPr>
          <w:p w14:paraId="5D88017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LH</w:t>
            </w:r>
            <w:r w:rsidRPr="00603A27">
              <w:rPr>
                <w:rFonts w:cs="Arial"/>
                <w:sz w:val="20"/>
                <w:szCs w:val="20"/>
                <w:vertAlign w:val="subscript"/>
                <w:lang w:eastAsia="en-GB" w:bidi="ar-SA"/>
              </w:rPr>
              <w:t>2</w:t>
            </w:r>
          </w:p>
        </w:tc>
        <w:tc>
          <w:tcPr>
            <w:tcW w:w="616" w:type="pct"/>
            <w:vMerge/>
            <w:tcBorders>
              <w:left w:val="nil"/>
              <w:bottom w:val="single" w:sz="8" w:space="0" w:color="000000"/>
              <w:right w:val="single" w:sz="8" w:space="0" w:color="000000"/>
            </w:tcBorders>
            <w:shd w:val="clear" w:color="auto" w:fill="auto"/>
            <w:vAlign w:val="center"/>
          </w:tcPr>
          <w:p w14:paraId="45ADAD64" w14:textId="77777777" w:rsidR="009D0C2E" w:rsidRPr="00B364CB" w:rsidRDefault="009D0C2E" w:rsidP="009D0C2E">
            <w:pPr>
              <w:widowControl/>
              <w:jc w:val="center"/>
              <w:rPr>
                <w:rFonts w:cs="Arial"/>
                <w:sz w:val="20"/>
                <w:szCs w:val="20"/>
                <w:lang w:eastAsia="en-GB" w:bidi="ar-SA"/>
              </w:rPr>
            </w:pPr>
          </w:p>
        </w:tc>
        <w:tc>
          <w:tcPr>
            <w:tcW w:w="507" w:type="pct"/>
            <w:tcBorders>
              <w:top w:val="nil"/>
              <w:left w:val="nil"/>
              <w:bottom w:val="single" w:sz="8" w:space="0" w:color="000000"/>
              <w:right w:val="single" w:sz="8" w:space="0" w:color="000000"/>
            </w:tcBorders>
            <w:shd w:val="clear" w:color="auto" w:fill="auto"/>
            <w:vAlign w:val="center"/>
          </w:tcPr>
          <w:p w14:paraId="32E1A9C6" w14:textId="77777777" w:rsidR="009D0C2E" w:rsidRPr="00B364CB" w:rsidRDefault="009D0C2E" w:rsidP="009D0C2E">
            <w:pPr>
              <w:widowControl/>
              <w:jc w:val="center"/>
              <w:rPr>
                <w:rFonts w:cs="Arial"/>
                <w:sz w:val="20"/>
                <w:szCs w:val="20"/>
                <w:lang w:eastAsia="en-GB" w:bidi="ar-SA"/>
              </w:rPr>
            </w:pPr>
            <w:r w:rsidRPr="00B364CB">
              <w:rPr>
                <w:rFonts w:cs="Arial"/>
                <w:iCs/>
                <w:sz w:val="21"/>
                <w:szCs w:val="21"/>
                <w:lang w:eastAsia="en-GB" w:bidi="ar-SA"/>
              </w:rPr>
              <w:t>2-6</w:t>
            </w:r>
          </w:p>
        </w:tc>
        <w:tc>
          <w:tcPr>
            <w:tcW w:w="668" w:type="pct"/>
            <w:tcBorders>
              <w:top w:val="nil"/>
              <w:left w:val="nil"/>
              <w:bottom w:val="single" w:sz="8" w:space="0" w:color="000000"/>
              <w:right w:val="single" w:sz="4" w:space="0" w:color="auto"/>
            </w:tcBorders>
            <w:shd w:val="clear" w:color="auto" w:fill="auto"/>
            <w:vAlign w:val="center"/>
          </w:tcPr>
          <w:p w14:paraId="163ADF9B" w14:textId="77777777" w:rsidR="009D0C2E" w:rsidRPr="00B364CB" w:rsidRDefault="009D0C2E" w:rsidP="009D0C2E">
            <w:pPr>
              <w:widowControl/>
              <w:jc w:val="center"/>
              <w:rPr>
                <w:rFonts w:cs="Arial"/>
                <w:sz w:val="20"/>
                <w:szCs w:val="20"/>
                <w:lang w:eastAsia="en-GB" w:bidi="ar-SA"/>
              </w:rPr>
            </w:pPr>
            <w:r w:rsidRPr="00B364CB">
              <w:rPr>
                <w:rFonts w:cs="Arial"/>
                <w:iCs/>
                <w:sz w:val="21"/>
                <w:szCs w:val="21"/>
                <w:lang w:eastAsia="en-GB" w:bidi="ar-SA"/>
              </w:rPr>
              <w:t>1.5-4</w:t>
            </w:r>
          </w:p>
        </w:tc>
        <w:tc>
          <w:tcPr>
            <w:tcW w:w="773" w:type="pct"/>
            <w:tcBorders>
              <w:left w:val="single" w:sz="4" w:space="0" w:color="auto"/>
              <w:bottom w:val="single" w:sz="8" w:space="0" w:color="000000"/>
              <w:right w:val="single" w:sz="8" w:space="0" w:color="auto"/>
            </w:tcBorders>
            <w:shd w:val="clear" w:color="auto" w:fill="auto"/>
            <w:vAlign w:val="center"/>
          </w:tcPr>
          <w:p w14:paraId="6BA10C81" w14:textId="77777777" w:rsidR="009D0C2E" w:rsidRPr="00B364CB" w:rsidRDefault="009D0C2E" w:rsidP="009D0C2E">
            <w:pPr>
              <w:widowControl/>
              <w:jc w:val="center"/>
              <w:rPr>
                <w:rFonts w:cs="Arial"/>
                <w:sz w:val="20"/>
                <w:szCs w:val="20"/>
                <w:lang w:eastAsia="en-GB" w:bidi="ar-SA"/>
              </w:rPr>
            </w:pPr>
            <w:r w:rsidRPr="00B364CB">
              <w:rPr>
                <w:rFonts w:cs="Arial"/>
                <w:iCs/>
                <w:sz w:val="21"/>
                <w:szCs w:val="21"/>
                <w:lang w:eastAsia="en-GB" w:bidi="ar-SA"/>
              </w:rPr>
              <w:t>1-3</w:t>
            </w:r>
          </w:p>
        </w:tc>
      </w:tr>
      <w:tr w:rsidR="009D0C2E" w:rsidRPr="00B364CB" w14:paraId="4EBBC6B9" w14:textId="77777777" w:rsidTr="00120F40">
        <w:trPr>
          <w:trHeight w:val="283"/>
        </w:trPr>
        <w:tc>
          <w:tcPr>
            <w:tcW w:w="982" w:type="pct"/>
            <w:vMerge w:val="restart"/>
            <w:tcBorders>
              <w:top w:val="single" w:sz="8" w:space="0" w:color="000000"/>
              <w:left w:val="single" w:sz="8" w:space="0" w:color="000000"/>
              <w:right w:val="single" w:sz="8" w:space="0" w:color="000000"/>
            </w:tcBorders>
            <w:shd w:val="clear" w:color="auto" w:fill="auto"/>
            <w:vAlign w:val="center"/>
            <w:hideMark/>
          </w:tcPr>
          <w:p w14:paraId="1DB20B3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w:t>
            </w:r>
          </w:p>
        </w:tc>
        <w:tc>
          <w:tcPr>
            <w:tcW w:w="916" w:type="pct"/>
            <w:gridSpan w:val="2"/>
            <w:vMerge w:val="restart"/>
            <w:tcBorders>
              <w:top w:val="single" w:sz="8" w:space="0" w:color="000000"/>
              <w:left w:val="nil"/>
              <w:right w:val="single" w:sz="8" w:space="0" w:color="000000"/>
            </w:tcBorders>
            <w:shd w:val="clear" w:color="auto" w:fill="auto"/>
            <w:vAlign w:val="center"/>
          </w:tcPr>
          <w:p w14:paraId="5265E28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HRS contribution in hydrogen price</w:t>
            </w:r>
          </w:p>
        </w:tc>
        <w:tc>
          <w:tcPr>
            <w:tcW w:w="537" w:type="pct"/>
            <w:tcBorders>
              <w:top w:val="single" w:sz="8" w:space="0" w:color="000000"/>
              <w:left w:val="nil"/>
              <w:right w:val="single" w:sz="8" w:space="0" w:color="000000"/>
            </w:tcBorders>
            <w:shd w:val="clear" w:color="auto" w:fill="auto"/>
            <w:vAlign w:val="center"/>
          </w:tcPr>
          <w:p w14:paraId="29B1085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700 bar</w:t>
            </w:r>
          </w:p>
        </w:tc>
        <w:tc>
          <w:tcPr>
            <w:tcW w:w="616" w:type="pct"/>
            <w:vMerge w:val="restart"/>
            <w:tcBorders>
              <w:top w:val="single" w:sz="8" w:space="0" w:color="000000"/>
              <w:left w:val="nil"/>
              <w:right w:val="single" w:sz="8" w:space="0" w:color="000000"/>
            </w:tcBorders>
            <w:shd w:val="clear" w:color="auto" w:fill="auto"/>
            <w:vAlign w:val="center"/>
          </w:tcPr>
          <w:p w14:paraId="07992E7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€/kg</w:t>
            </w:r>
          </w:p>
        </w:tc>
        <w:tc>
          <w:tcPr>
            <w:tcW w:w="507" w:type="pct"/>
            <w:tcBorders>
              <w:top w:val="single" w:sz="8" w:space="0" w:color="000000"/>
              <w:left w:val="nil"/>
              <w:right w:val="single" w:sz="8" w:space="0" w:color="000000"/>
            </w:tcBorders>
            <w:shd w:val="clear" w:color="auto" w:fill="auto"/>
            <w:vAlign w:val="center"/>
          </w:tcPr>
          <w:p w14:paraId="1A98950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668" w:type="pct"/>
            <w:tcBorders>
              <w:top w:val="single" w:sz="8" w:space="0" w:color="000000"/>
              <w:left w:val="nil"/>
              <w:right w:val="single" w:sz="4" w:space="0" w:color="auto"/>
            </w:tcBorders>
            <w:shd w:val="clear" w:color="auto" w:fill="auto"/>
            <w:vAlign w:val="center"/>
          </w:tcPr>
          <w:p w14:paraId="6A99E27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c>
          <w:tcPr>
            <w:tcW w:w="773" w:type="pct"/>
            <w:tcBorders>
              <w:top w:val="single" w:sz="8" w:space="0" w:color="000000"/>
              <w:left w:val="single" w:sz="4" w:space="0" w:color="auto"/>
              <w:right w:val="single" w:sz="8" w:space="0" w:color="auto"/>
            </w:tcBorders>
            <w:shd w:val="clear" w:color="auto" w:fill="auto"/>
            <w:vAlign w:val="center"/>
          </w:tcPr>
          <w:p w14:paraId="2C90EC0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r>
      <w:tr w:rsidR="009D0C2E" w:rsidRPr="00B364CB" w14:paraId="3D25AFD2" w14:textId="77777777" w:rsidTr="00120F40">
        <w:trPr>
          <w:trHeight w:val="315"/>
        </w:trPr>
        <w:tc>
          <w:tcPr>
            <w:tcW w:w="982" w:type="pct"/>
            <w:vMerge/>
            <w:tcBorders>
              <w:left w:val="single" w:sz="8" w:space="0" w:color="000000"/>
              <w:right w:val="single" w:sz="8" w:space="0" w:color="000000"/>
            </w:tcBorders>
            <w:shd w:val="clear" w:color="auto" w:fill="auto"/>
            <w:vAlign w:val="center"/>
          </w:tcPr>
          <w:p w14:paraId="14C37C8E" w14:textId="77777777" w:rsidR="009D0C2E" w:rsidRPr="00B364CB" w:rsidRDefault="009D0C2E" w:rsidP="009D0C2E">
            <w:pPr>
              <w:widowControl/>
              <w:jc w:val="center"/>
              <w:rPr>
                <w:rFonts w:cs="Arial"/>
                <w:sz w:val="20"/>
                <w:szCs w:val="20"/>
                <w:lang w:eastAsia="en-GB" w:bidi="ar-SA"/>
              </w:rPr>
            </w:pPr>
          </w:p>
        </w:tc>
        <w:tc>
          <w:tcPr>
            <w:tcW w:w="916" w:type="pct"/>
            <w:gridSpan w:val="2"/>
            <w:vMerge/>
            <w:tcBorders>
              <w:left w:val="nil"/>
              <w:right w:val="single" w:sz="8" w:space="0" w:color="000000"/>
            </w:tcBorders>
            <w:shd w:val="clear" w:color="auto" w:fill="auto"/>
            <w:vAlign w:val="center"/>
          </w:tcPr>
          <w:p w14:paraId="2A8E02CB" w14:textId="77777777" w:rsidR="009D0C2E" w:rsidRPr="00B364CB" w:rsidRDefault="009D0C2E" w:rsidP="009D0C2E">
            <w:pPr>
              <w:widowControl/>
              <w:jc w:val="center"/>
              <w:rPr>
                <w:rFonts w:cs="Arial"/>
                <w:sz w:val="20"/>
                <w:szCs w:val="20"/>
                <w:lang w:eastAsia="en-GB" w:bidi="ar-SA"/>
              </w:rPr>
            </w:pPr>
          </w:p>
        </w:tc>
        <w:tc>
          <w:tcPr>
            <w:tcW w:w="537" w:type="pct"/>
            <w:tcBorders>
              <w:top w:val="nil"/>
              <w:left w:val="nil"/>
              <w:right w:val="single" w:sz="8" w:space="0" w:color="000000"/>
            </w:tcBorders>
            <w:shd w:val="clear" w:color="auto" w:fill="auto"/>
            <w:vAlign w:val="center"/>
          </w:tcPr>
          <w:p w14:paraId="250DE9D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350 bar</w:t>
            </w:r>
          </w:p>
        </w:tc>
        <w:tc>
          <w:tcPr>
            <w:tcW w:w="616" w:type="pct"/>
            <w:vMerge/>
            <w:tcBorders>
              <w:left w:val="nil"/>
              <w:right w:val="single" w:sz="8" w:space="0" w:color="000000"/>
            </w:tcBorders>
            <w:shd w:val="clear" w:color="auto" w:fill="auto"/>
            <w:vAlign w:val="center"/>
          </w:tcPr>
          <w:p w14:paraId="21D154AC" w14:textId="77777777" w:rsidR="009D0C2E" w:rsidRPr="00B364CB" w:rsidRDefault="009D0C2E" w:rsidP="009D0C2E">
            <w:pPr>
              <w:widowControl/>
              <w:jc w:val="center"/>
              <w:rPr>
                <w:rFonts w:cs="Arial"/>
                <w:sz w:val="20"/>
                <w:szCs w:val="20"/>
                <w:lang w:eastAsia="en-GB" w:bidi="ar-SA"/>
              </w:rPr>
            </w:pPr>
          </w:p>
        </w:tc>
        <w:tc>
          <w:tcPr>
            <w:tcW w:w="507" w:type="pct"/>
            <w:tcBorders>
              <w:top w:val="nil"/>
              <w:left w:val="nil"/>
              <w:right w:val="single" w:sz="8" w:space="0" w:color="000000"/>
            </w:tcBorders>
            <w:shd w:val="clear" w:color="auto" w:fill="auto"/>
            <w:vAlign w:val="center"/>
          </w:tcPr>
          <w:p w14:paraId="76AA035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2.5</w:t>
            </w:r>
          </w:p>
        </w:tc>
        <w:tc>
          <w:tcPr>
            <w:tcW w:w="668" w:type="pct"/>
            <w:tcBorders>
              <w:top w:val="nil"/>
              <w:left w:val="nil"/>
              <w:right w:val="single" w:sz="4" w:space="0" w:color="auto"/>
            </w:tcBorders>
            <w:shd w:val="clear" w:color="auto" w:fill="auto"/>
            <w:vAlign w:val="center"/>
          </w:tcPr>
          <w:p w14:paraId="734F8EB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c>
          <w:tcPr>
            <w:tcW w:w="773" w:type="pct"/>
            <w:tcBorders>
              <w:left w:val="single" w:sz="4" w:space="0" w:color="auto"/>
              <w:right w:val="single" w:sz="8" w:space="0" w:color="auto"/>
            </w:tcBorders>
            <w:shd w:val="clear" w:color="auto" w:fill="auto"/>
            <w:vAlign w:val="center"/>
          </w:tcPr>
          <w:p w14:paraId="4E23594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1.25</w:t>
            </w:r>
          </w:p>
        </w:tc>
      </w:tr>
      <w:tr w:rsidR="009D0C2E" w:rsidRPr="00B364CB" w14:paraId="3B77C77F" w14:textId="77777777" w:rsidTr="00120F40">
        <w:trPr>
          <w:trHeight w:val="337"/>
        </w:trPr>
        <w:tc>
          <w:tcPr>
            <w:tcW w:w="982" w:type="pct"/>
            <w:vMerge/>
            <w:tcBorders>
              <w:left w:val="single" w:sz="8" w:space="0" w:color="000000"/>
              <w:bottom w:val="single" w:sz="8" w:space="0" w:color="000000"/>
              <w:right w:val="single" w:sz="8" w:space="0" w:color="000000"/>
            </w:tcBorders>
            <w:shd w:val="clear" w:color="auto" w:fill="auto"/>
            <w:vAlign w:val="center"/>
          </w:tcPr>
          <w:p w14:paraId="69D6E4C0" w14:textId="77777777" w:rsidR="009D0C2E" w:rsidRPr="00B364CB" w:rsidRDefault="009D0C2E" w:rsidP="009D0C2E">
            <w:pPr>
              <w:widowControl/>
              <w:jc w:val="center"/>
              <w:rPr>
                <w:rFonts w:cs="Arial"/>
                <w:sz w:val="20"/>
                <w:szCs w:val="20"/>
                <w:lang w:eastAsia="en-GB" w:bidi="ar-SA"/>
              </w:rPr>
            </w:pPr>
          </w:p>
        </w:tc>
        <w:tc>
          <w:tcPr>
            <w:tcW w:w="916" w:type="pct"/>
            <w:gridSpan w:val="2"/>
            <w:vMerge/>
            <w:tcBorders>
              <w:left w:val="nil"/>
              <w:bottom w:val="single" w:sz="8" w:space="0" w:color="000000"/>
              <w:right w:val="single" w:sz="8" w:space="0" w:color="000000"/>
            </w:tcBorders>
            <w:shd w:val="clear" w:color="auto" w:fill="auto"/>
            <w:vAlign w:val="center"/>
          </w:tcPr>
          <w:p w14:paraId="7412954E" w14:textId="77777777" w:rsidR="009D0C2E" w:rsidRPr="00B364CB" w:rsidRDefault="009D0C2E" w:rsidP="009D0C2E">
            <w:pPr>
              <w:widowControl/>
              <w:jc w:val="center"/>
              <w:rPr>
                <w:rFonts w:cs="Arial"/>
                <w:sz w:val="20"/>
                <w:szCs w:val="20"/>
                <w:lang w:eastAsia="en-GB" w:bidi="ar-SA"/>
              </w:rPr>
            </w:pPr>
          </w:p>
        </w:tc>
        <w:tc>
          <w:tcPr>
            <w:tcW w:w="537" w:type="pct"/>
            <w:tcBorders>
              <w:top w:val="nil"/>
              <w:left w:val="nil"/>
              <w:bottom w:val="single" w:sz="8" w:space="0" w:color="000000"/>
              <w:right w:val="single" w:sz="8" w:space="0" w:color="000000"/>
            </w:tcBorders>
            <w:shd w:val="clear" w:color="auto" w:fill="auto"/>
            <w:vAlign w:val="center"/>
          </w:tcPr>
          <w:p w14:paraId="07F6BF5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LH</w:t>
            </w:r>
            <w:r w:rsidRPr="00603A27">
              <w:rPr>
                <w:rFonts w:cs="Arial"/>
                <w:sz w:val="20"/>
                <w:szCs w:val="20"/>
                <w:vertAlign w:val="subscript"/>
                <w:lang w:eastAsia="en-GB" w:bidi="ar-SA"/>
              </w:rPr>
              <w:t>2</w:t>
            </w:r>
          </w:p>
        </w:tc>
        <w:tc>
          <w:tcPr>
            <w:tcW w:w="616" w:type="pct"/>
            <w:vMerge/>
            <w:tcBorders>
              <w:left w:val="nil"/>
              <w:bottom w:val="single" w:sz="8" w:space="0" w:color="000000"/>
              <w:right w:val="single" w:sz="8" w:space="0" w:color="000000"/>
            </w:tcBorders>
            <w:shd w:val="clear" w:color="auto" w:fill="auto"/>
            <w:vAlign w:val="center"/>
          </w:tcPr>
          <w:p w14:paraId="2016EC3C" w14:textId="77777777" w:rsidR="009D0C2E" w:rsidRPr="00B364CB" w:rsidRDefault="009D0C2E" w:rsidP="009D0C2E">
            <w:pPr>
              <w:widowControl/>
              <w:jc w:val="center"/>
              <w:rPr>
                <w:rFonts w:cs="Arial"/>
                <w:sz w:val="20"/>
                <w:szCs w:val="20"/>
                <w:lang w:eastAsia="en-GB" w:bidi="ar-SA"/>
              </w:rPr>
            </w:pPr>
          </w:p>
        </w:tc>
        <w:tc>
          <w:tcPr>
            <w:tcW w:w="507" w:type="pct"/>
            <w:tcBorders>
              <w:top w:val="nil"/>
              <w:left w:val="nil"/>
              <w:bottom w:val="single" w:sz="8" w:space="0" w:color="000000"/>
              <w:right w:val="single" w:sz="8" w:space="0" w:color="000000"/>
            </w:tcBorders>
            <w:shd w:val="clear" w:color="auto" w:fill="auto"/>
            <w:vAlign w:val="center"/>
          </w:tcPr>
          <w:p w14:paraId="2A7170C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668" w:type="pct"/>
            <w:tcBorders>
              <w:top w:val="nil"/>
              <w:left w:val="nil"/>
              <w:bottom w:val="single" w:sz="8" w:space="0" w:color="000000"/>
              <w:right w:val="single" w:sz="4" w:space="0" w:color="auto"/>
            </w:tcBorders>
            <w:shd w:val="clear" w:color="auto" w:fill="auto"/>
            <w:vAlign w:val="center"/>
          </w:tcPr>
          <w:p w14:paraId="5D01020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c>
          <w:tcPr>
            <w:tcW w:w="773" w:type="pct"/>
            <w:tcBorders>
              <w:left w:val="single" w:sz="4" w:space="0" w:color="auto"/>
              <w:bottom w:val="single" w:sz="8" w:space="0" w:color="000000"/>
              <w:right w:val="single" w:sz="8" w:space="0" w:color="auto"/>
            </w:tcBorders>
            <w:shd w:val="clear" w:color="auto" w:fill="auto"/>
            <w:vAlign w:val="center"/>
          </w:tcPr>
          <w:p w14:paraId="0AB777B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r>
    </w:tbl>
    <w:p w14:paraId="7D2D3930" w14:textId="77777777" w:rsidR="009D0C2E" w:rsidRPr="00B364CB" w:rsidRDefault="009D0C2E" w:rsidP="009D0C2E"/>
    <w:p w14:paraId="4AF7CF69"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1FDCDB6B"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KPI-1: Station energy consumption per kg of hydrogen dispensed when the station is loaded at 80% of its daily capacity – For HRS which stores H</w:t>
      </w:r>
      <w:r w:rsidRPr="00603A27">
        <w:rPr>
          <w:rFonts w:cstheme="minorHAnsi"/>
          <w:iCs/>
          <w:color w:val="auto"/>
          <w:sz w:val="16"/>
          <w:szCs w:val="16"/>
          <w:vertAlign w:val="subscript"/>
        </w:rPr>
        <w:t>2</w:t>
      </w:r>
      <w:r w:rsidRPr="00B364CB">
        <w:rPr>
          <w:rFonts w:cstheme="minorHAnsi"/>
          <w:iCs/>
          <w:color w:val="auto"/>
          <w:sz w:val="16"/>
          <w:szCs w:val="16"/>
        </w:rPr>
        <w:t xml:space="preserve"> in gaseous form, at ambient temperature, and dispense H2 at 700bar in GH</w:t>
      </w:r>
      <w:r w:rsidRPr="004324B5">
        <w:rPr>
          <w:rFonts w:cstheme="minorHAnsi"/>
          <w:iCs/>
          <w:color w:val="auto"/>
          <w:sz w:val="16"/>
          <w:szCs w:val="16"/>
          <w:vertAlign w:val="subscript"/>
        </w:rPr>
        <w:t>2</w:t>
      </w:r>
      <w:r w:rsidRPr="00B364CB">
        <w:rPr>
          <w:rFonts w:cstheme="minorHAnsi"/>
          <w:iCs/>
          <w:color w:val="auto"/>
          <w:sz w:val="16"/>
          <w:szCs w:val="16"/>
        </w:rPr>
        <w:t xml:space="preserve"> from a source of &gt;30 bar hydrogen.</w:t>
      </w:r>
    </w:p>
    <w:p w14:paraId="76DA5D67"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KPI-2: Percent of hours that the hydrogen refuelling stati</w:t>
      </w:r>
      <w:r>
        <w:rPr>
          <w:rFonts w:cstheme="minorHAnsi"/>
          <w:iCs/>
          <w:color w:val="auto"/>
          <w:sz w:val="16"/>
          <w:szCs w:val="16"/>
        </w:rPr>
        <w:t>on is able to operation versus th</w:t>
      </w:r>
      <w:r w:rsidRPr="00B364CB">
        <w:rPr>
          <w:rFonts w:cstheme="minorHAnsi"/>
          <w:iCs/>
          <w:color w:val="auto"/>
          <w:sz w:val="16"/>
          <w:szCs w:val="16"/>
        </w:rPr>
        <w:t>e total number of hours that it is intended to be able to operate (consider any amount of time for maintenance or upgrades as time at which the station should have been operational).</w:t>
      </w:r>
    </w:p>
    <w:p w14:paraId="323E27D6"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KPI-3: Mean time between failures (MTBF). How long the HRS will run before failing.</w:t>
      </w:r>
      <w:r>
        <w:rPr>
          <w:rFonts w:cstheme="minorHAnsi"/>
          <w:iCs/>
          <w:color w:val="auto"/>
          <w:sz w:val="16"/>
          <w:szCs w:val="16"/>
        </w:rPr>
        <w:t xml:space="preserve"> </w:t>
      </w:r>
      <w:r w:rsidRPr="00A25FFE">
        <w:rPr>
          <w:rFonts w:cstheme="minorHAnsi"/>
          <w:iCs/>
          <w:color w:val="auto"/>
          <w:sz w:val="16"/>
          <w:szCs w:val="16"/>
        </w:rPr>
        <w:t>A fil</w:t>
      </w:r>
      <w:r>
        <w:rPr>
          <w:rFonts w:cstheme="minorHAnsi"/>
          <w:iCs/>
          <w:color w:val="auto"/>
          <w:sz w:val="16"/>
          <w:szCs w:val="16"/>
        </w:rPr>
        <w:t xml:space="preserve">ling failure is stated when the fuelling </w:t>
      </w:r>
      <w:r w:rsidRPr="00A25FFE">
        <w:rPr>
          <w:rFonts w:cstheme="minorHAnsi"/>
          <w:iCs/>
          <w:color w:val="auto"/>
          <w:sz w:val="16"/>
          <w:szCs w:val="16"/>
        </w:rPr>
        <w:t xml:space="preserve">cannot </w:t>
      </w:r>
      <w:r>
        <w:rPr>
          <w:rFonts w:cstheme="minorHAnsi"/>
          <w:iCs/>
          <w:color w:val="auto"/>
          <w:sz w:val="16"/>
          <w:szCs w:val="16"/>
        </w:rPr>
        <w:t>reach</w:t>
      </w:r>
      <w:r w:rsidRPr="00A25FFE">
        <w:rPr>
          <w:rFonts w:cstheme="minorHAnsi"/>
          <w:iCs/>
          <w:color w:val="auto"/>
          <w:sz w:val="16"/>
          <w:szCs w:val="16"/>
        </w:rPr>
        <w:t xml:space="preserve"> 80% of the reservoir capacity.</w:t>
      </w:r>
    </w:p>
    <w:p w14:paraId="158B1A7B"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KPI-4: Parts and labour based on a 200 kg/day throughput of the HRS. Includes also local maintenance infrastructure. Does not include the costs of the remote and central operating and maintenance centre.</w:t>
      </w:r>
    </w:p>
    <w:p w14:paraId="14839D14"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KPI-5: Person-hours of labour for the system maintenance per 1,000 h of operations over the station complete lifetime.</w:t>
      </w:r>
    </w:p>
    <w:p w14:paraId="182DCB2E"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KPI-6: Total costs incurred for the construction or acquisition of the hydrogen refuelling station, including on-site storage. Exclude land cost &amp; excluding the hydrogen production unit. Target ranges refer to stations’ capacity between 200-1,000 kg/d. CAPEX is dependent on the size of the station, the number of dispensers, the profile of consumption required, the need for buffers, the design.</w:t>
      </w:r>
    </w:p>
    <w:p w14:paraId="2FD85F0E" w14:textId="77777777" w:rsidR="009D0C2E" w:rsidRPr="00B364CB" w:rsidRDefault="009D0C2E" w:rsidP="009D0C2E">
      <w:pPr>
        <w:tabs>
          <w:tab w:val="left" w:pos="1805"/>
        </w:tabs>
        <w:spacing w:after="120"/>
        <w:jc w:val="both"/>
        <w:rPr>
          <w:rFonts w:eastAsia="Arial" w:cs="Arial"/>
          <w:b/>
          <w:bCs/>
          <w:sz w:val="32"/>
          <w:szCs w:val="32"/>
          <w:lang w:eastAsia="sv-SE" w:bidi="sv-SE"/>
        </w:rPr>
      </w:pPr>
      <w:r w:rsidRPr="00B364CB">
        <w:rPr>
          <w:rFonts w:cstheme="minorHAnsi"/>
          <w:iCs/>
          <w:color w:val="auto"/>
          <w:sz w:val="16"/>
          <w:szCs w:val="16"/>
        </w:rPr>
        <w:t>KPI-7: Contribution of the HRS to the final cost of the hydrogen dispensed, amortisation and O&amp;M costs included. Hydrogen production and transport is not considered. Public subsidies are excluded.</w:t>
      </w:r>
    </w:p>
    <w:p w14:paraId="40B74303" w14:textId="77777777" w:rsidR="00D46C9B" w:rsidRDefault="00D46C9B">
      <w:pPr>
        <w:rPr>
          <w:rStyle w:val="MAWPTitle"/>
          <w:b/>
          <w:bCs w:val="0"/>
          <w:lang w:val="en-GB"/>
        </w:rPr>
      </w:pPr>
      <w:bookmarkStart w:id="315" w:name="_Toc70088068"/>
      <w:r>
        <w:rPr>
          <w:rStyle w:val="MAWPTitle"/>
          <w:lang w:val="en-GB"/>
        </w:rPr>
        <w:br w:type="page"/>
      </w:r>
    </w:p>
    <w:p w14:paraId="1AC37088" w14:textId="69B83A17" w:rsidR="009D0C2E" w:rsidRPr="00B364CB" w:rsidRDefault="009D0C2E" w:rsidP="009D0C2E">
      <w:pPr>
        <w:pStyle w:val="Heading11"/>
        <w:keepNext/>
        <w:keepLines/>
        <w:shd w:val="clear" w:color="auto" w:fill="auto"/>
        <w:spacing w:line="276" w:lineRule="auto"/>
        <w:jc w:val="left"/>
        <w:rPr>
          <w:rStyle w:val="MAWPTitle"/>
          <w:lang w:val="en-GB"/>
        </w:rPr>
      </w:pPr>
      <w:bookmarkStart w:id="316" w:name="_Toc93907387"/>
      <w:r w:rsidRPr="00B364CB">
        <w:rPr>
          <w:rStyle w:val="MAWPTitle"/>
          <w:lang w:val="en-GB"/>
        </w:rPr>
        <w:lastRenderedPageBreak/>
        <w:t>Annex 4 - State-of-the-art and future targets – Hydrogen end use: transport applications</w:t>
      </w:r>
      <w:bookmarkEnd w:id="315"/>
      <w:bookmarkEnd w:id="316"/>
    </w:p>
    <w:p w14:paraId="2742CB70" w14:textId="77777777" w:rsidR="00D46C9B" w:rsidRDefault="00D46C9B" w:rsidP="009D0C2E">
      <w:pPr>
        <w:pStyle w:val="Caption"/>
        <w:rPr>
          <w:sz w:val="24"/>
        </w:rPr>
      </w:pPr>
      <w:bookmarkStart w:id="317" w:name="_Ref55457926"/>
    </w:p>
    <w:p w14:paraId="406154D4" w14:textId="1D21CDEF" w:rsidR="009D0C2E" w:rsidRPr="00B364CB" w:rsidRDefault="009D0C2E" w:rsidP="009D0C2E">
      <w:pPr>
        <w:pStyle w:val="Caption"/>
        <w:rPr>
          <w:sz w:val="24"/>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16</w:t>
      </w:r>
      <w:r w:rsidRPr="00B364CB">
        <w:rPr>
          <w:sz w:val="24"/>
        </w:rPr>
        <w:fldChar w:fldCharType="end"/>
      </w:r>
      <w:bookmarkEnd w:id="317"/>
      <w:r w:rsidRPr="00B364CB">
        <w:rPr>
          <w:sz w:val="24"/>
        </w:rPr>
        <w:t xml:space="preserve"> KPIs for fuel cell technology for Heavy-Duty-Vehicles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99"/>
        <w:gridCol w:w="1957"/>
        <w:gridCol w:w="982"/>
        <w:gridCol w:w="1403"/>
        <w:gridCol w:w="2245"/>
        <w:gridCol w:w="1824"/>
      </w:tblGrid>
      <w:tr w:rsidR="00C5146F" w:rsidRPr="00B364CB" w14:paraId="0A08953D" w14:textId="77777777" w:rsidTr="00670392">
        <w:trPr>
          <w:trHeight w:val="315"/>
        </w:trPr>
        <w:tc>
          <w:tcPr>
            <w:tcW w:w="384" w:type="pct"/>
            <w:vMerge w:val="restart"/>
            <w:shd w:val="clear" w:color="auto" w:fill="BFBFBF" w:themeFill="background1" w:themeFillShade="BF"/>
            <w:vAlign w:val="center"/>
            <w:hideMark/>
          </w:tcPr>
          <w:p w14:paraId="710022A1"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No</w:t>
            </w:r>
          </w:p>
        </w:tc>
        <w:tc>
          <w:tcPr>
            <w:tcW w:w="1074" w:type="pct"/>
            <w:vMerge w:val="restart"/>
            <w:shd w:val="clear" w:color="auto" w:fill="BFBFBF" w:themeFill="background1" w:themeFillShade="BF"/>
            <w:vAlign w:val="center"/>
            <w:hideMark/>
          </w:tcPr>
          <w:p w14:paraId="2D3D5D9F" w14:textId="77777777" w:rsidR="009D0C2E" w:rsidRPr="00B364CB" w:rsidRDefault="009D0C2E" w:rsidP="009D0C2E">
            <w:pPr>
              <w:widowControl/>
              <w:rPr>
                <w:rFonts w:cs="Arial"/>
                <w:b/>
                <w:bCs/>
                <w:sz w:val="20"/>
                <w:szCs w:val="20"/>
                <w:lang w:eastAsia="en-GB" w:bidi="ar-SA"/>
              </w:rPr>
            </w:pPr>
            <w:r w:rsidRPr="00B364CB">
              <w:rPr>
                <w:rFonts w:cs="Arial"/>
                <w:b/>
                <w:bCs/>
                <w:sz w:val="20"/>
                <w:szCs w:val="20"/>
                <w:lang w:eastAsia="en-GB" w:bidi="ar-SA"/>
              </w:rPr>
              <w:t xml:space="preserve">           Parameter</w:t>
            </w:r>
          </w:p>
        </w:tc>
        <w:tc>
          <w:tcPr>
            <w:tcW w:w="539" w:type="pct"/>
            <w:vMerge w:val="restart"/>
            <w:shd w:val="clear" w:color="auto" w:fill="BFBFBF" w:themeFill="background1" w:themeFillShade="BF"/>
            <w:vAlign w:val="center"/>
            <w:hideMark/>
          </w:tcPr>
          <w:p w14:paraId="263D5C3A"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Unit</w:t>
            </w:r>
          </w:p>
        </w:tc>
        <w:tc>
          <w:tcPr>
            <w:tcW w:w="770" w:type="pct"/>
            <w:shd w:val="clear" w:color="auto" w:fill="BFBFBF" w:themeFill="background1" w:themeFillShade="BF"/>
            <w:vAlign w:val="center"/>
            <w:hideMark/>
          </w:tcPr>
          <w:p w14:paraId="1B07F124"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2233" w:type="pct"/>
            <w:gridSpan w:val="2"/>
            <w:shd w:val="clear" w:color="auto" w:fill="BFBFBF" w:themeFill="background1" w:themeFillShade="BF"/>
            <w:vAlign w:val="center"/>
          </w:tcPr>
          <w:p w14:paraId="1ABAC447" w14:textId="77777777" w:rsidR="009D0C2E" w:rsidRPr="00B364CB" w:rsidRDefault="009D0C2E" w:rsidP="009D0C2E">
            <w:pPr>
              <w:jc w:val="center"/>
            </w:pPr>
            <w:r w:rsidRPr="00B364CB">
              <w:rPr>
                <w:rFonts w:cs="Arial"/>
                <w:b/>
                <w:bCs/>
                <w:sz w:val="20"/>
                <w:szCs w:val="20"/>
                <w:lang w:eastAsia="en-GB" w:bidi="ar-SA"/>
              </w:rPr>
              <w:t>Targets</w:t>
            </w:r>
          </w:p>
        </w:tc>
      </w:tr>
      <w:tr w:rsidR="00C5146F" w:rsidRPr="00B364CB" w14:paraId="7E42BBD6" w14:textId="77777777" w:rsidTr="00670392">
        <w:trPr>
          <w:trHeight w:val="315"/>
        </w:trPr>
        <w:tc>
          <w:tcPr>
            <w:tcW w:w="384" w:type="pct"/>
            <w:vMerge/>
            <w:tcBorders>
              <w:bottom w:val="single" w:sz="8" w:space="0" w:color="000000"/>
            </w:tcBorders>
            <w:shd w:val="clear" w:color="auto" w:fill="BFBFBF" w:themeFill="background1" w:themeFillShade="BF"/>
            <w:vAlign w:val="center"/>
            <w:hideMark/>
          </w:tcPr>
          <w:p w14:paraId="0651F68B" w14:textId="77777777" w:rsidR="009D0C2E" w:rsidRPr="00B364CB" w:rsidRDefault="009D0C2E" w:rsidP="009D0C2E">
            <w:pPr>
              <w:widowControl/>
              <w:jc w:val="center"/>
              <w:rPr>
                <w:rFonts w:cs="Arial"/>
                <w:b/>
                <w:bCs/>
                <w:sz w:val="20"/>
                <w:szCs w:val="20"/>
                <w:lang w:eastAsia="en-GB" w:bidi="ar-SA"/>
              </w:rPr>
            </w:pPr>
          </w:p>
        </w:tc>
        <w:tc>
          <w:tcPr>
            <w:tcW w:w="1074" w:type="pct"/>
            <w:vMerge/>
            <w:tcBorders>
              <w:bottom w:val="single" w:sz="8" w:space="0" w:color="000000"/>
            </w:tcBorders>
            <w:shd w:val="clear" w:color="auto" w:fill="BFBFBF" w:themeFill="background1" w:themeFillShade="BF"/>
            <w:vAlign w:val="center"/>
            <w:hideMark/>
          </w:tcPr>
          <w:p w14:paraId="116BDA83" w14:textId="77777777" w:rsidR="009D0C2E" w:rsidRPr="00B364CB" w:rsidRDefault="009D0C2E" w:rsidP="009D0C2E">
            <w:pPr>
              <w:widowControl/>
              <w:jc w:val="center"/>
              <w:rPr>
                <w:rFonts w:cs="Arial"/>
                <w:b/>
                <w:bCs/>
                <w:sz w:val="20"/>
                <w:szCs w:val="20"/>
                <w:lang w:eastAsia="en-GB" w:bidi="ar-SA"/>
              </w:rPr>
            </w:pPr>
          </w:p>
        </w:tc>
        <w:tc>
          <w:tcPr>
            <w:tcW w:w="539" w:type="pct"/>
            <w:vMerge/>
            <w:tcBorders>
              <w:bottom w:val="single" w:sz="8" w:space="0" w:color="000000"/>
            </w:tcBorders>
            <w:shd w:val="clear" w:color="auto" w:fill="BFBFBF" w:themeFill="background1" w:themeFillShade="BF"/>
            <w:vAlign w:val="center"/>
            <w:hideMark/>
          </w:tcPr>
          <w:p w14:paraId="71AA86EA" w14:textId="77777777" w:rsidR="009D0C2E" w:rsidRPr="00B364CB" w:rsidRDefault="009D0C2E" w:rsidP="009D0C2E">
            <w:pPr>
              <w:widowControl/>
              <w:jc w:val="center"/>
              <w:rPr>
                <w:rFonts w:cs="Arial"/>
                <w:b/>
                <w:bCs/>
                <w:sz w:val="20"/>
                <w:szCs w:val="20"/>
                <w:lang w:eastAsia="en-GB" w:bidi="ar-SA"/>
              </w:rPr>
            </w:pPr>
          </w:p>
        </w:tc>
        <w:tc>
          <w:tcPr>
            <w:tcW w:w="770" w:type="pct"/>
            <w:tcBorders>
              <w:bottom w:val="single" w:sz="8" w:space="0" w:color="000000"/>
            </w:tcBorders>
            <w:shd w:val="clear" w:color="auto" w:fill="BFBFBF" w:themeFill="background1" w:themeFillShade="BF"/>
            <w:vAlign w:val="center"/>
          </w:tcPr>
          <w:p w14:paraId="3606A91B"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1232" w:type="pct"/>
            <w:tcBorders>
              <w:bottom w:val="single" w:sz="8" w:space="0" w:color="000000"/>
            </w:tcBorders>
            <w:shd w:val="clear" w:color="auto" w:fill="BFBFBF" w:themeFill="background1" w:themeFillShade="BF"/>
            <w:vAlign w:val="center"/>
            <w:hideMark/>
          </w:tcPr>
          <w:p w14:paraId="38925271"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1001" w:type="pct"/>
            <w:tcBorders>
              <w:bottom w:val="single" w:sz="8" w:space="0" w:color="000000"/>
            </w:tcBorders>
            <w:shd w:val="clear" w:color="auto" w:fill="BFBFBF" w:themeFill="background1" w:themeFillShade="BF"/>
            <w:vAlign w:val="center"/>
            <w:hideMark/>
          </w:tcPr>
          <w:p w14:paraId="60718686"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14E3889A" w14:textId="77777777" w:rsidTr="00120F40">
        <w:trPr>
          <w:trHeight w:val="515"/>
        </w:trPr>
        <w:tc>
          <w:tcPr>
            <w:tcW w:w="5000" w:type="pct"/>
            <w:gridSpan w:val="6"/>
            <w:shd w:val="clear" w:color="auto" w:fill="D9D9D9" w:themeFill="background1" w:themeFillShade="D9"/>
            <w:vAlign w:val="center"/>
          </w:tcPr>
          <w:p w14:paraId="612CF5EE" w14:textId="77777777" w:rsidR="009D0C2E" w:rsidRPr="00B364CB" w:rsidRDefault="009D0C2E" w:rsidP="009D0C2E">
            <w:pPr>
              <w:widowControl/>
              <w:jc w:val="center"/>
              <w:rPr>
                <w:rFonts w:cs="Arial"/>
                <w:b/>
                <w:sz w:val="20"/>
                <w:szCs w:val="20"/>
                <w:lang w:eastAsia="en-GB" w:bidi="ar-SA"/>
              </w:rPr>
            </w:pPr>
            <w:r w:rsidRPr="00B364CB">
              <w:rPr>
                <w:rFonts w:cs="Arial"/>
                <w:b/>
                <w:sz w:val="20"/>
                <w:szCs w:val="20"/>
                <w:lang w:eastAsia="en-GB" w:bidi="ar-SA"/>
              </w:rPr>
              <w:t>Fuel Cell Building Blocks</w:t>
            </w:r>
          </w:p>
        </w:tc>
      </w:tr>
      <w:tr w:rsidR="00C5146F" w:rsidRPr="00B364CB" w14:paraId="2F8F6FB6" w14:textId="77777777" w:rsidTr="00670392">
        <w:trPr>
          <w:trHeight w:val="315"/>
        </w:trPr>
        <w:tc>
          <w:tcPr>
            <w:tcW w:w="384" w:type="pct"/>
            <w:shd w:val="clear" w:color="auto" w:fill="auto"/>
            <w:vAlign w:val="center"/>
            <w:hideMark/>
          </w:tcPr>
          <w:p w14:paraId="77FC26F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c>
          <w:tcPr>
            <w:tcW w:w="1074" w:type="pct"/>
            <w:shd w:val="clear" w:color="auto" w:fill="auto"/>
            <w:vAlign w:val="center"/>
          </w:tcPr>
          <w:p w14:paraId="1F6F428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FC module CAPEX</w:t>
            </w:r>
          </w:p>
        </w:tc>
        <w:tc>
          <w:tcPr>
            <w:tcW w:w="539" w:type="pct"/>
            <w:shd w:val="clear" w:color="auto" w:fill="auto"/>
            <w:vAlign w:val="center"/>
          </w:tcPr>
          <w:p w14:paraId="0A57C71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w:t>
            </w:r>
          </w:p>
        </w:tc>
        <w:tc>
          <w:tcPr>
            <w:tcW w:w="770" w:type="pct"/>
            <w:shd w:val="clear" w:color="auto" w:fill="auto"/>
            <w:vAlign w:val="center"/>
          </w:tcPr>
          <w:p w14:paraId="647E01A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1,500</w:t>
            </w:r>
          </w:p>
        </w:tc>
        <w:tc>
          <w:tcPr>
            <w:tcW w:w="1232" w:type="pct"/>
            <w:shd w:val="clear" w:color="auto" w:fill="auto"/>
            <w:vAlign w:val="center"/>
          </w:tcPr>
          <w:p w14:paraId="5112D31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&lt;480</w:t>
            </w:r>
          </w:p>
        </w:tc>
        <w:tc>
          <w:tcPr>
            <w:tcW w:w="1001" w:type="pct"/>
            <w:shd w:val="clear" w:color="auto" w:fill="auto"/>
            <w:vAlign w:val="center"/>
          </w:tcPr>
          <w:p w14:paraId="5A37F3C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&lt;100</w:t>
            </w:r>
          </w:p>
        </w:tc>
      </w:tr>
      <w:tr w:rsidR="00C5146F" w:rsidRPr="00B364CB" w14:paraId="6CF8728D" w14:textId="77777777" w:rsidTr="00670392">
        <w:trPr>
          <w:trHeight w:val="315"/>
        </w:trPr>
        <w:tc>
          <w:tcPr>
            <w:tcW w:w="384" w:type="pct"/>
            <w:shd w:val="clear" w:color="auto" w:fill="auto"/>
            <w:vAlign w:val="center"/>
            <w:hideMark/>
          </w:tcPr>
          <w:p w14:paraId="2CBD53D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c>
          <w:tcPr>
            <w:tcW w:w="1074" w:type="pct"/>
            <w:shd w:val="clear" w:color="auto" w:fill="auto"/>
            <w:vAlign w:val="center"/>
          </w:tcPr>
          <w:p w14:paraId="7647085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FC module availability</w:t>
            </w:r>
          </w:p>
        </w:tc>
        <w:tc>
          <w:tcPr>
            <w:tcW w:w="539" w:type="pct"/>
            <w:shd w:val="clear" w:color="auto" w:fill="auto"/>
            <w:vAlign w:val="center"/>
          </w:tcPr>
          <w:p w14:paraId="1E18079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770" w:type="pct"/>
            <w:shd w:val="clear" w:color="auto" w:fill="auto"/>
            <w:vAlign w:val="center"/>
          </w:tcPr>
          <w:p w14:paraId="1AE8DE6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85%</w:t>
            </w:r>
          </w:p>
        </w:tc>
        <w:tc>
          <w:tcPr>
            <w:tcW w:w="1232" w:type="pct"/>
            <w:shd w:val="clear" w:color="auto" w:fill="auto"/>
            <w:vAlign w:val="center"/>
          </w:tcPr>
          <w:p w14:paraId="72A8595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95%</w:t>
            </w:r>
          </w:p>
        </w:tc>
        <w:tc>
          <w:tcPr>
            <w:tcW w:w="1001" w:type="pct"/>
            <w:shd w:val="clear" w:color="auto" w:fill="auto"/>
            <w:vAlign w:val="center"/>
          </w:tcPr>
          <w:p w14:paraId="3F77AB6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98%</w:t>
            </w:r>
          </w:p>
        </w:tc>
      </w:tr>
      <w:tr w:rsidR="00C5146F" w:rsidRPr="00B364CB" w14:paraId="6606C187" w14:textId="77777777" w:rsidTr="00670392">
        <w:trPr>
          <w:trHeight w:val="370"/>
        </w:trPr>
        <w:tc>
          <w:tcPr>
            <w:tcW w:w="384" w:type="pct"/>
            <w:shd w:val="clear" w:color="auto" w:fill="auto"/>
            <w:vAlign w:val="center"/>
            <w:hideMark/>
          </w:tcPr>
          <w:p w14:paraId="124F720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c>
          <w:tcPr>
            <w:tcW w:w="1074" w:type="pct"/>
            <w:shd w:val="clear" w:color="auto" w:fill="auto"/>
            <w:vAlign w:val="center"/>
          </w:tcPr>
          <w:p w14:paraId="0CD6321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FC stack durability</w:t>
            </w:r>
          </w:p>
        </w:tc>
        <w:tc>
          <w:tcPr>
            <w:tcW w:w="539" w:type="pct"/>
            <w:shd w:val="clear" w:color="auto" w:fill="auto"/>
            <w:vAlign w:val="center"/>
          </w:tcPr>
          <w:p w14:paraId="104D458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w:t>
            </w:r>
          </w:p>
        </w:tc>
        <w:tc>
          <w:tcPr>
            <w:tcW w:w="770" w:type="pct"/>
            <w:shd w:val="clear" w:color="auto" w:fill="auto"/>
            <w:vAlign w:val="center"/>
          </w:tcPr>
          <w:p w14:paraId="7F70E7F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15,000</w:t>
            </w:r>
          </w:p>
        </w:tc>
        <w:tc>
          <w:tcPr>
            <w:tcW w:w="1232" w:type="pct"/>
            <w:shd w:val="clear" w:color="auto" w:fill="auto"/>
            <w:vAlign w:val="center"/>
          </w:tcPr>
          <w:p w14:paraId="2980CB9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20,000</w:t>
            </w:r>
          </w:p>
        </w:tc>
        <w:tc>
          <w:tcPr>
            <w:tcW w:w="1001" w:type="pct"/>
            <w:shd w:val="clear" w:color="auto" w:fill="auto"/>
            <w:vAlign w:val="center"/>
          </w:tcPr>
          <w:p w14:paraId="4D0F7BA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30,000</w:t>
            </w:r>
          </w:p>
        </w:tc>
      </w:tr>
      <w:tr w:rsidR="00C5146F" w:rsidRPr="00B364CB" w14:paraId="1CD07BBD" w14:textId="77777777" w:rsidTr="00670392">
        <w:trPr>
          <w:trHeight w:val="418"/>
        </w:trPr>
        <w:tc>
          <w:tcPr>
            <w:tcW w:w="384" w:type="pct"/>
            <w:shd w:val="clear" w:color="auto" w:fill="auto"/>
            <w:vAlign w:val="center"/>
          </w:tcPr>
          <w:p w14:paraId="2C3B436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1074" w:type="pct"/>
            <w:shd w:val="clear" w:color="auto" w:fill="auto"/>
            <w:vAlign w:val="center"/>
          </w:tcPr>
          <w:p w14:paraId="78961E8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FC stack cost</w:t>
            </w:r>
          </w:p>
        </w:tc>
        <w:tc>
          <w:tcPr>
            <w:tcW w:w="539" w:type="pct"/>
            <w:shd w:val="clear" w:color="auto" w:fill="auto"/>
            <w:vAlign w:val="center"/>
          </w:tcPr>
          <w:p w14:paraId="321D5BB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w:t>
            </w:r>
          </w:p>
        </w:tc>
        <w:tc>
          <w:tcPr>
            <w:tcW w:w="770" w:type="pct"/>
            <w:shd w:val="clear" w:color="auto" w:fill="auto"/>
            <w:vAlign w:val="center"/>
          </w:tcPr>
          <w:p w14:paraId="2B55148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&gt;100</w:t>
            </w:r>
          </w:p>
        </w:tc>
        <w:tc>
          <w:tcPr>
            <w:tcW w:w="1232" w:type="pct"/>
            <w:shd w:val="clear" w:color="auto" w:fill="auto"/>
            <w:vAlign w:val="center"/>
          </w:tcPr>
          <w:p w14:paraId="7A01B26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&lt;75</w:t>
            </w:r>
          </w:p>
        </w:tc>
        <w:tc>
          <w:tcPr>
            <w:tcW w:w="1001" w:type="pct"/>
            <w:shd w:val="clear" w:color="auto" w:fill="auto"/>
            <w:vAlign w:val="center"/>
          </w:tcPr>
          <w:p w14:paraId="2E26AD3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&lt; 50</w:t>
            </w:r>
          </w:p>
        </w:tc>
      </w:tr>
      <w:tr w:rsidR="00C5146F" w:rsidRPr="00B364CB" w14:paraId="440181EB" w14:textId="77777777" w:rsidTr="00670392">
        <w:trPr>
          <w:trHeight w:val="315"/>
        </w:trPr>
        <w:tc>
          <w:tcPr>
            <w:tcW w:w="384" w:type="pct"/>
            <w:shd w:val="clear" w:color="auto" w:fill="auto"/>
            <w:vAlign w:val="center"/>
            <w:hideMark/>
          </w:tcPr>
          <w:p w14:paraId="0527CA3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w:t>
            </w:r>
          </w:p>
        </w:tc>
        <w:tc>
          <w:tcPr>
            <w:tcW w:w="1074" w:type="pct"/>
            <w:shd w:val="clear" w:color="auto" w:fill="auto"/>
            <w:vAlign w:val="center"/>
          </w:tcPr>
          <w:p w14:paraId="62848D0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Power density</w:t>
            </w:r>
          </w:p>
        </w:tc>
        <w:tc>
          <w:tcPr>
            <w:tcW w:w="539" w:type="pct"/>
            <w:shd w:val="clear" w:color="auto" w:fill="auto"/>
            <w:vAlign w:val="center"/>
          </w:tcPr>
          <w:p w14:paraId="1223D7A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W/cm</w:t>
            </w:r>
            <w:r w:rsidRPr="00B364CB">
              <w:rPr>
                <w:rFonts w:cs="Arial"/>
                <w:sz w:val="20"/>
                <w:szCs w:val="20"/>
                <w:vertAlign w:val="superscript"/>
                <w:lang w:eastAsia="en-GB" w:bidi="ar-SA"/>
              </w:rPr>
              <w:t>2</w:t>
            </w:r>
          </w:p>
        </w:tc>
        <w:tc>
          <w:tcPr>
            <w:tcW w:w="770" w:type="pct"/>
            <w:shd w:val="clear" w:color="auto" w:fill="auto"/>
            <w:vAlign w:val="center"/>
          </w:tcPr>
          <w:p w14:paraId="0414264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 @ 0.650 V</w:t>
            </w:r>
          </w:p>
        </w:tc>
        <w:tc>
          <w:tcPr>
            <w:tcW w:w="1232" w:type="pct"/>
            <w:shd w:val="clear" w:color="auto" w:fill="auto"/>
            <w:vAlign w:val="center"/>
          </w:tcPr>
          <w:p w14:paraId="140CABF6" w14:textId="77777777" w:rsidR="009D0C2E" w:rsidRPr="00B364CB" w:rsidRDefault="009D0C2E" w:rsidP="009D0C2E">
            <w:pPr>
              <w:jc w:val="center"/>
              <w:rPr>
                <w:rFonts w:cs="Arial"/>
                <w:sz w:val="20"/>
                <w:szCs w:val="20"/>
                <w:lang w:eastAsia="en-GB" w:bidi="ar-SA"/>
              </w:rPr>
            </w:pPr>
            <w:r w:rsidRPr="00B364CB">
              <w:rPr>
                <w:rFonts w:cs="Arial"/>
                <w:sz w:val="20"/>
                <w:szCs w:val="20"/>
                <w:lang w:eastAsia="en-GB" w:bidi="ar-SA"/>
              </w:rPr>
              <w:t>High TRL 1.0@0.675V</w:t>
            </w:r>
          </w:p>
          <w:p w14:paraId="452DCB1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Low TRL&gt;1.2@0.650V</w:t>
            </w:r>
          </w:p>
        </w:tc>
        <w:tc>
          <w:tcPr>
            <w:tcW w:w="1001" w:type="pct"/>
            <w:shd w:val="clear" w:color="auto" w:fill="auto"/>
            <w:vAlign w:val="center"/>
          </w:tcPr>
          <w:p w14:paraId="08D61412" w14:textId="77777777" w:rsidR="009D0C2E" w:rsidRPr="00B364CB" w:rsidRDefault="009D0C2E" w:rsidP="009D0C2E">
            <w:pPr>
              <w:jc w:val="center"/>
              <w:rPr>
                <w:rFonts w:cs="Arial"/>
                <w:sz w:val="20"/>
                <w:szCs w:val="20"/>
                <w:lang w:eastAsia="en-GB" w:bidi="ar-SA"/>
              </w:rPr>
            </w:pPr>
            <w:r w:rsidRPr="00B364CB">
              <w:rPr>
                <w:rFonts w:cs="Arial"/>
                <w:sz w:val="20"/>
                <w:szCs w:val="20"/>
                <w:lang w:eastAsia="en-GB" w:bidi="ar-SA"/>
              </w:rPr>
              <w:t>High TRL</w:t>
            </w:r>
          </w:p>
          <w:p w14:paraId="17CCA5AC" w14:textId="77777777" w:rsidR="009D0C2E" w:rsidRPr="00B364CB" w:rsidRDefault="009D0C2E" w:rsidP="009D0C2E">
            <w:pPr>
              <w:jc w:val="center"/>
              <w:rPr>
                <w:rFonts w:cs="Arial"/>
                <w:sz w:val="20"/>
                <w:szCs w:val="20"/>
                <w:lang w:eastAsia="en-GB" w:bidi="ar-SA"/>
              </w:rPr>
            </w:pPr>
            <w:r w:rsidRPr="00B364CB">
              <w:rPr>
                <w:rFonts w:cs="Arial"/>
                <w:sz w:val="20"/>
                <w:szCs w:val="20"/>
                <w:lang w:eastAsia="en-GB" w:bidi="ar-SA"/>
              </w:rPr>
              <w:t>1.2 @ 0.675V</w:t>
            </w:r>
          </w:p>
          <w:p w14:paraId="20FC74A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Low TRL</w:t>
            </w:r>
          </w:p>
          <w:p w14:paraId="1013005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&gt;1.5@ 0.650V</w:t>
            </w:r>
          </w:p>
        </w:tc>
      </w:tr>
      <w:tr w:rsidR="00C5146F" w:rsidRPr="00B364CB" w14:paraId="22119ADA" w14:textId="77777777" w:rsidTr="00670392">
        <w:trPr>
          <w:trHeight w:val="315"/>
        </w:trPr>
        <w:tc>
          <w:tcPr>
            <w:tcW w:w="384" w:type="pct"/>
            <w:shd w:val="clear" w:color="auto" w:fill="auto"/>
            <w:vAlign w:val="center"/>
            <w:hideMark/>
          </w:tcPr>
          <w:p w14:paraId="08E1EC9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6</w:t>
            </w:r>
          </w:p>
        </w:tc>
        <w:tc>
          <w:tcPr>
            <w:tcW w:w="1074" w:type="pct"/>
            <w:shd w:val="clear" w:color="auto" w:fill="auto"/>
            <w:vAlign w:val="center"/>
          </w:tcPr>
          <w:p w14:paraId="5E3D222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PGM loading</w:t>
            </w:r>
          </w:p>
        </w:tc>
        <w:tc>
          <w:tcPr>
            <w:tcW w:w="539" w:type="pct"/>
            <w:shd w:val="clear" w:color="auto" w:fill="auto"/>
            <w:vAlign w:val="center"/>
          </w:tcPr>
          <w:p w14:paraId="6A5359A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g/kW</w:t>
            </w:r>
          </w:p>
        </w:tc>
        <w:tc>
          <w:tcPr>
            <w:tcW w:w="770" w:type="pct"/>
            <w:shd w:val="clear" w:color="auto" w:fill="auto"/>
            <w:vAlign w:val="center"/>
          </w:tcPr>
          <w:p w14:paraId="1AA42E3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0.4</w:t>
            </w:r>
          </w:p>
        </w:tc>
        <w:tc>
          <w:tcPr>
            <w:tcW w:w="1232" w:type="pct"/>
            <w:shd w:val="clear" w:color="auto" w:fill="auto"/>
            <w:vAlign w:val="center"/>
          </w:tcPr>
          <w:p w14:paraId="278D00AB" w14:textId="77777777" w:rsidR="009D0C2E" w:rsidRPr="00B364CB" w:rsidRDefault="009D0C2E" w:rsidP="009D0C2E">
            <w:pPr>
              <w:widowControl/>
              <w:jc w:val="center"/>
              <w:rPr>
                <w:rFonts w:cs="Arial"/>
                <w:sz w:val="20"/>
                <w:szCs w:val="20"/>
                <w:lang w:eastAsia="en-GB" w:bidi="ar-SA"/>
              </w:rPr>
            </w:pPr>
          </w:p>
          <w:p w14:paraId="675F650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High TRL 0.35</w:t>
            </w:r>
          </w:p>
          <w:p w14:paraId="51B4A81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Low TRL &lt; 0.30</w:t>
            </w:r>
          </w:p>
          <w:p w14:paraId="1AA28588" w14:textId="77777777" w:rsidR="009D0C2E" w:rsidRPr="00B364CB" w:rsidRDefault="009D0C2E" w:rsidP="009D0C2E">
            <w:pPr>
              <w:jc w:val="center"/>
              <w:rPr>
                <w:rFonts w:cs="Arial"/>
                <w:sz w:val="20"/>
                <w:szCs w:val="20"/>
                <w:lang w:eastAsia="en-GB" w:bidi="ar-SA"/>
              </w:rPr>
            </w:pPr>
          </w:p>
        </w:tc>
        <w:tc>
          <w:tcPr>
            <w:tcW w:w="1001" w:type="pct"/>
            <w:shd w:val="clear" w:color="auto" w:fill="auto"/>
            <w:vAlign w:val="center"/>
          </w:tcPr>
          <w:p w14:paraId="67E964D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High TRL 0.30</w:t>
            </w:r>
          </w:p>
          <w:p w14:paraId="7FCE229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Low TRL &lt; 0.25</w:t>
            </w:r>
          </w:p>
        </w:tc>
      </w:tr>
      <w:tr w:rsidR="009D0C2E" w:rsidRPr="00B364CB" w14:paraId="5E5582E9" w14:textId="77777777" w:rsidTr="00120F40">
        <w:trPr>
          <w:trHeight w:val="486"/>
        </w:trPr>
        <w:tc>
          <w:tcPr>
            <w:tcW w:w="5000" w:type="pct"/>
            <w:gridSpan w:val="6"/>
            <w:shd w:val="clear" w:color="auto" w:fill="D9D9D9" w:themeFill="background1" w:themeFillShade="D9"/>
            <w:vAlign w:val="center"/>
          </w:tcPr>
          <w:p w14:paraId="186E6641" w14:textId="53D710C5" w:rsidR="009D0C2E" w:rsidRPr="00B364CB" w:rsidRDefault="009D0C2E" w:rsidP="009D0C2E">
            <w:pPr>
              <w:widowControl/>
              <w:jc w:val="center"/>
              <w:rPr>
                <w:rFonts w:ascii="Calibri" w:hAnsi="Calibri"/>
                <w:b/>
                <w:bCs/>
                <w:szCs w:val="22"/>
                <w:lang w:eastAsia="en-GB" w:bidi="ar-SA"/>
              </w:rPr>
            </w:pPr>
            <w:bookmarkStart w:id="318" w:name="_Hlk90545523"/>
            <w:r w:rsidRPr="00B364CB">
              <w:rPr>
                <w:rFonts w:ascii="Calibri" w:hAnsi="Calibri"/>
                <w:b/>
                <w:bCs/>
                <w:szCs w:val="22"/>
                <w:lang w:eastAsia="en-GB" w:bidi="ar-SA"/>
              </w:rPr>
              <w:t>Hydrogen on-board storage</w:t>
            </w:r>
          </w:p>
        </w:tc>
      </w:tr>
      <w:tr w:rsidR="00C5146F" w:rsidRPr="00B364CB" w14:paraId="045ADA07" w14:textId="77777777" w:rsidTr="009B6137">
        <w:trPr>
          <w:trHeight w:val="525"/>
        </w:trPr>
        <w:tc>
          <w:tcPr>
            <w:tcW w:w="384" w:type="pct"/>
            <w:shd w:val="clear" w:color="auto" w:fill="auto"/>
            <w:vAlign w:val="center"/>
            <w:hideMark/>
          </w:tcPr>
          <w:p w14:paraId="118C006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w:t>
            </w:r>
          </w:p>
        </w:tc>
        <w:tc>
          <w:tcPr>
            <w:tcW w:w="1074" w:type="pct"/>
            <w:shd w:val="clear" w:color="auto" w:fill="auto"/>
            <w:vAlign w:val="center"/>
          </w:tcPr>
          <w:p w14:paraId="05112FE6" w14:textId="77777777" w:rsidR="009D0C2E" w:rsidRDefault="009D0C2E" w:rsidP="009D0C2E">
            <w:pPr>
              <w:widowControl/>
              <w:rPr>
                <w:rFonts w:cs="Arial"/>
                <w:sz w:val="20"/>
                <w:szCs w:val="20"/>
                <w:lang w:eastAsia="en-GB" w:bidi="ar-SA"/>
              </w:rPr>
            </w:pPr>
            <w:r w:rsidRPr="00B364CB">
              <w:rPr>
                <w:rFonts w:cs="Arial"/>
                <w:sz w:val="20"/>
                <w:szCs w:val="20"/>
                <w:lang w:eastAsia="en-GB" w:bidi="ar-SA"/>
              </w:rPr>
              <w:t>Storage tank CAPEX</w:t>
            </w:r>
          </w:p>
          <w:p w14:paraId="42F9695B" w14:textId="0E0114FC" w:rsidR="00985373" w:rsidRPr="00B364CB" w:rsidRDefault="00985373" w:rsidP="009D0C2E">
            <w:pPr>
              <w:widowControl/>
              <w:rPr>
                <w:rFonts w:cs="Arial"/>
                <w:sz w:val="20"/>
                <w:szCs w:val="20"/>
                <w:lang w:eastAsia="en-GB" w:bidi="ar-SA"/>
              </w:rPr>
            </w:pPr>
            <w:r>
              <w:rPr>
                <w:rFonts w:cs="Arial"/>
                <w:sz w:val="20"/>
                <w:szCs w:val="20"/>
                <w:lang w:eastAsia="en-GB" w:bidi="ar-SA"/>
              </w:rPr>
              <w:t>(CG</w:t>
            </w:r>
            <w:r w:rsidRPr="00B364CB">
              <w:rPr>
                <w:rFonts w:cs="Arial"/>
                <w:sz w:val="20"/>
                <w:szCs w:val="20"/>
                <w:lang w:eastAsia="en-GB" w:bidi="ar-SA"/>
              </w:rPr>
              <w:t xml:space="preserve"> H</w:t>
            </w:r>
            <w:r w:rsidRPr="00E4788A">
              <w:rPr>
                <w:rFonts w:cs="Arial"/>
                <w:sz w:val="20"/>
                <w:szCs w:val="20"/>
                <w:vertAlign w:val="subscript"/>
                <w:lang w:eastAsia="en-GB" w:bidi="ar-SA"/>
              </w:rPr>
              <w:t>2</w:t>
            </w:r>
            <w:r>
              <w:rPr>
                <w:rFonts w:cs="Arial"/>
                <w:sz w:val="20"/>
                <w:szCs w:val="20"/>
                <w:lang w:eastAsia="en-GB" w:bidi="ar-SA"/>
              </w:rPr>
              <w:t>)</w:t>
            </w:r>
          </w:p>
        </w:tc>
        <w:tc>
          <w:tcPr>
            <w:tcW w:w="539" w:type="pct"/>
            <w:shd w:val="clear" w:color="auto" w:fill="auto"/>
            <w:vAlign w:val="center"/>
          </w:tcPr>
          <w:p w14:paraId="754BA963" w14:textId="41FF4447" w:rsidR="009D0C2E" w:rsidRPr="00DA371B" w:rsidRDefault="009D0C2E" w:rsidP="00F71FB6">
            <w:pPr>
              <w:widowControl/>
              <w:jc w:val="center"/>
              <w:rPr>
                <w:rFonts w:cs="Arial"/>
                <w:sz w:val="20"/>
                <w:szCs w:val="20"/>
                <w:lang w:eastAsia="en-GB" w:bidi="ar-SA"/>
              </w:rPr>
            </w:pPr>
            <w:r w:rsidRPr="00B364CB">
              <w:rPr>
                <w:rFonts w:cs="Arial"/>
                <w:sz w:val="20"/>
                <w:szCs w:val="20"/>
                <w:lang w:eastAsia="en-GB" w:bidi="ar-SA"/>
              </w:rPr>
              <w:t>€/kg</w:t>
            </w:r>
            <w:r w:rsidR="00DA371B">
              <w:rPr>
                <w:rFonts w:cs="Arial"/>
                <w:sz w:val="20"/>
                <w:szCs w:val="20"/>
                <w:lang w:eastAsia="en-GB" w:bidi="ar-SA"/>
              </w:rPr>
              <w:t xml:space="preserve"> H</w:t>
            </w:r>
            <w:r w:rsidR="00DA371B">
              <w:rPr>
                <w:rFonts w:cs="Arial"/>
                <w:sz w:val="20"/>
                <w:szCs w:val="20"/>
                <w:vertAlign w:val="subscript"/>
                <w:lang w:eastAsia="en-GB" w:bidi="ar-SA"/>
              </w:rPr>
              <w:t>2</w:t>
            </w:r>
          </w:p>
        </w:tc>
        <w:tc>
          <w:tcPr>
            <w:tcW w:w="770" w:type="pct"/>
            <w:vAlign w:val="center"/>
          </w:tcPr>
          <w:p w14:paraId="72AE394B" w14:textId="77777777" w:rsidR="009D0C2E" w:rsidRPr="00B364CB" w:rsidRDefault="009D0C2E" w:rsidP="00F71FB6">
            <w:pPr>
              <w:widowControl/>
              <w:jc w:val="center"/>
              <w:rPr>
                <w:rFonts w:cs="Arial"/>
                <w:sz w:val="20"/>
                <w:szCs w:val="20"/>
                <w:lang w:eastAsia="en-GB" w:bidi="ar-SA"/>
              </w:rPr>
            </w:pPr>
            <w:r w:rsidRPr="00B364CB">
              <w:rPr>
                <w:rFonts w:cs="Arial"/>
                <w:sz w:val="20"/>
                <w:szCs w:val="20"/>
                <w:lang w:eastAsia="en-GB" w:bidi="ar-SA"/>
              </w:rPr>
              <w:t>800</w:t>
            </w:r>
          </w:p>
        </w:tc>
        <w:tc>
          <w:tcPr>
            <w:tcW w:w="1232" w:type="pct"/>
            <w:shd w:val="clear" w:color="auto" w:fill="auto"/>
            <w:vAlign w:val="center"/>
          </w:tcPr>
          <w:p w14:paraId="20D8D5AE" w14:textId="77777777" w:rsidR="009D0C2E" w:rsidRPr="00B364CB" w:rsidRDefault="009D0C2E" w:rsidP="00F71FB6">
            <w:pPr>
              <w:widowControl/>
              <w:jc w:val="center"/>
              <w:rPr>
                <w:rFonts w:cs="Arial"/>
                <w:sz w:val="20"/>
                <w:szCs w:val="20"/>
                <w:lang w:eastAsia="en-GB" w:bidi="ar-SA"/>
              </w:rPr>
            </w:pPr>
            <w:r w:rsidRPr="00B364CB">
              <w:rPr>
                <w:rFonts w:cs="Arial"/>
                <w:sz w:val="20"/>
                <w:szCs w:val="20"/>
                <w:lang w:eastAsia="en-GB" w:bidi="ar-SA"/>
              </w:rPr>
              <w:t>500</w:t>
            </w:r>
          </w:p>
        </w:tc>
        <w:tc>
          <w:tcPr>
            <w:tcW w:w="1001" w:type="pct"/>
            <w:shd w:val="clear" w:color="auto" w:fill="auto"/>
            <w:vAlign w:val="center"/>
          </w:tcPr>
          <w:p w14:paraId="398A2930" w14:textId="77777777" w:rsidR="009D0C2E" w:rsidRPr="00B364CB" w:rsidRDefault="009D0C2E" w:rsidP="00F71FB6">
            <w:pPr>
              <w:widowControl/>
              <w:jc w:val="center"/>
              <w:rPr>
                <w:rFonts w:cs="Arial"/>
                <w:sz w:val="20"/>
                <w:szCs w:val="20"/>
                <w:lang w:eastAsia="en-GB" w:bidi="ar-SA"/>
              </w:rPr>
            </w:pPr>
            <w:r w:rsidRPr="00B364CB">
              <w:rPr>
                <w:rFonts w:cs="Arial"/>
                <w:sz w:val="20"/>
                <w:szCs w:val="20"/>
                <w:lang w:eastAsia="en-GB" w:bidi="ar-SA"/>
              </w:rPr>
              <w:t>300</w:t>
            </w:r>
          </w:p>
        </w:tc>
      </w:tr>
      <w:tr w:rsidR="00DA371B" w:rsidRPr="00B364CB" w14:paraId="3FD374D3" w14:textId="77777777" w:rsidTr="005C2698">
        <w:trPr>
          <w:trHeight w:val="525"/>
        </w:trPr>
        <w:tc>
          <w:tcPr>
            <w:tcW w:w="384" w:type="pct"/>
            <w:shd w:val="clear" w:color="auto" w:fill="auto"/>
            <w:vAlign w:val="center"/>
          </w:tcPr>
          <w:p w14:paraId="5CE76CCF" w14:textId="4E37D67D" w:rsidR="00DA371B" w:rsidRPr="00B364CB" w:rsidRDefault="00DA371B" w:rsidP="005C2698">
            <w:pPr>
              <w:widowControl/>
              <w:jc w:val="center"/>
              <w:rPr>
                <w:rFonts w:cs="Arial"/>
                <w:sz w:val="20"/>
                <w:szCs w:val="20"/>
                <w:lang w:eastAsia="en-GB" w:bidi="ar-SA"/>
              </w:rPr>
            </w:pPr>
            <w:r>
              <w:rPr>
                <w:rFonts w:cs="Arial"/>
                <w:sz w:val="20"/>
                <w:szCs w:val="20"/>
                <w:lang w:eastAsia="en-GB" w:bidi="ar-SA"/>
              </w:rPr>
              <w:t>8</w:t>
            </w:r>
          </w:p>
        </w:tc>
        <w:tc>
          <w:tcPr>
            <w:tcW w:w="1074" w:type="pct"/>
            <w:shd w:val="clear" w:color="auto" w:fill="auto"/>
          </w:tcPr>
          <w:p w14:paraId="35462767" w14:textId="6D9AA481" w:rsidR="00DA371B" w:rsidRPr="00DA371B" w:rsidRDefault="00DA371B" w:rsidP="005C2698">
            <w:pPr>
              <w:widowControl/>
              <w:rPr>
                <w:rFonts w:cs="Arial"/>
                <w:sz w:val="20"/>
                <w:szCs w:val="20"/>
                <w:lang w:eastAsia="en-GB" w:bidi="ar-SA"/>
              </w:rPr>
            </w:pPr>
            <w:r>
              <w:rPr>
                <w:rFonts w:cs="Arial"/>
                <w:sz w:val="20"/>
                <w:szCs w:val="20"/>
                <w:lang w:eastAsia="en-GB" w:bidi="ar-SA"/>
              </w:rPr>
              <w:t>S</w:t>
            </w:r>
            <w:r w:rsidRPr="00B364CB">
              <w:rPr>
                <w:rFonts w:cs="Arial"/>
                <w:sz w:val="20"/>
                <w:szCs w:val="20"/>
                <w:lang w:eastAsia="en-GB" w:bidi="ar-SA"/>
              </w:rPr>
              <w:t xml:space="preserve">torage tank </w:t>
            </w:r>
            <w:r>
              <w:rPr>
                <w:rFonts w:cs="Arial"/>
                <w:sz w:val="20"/>
                <w:szCs w:val="20"/>
                <w:lang w:eastAsia="en-GB" w:bidi="ar-SA"/>
              </w:rPr>
              <w:t>CAPEX (</w:t>
            </w:r>
            <w:r w:rsidRPr="00B364CB">
              <w:rPr>
                <w:rFonts w:cs="Arial"/>
                <w:sz w:val="20"/>
                <w:szCs w:val="20"/>
                <w:lang w:eastAsia="en-GB" w:bidi="ar-SA"/>
              </w:rPr>
              <w:t>LH</w:t>
            </w:r>
            <w:r w:rsidRPr="00E4788A">
              <w:rPr>
                <w:rFonts w:cs="Arial"/>
                <w:sz w:val="20"/>
                <w:szCs w:val="20"/>
                <w:vertAlign w:val="subscript"/>
                <w:lang w:eastAsia="en-GB" w:bidi="ar-SA"/>
              </w:rPr>
              <w:t>2</w:t>
            </w:r>
            <w:r>
              <w:rPr>
                <w:rFonts w:cs="Arial"/>
                <w:sz w:val="20"/>
                <w:szCs w:val="20"/>
                <w:lang w:eastAsia="en-GB" w:bidi="ar-SA"/>
              </w:rPr>
              <w:t>)</w:t>
            </w:r>
          </w:p>
        </w:tc>
        <w:tc>
          <w:tcPr>
            <w:tcW w:w="539" w:type="pct"/>
            <w:shd w:val="clear" w:color="auto" w:fill="auto"/>
            <w:vAlign w:val="center"/>
          </w:tcPr>
          <w:p w14:paraId="5F626AF7" w14:textId="77777777" w:rsidR="00DA371B" w:rsidRPr="00B364CB" w:rsidRDefault="00DA371B" w:rsidP="005C2698">
            <w:pPr>
              <w:widowControl/>
              <w:jc w:val="center"/>
              <w:rPr>
                <w:rFonts w:cs="Arial"/>
                <w:sz w:val="20"/>
                <w:szCs w:val="20"/>
                <w:lang w:eastAsia="en-GB" w:bidi="ar-SA"/>
              </w:rPr>
            </w:pPr>
            <w:r w:rsidRPr="00B364CB">
              <w:rPr>
                <w:rFonts w:cs="Arial"/>
                <w:sz w:val="20"/>
                <w:szCs w:val="20"/>
                <w:lang w:eastAsia="en-GB" w:bidi="ar-SA"/>
              </w:rPr>
              <w:t>€/kg H</w:t>
            </w:r>
            <w:r w:rsidRPr="00E4788A">
              <w:rPr>
                <w:rFonts w:cs="Arial"/>
                <w:sz w:val="20"/>
                <w:szCs w:val="20"/>
                <w:vertAlign w:val="subscript"/>
                <w:lang w:eastAsia="en-GB" w:bidi="ar-SA"/>
              </w:rPr>
              <w:t>2</w:t>
            </w:r>
          </w:p>
        </w:tc>
        <w:tc>
          <w:tcPr>
            <w:tcW w:w="770" w:type="pct"/>
            <w:vAlign w:val="center"/>
          </w:tcPr>
          <w:p w14:paraId="5DAE69AF" w14:textId="77777777" w:rsidR="00DA371B" w:rsidRPr="00B364CB" w:rsidDel="00951F8A" w:rsidRDefault="00DA371B" w:rsidP="005C2698">
            <w:pPr>
              <w:widowControl/>
              <w:jc w:val="center"/>
              <w:rPr>
                <w:rFonts w:cs="Arial"/>
                <w:sz w:val="20"/>
                <w:szCs w:val="20"/>
                <w:lang w:eastAsia="en-GB" w:bidi="ar-SA"/>
              </w:rPr>
            </w:pPr>
            <w:r w:rsidRPr="00B364CB">
              <w:rPr>
                <w:rFonts w:cs="Arial"/>
                <w:sz w:val="20"/>
                <w:szCs w:val="20"/>
                <w:lang w:eastAsia="en-GB" w:bidi="ar-SA"/>
              </w:rPr>
              <w:t>n/a</w:t>
            </w:r>
          </w:p>
        </w:tc>
        <w:tc>
          <w:tcPr>
            <w:tcW w:w="1232" w:type="pct"/>
            <w:shd w:val="clear" w:color="auto" w:fill="auto"/>
            <w:vAlign w:val="center"/>
          </w:tcPr>
          <w:p w14:paraId="07194441" w14:textId="77777777" w:rsidR="00DA371B" w:rsidRPr="00B364CB" w:rsidRDefault="00DA371B" w:rsidP="005C2698">
            <w:pPr>
              <w:widowControl/>
              <w:jc w:val="center"/>
              <w:rPr>
                <w:rFonts w:cs="Arial"/>
                <w:sz w:val="20"/>
                <w:szCs w:val="20"/>
                <w:lang w:eastAsia="en-GB" w:bidi="ar-SA"/>
              </w:rPr>
            </w:pPr>
            <w:r w:rsidRPr="00B364CB">
              <w:rPr>
                <w:rFonts w:cs="Arial"/>
                <w:sz w:val="20"/>
                <w:szCs w:val="20"/>
                <w:lang w:eastAsia="en-GB" w:bidi="ar-SA"/>
              </w:rPr>
              <w:t>320</w:t>
            </w:r>
          </w:p>
        </w:tc>
        <w:tc>
          <w:tcPr>
            <w:tcW w:w="1001" w:type="pct"/>
            <w:shd w:val="clear" w:color="auto" w:fill="auto"/>
            <w:vAlign w:val="center"/>
          </w:tcPr>
          <w:p w14:paraId="6F5C37BE" w14:textId="77777777" w:rsidR="00DA371B" w:rsidRPr="00B364CB" w:rsidRDefault="00DA371B" w:rsidP="005C2698">
            <w:pPr>
              <w:widowControl/>
              <w:jc w:val="center"/>
              <w:rPr>
                <w:rFonts w:cs="Arial"/>
                <w:sz w:val="20"/>
                <w:szCs w:val="20"/>
                <w:highlight w:val="green"/>
                <w:lang w:eastAsia="en-GB" w:bidi="ar-SA"/>
              </w:rPr>
            </w:pPr>
            <w:r w:rsidRPr="00B364CB">
              <w:rPr>
                <w:rFonts w:cs="Arial"/>
                <w:sz w:val="20"/>
                <w:szCs w:val="20"/>
                <w:lang w:eastAsia="en-GB" w:bidi="ar-SA"/>
              </w:rPr>
              <w:t>245</w:t>
            </w:r>
          </w:p>
        </w:tc>
      </w:tr>
      <w:tr w:rsidR="00C5146F" w:rsidRPr="00B364CB" w14:paraId="364EA65E" w14:textId="77777777" w:rsidTr="009B6137">
        <w:trPr>
          <w:trHeight w:val="525"/>
        </w:trPr>
        <w:tc>
          <w:tcPr>
            <w:tcW w:w="384" w:type="pct"/>
            <w:shd w:val="clear" w:color="auto" w:fill="auto"/>
            <w:vAlign w:val="center"/>
            <w:hideMark/>
          </w:tcPr>
          <w:p w14:paraId="2C6AEBE0" w14:textId="51847B03" w:rsidR="009D0C2E" w:rsidRPr="00B364CB" w:rsidRDefault="00DA371B" w:rsidP="009D0C2E">
            <w:pPr>
              <w:widowControl/>
              <w:jc w:val="center"/>
              <w:rPr>
                <w:rFonts w:cs="Arial"/>
                <w:sz w:val="20"/>
                <w:szCs w:val="20"/>
                <w:lang w:eastAsia="en-GB" w:bidi="ar-SA"/>
              </w:rPr>
            </w:pPr>
            <w:r>
              <w:rPr>
                <w:rFonts w:cs="Arial"/>
                <w:sz w:val="20"/>
                <w:szCs w:val="20"/>
                <w:lang w:eastAsia="en-GB" w:bidi="ar-SA"/>
              </w:rPr>
              <w:t>9</w:t>
            </w:r>
          </w:p>
        </w:tc>
        <w:tc>
          <w:tcPr>
            <w:tcW w:w="1074" w:type="pct"/>
            <w:shd w:val="clear" w:color="auto" w:fill="auto"/>
            <w:vAlign w:val="center"/>
          </w:tcPr>
          <w:p w14:paraId="1CE7C618" w14:textId="77777777" w:rsidR="009D0C2E" w:rsidRPr="00B364CB" w:rsidRDefault="009D0C2E" w:rsidP="009D0C2E">
            <w:pPr>
              <w:widowControl/>
              <w:rPr>
                <w:rFonts w:cs="Arial"/>
                <w:sz w:val="20"/>
                <w:szCs w:val="20"/>
                <w:lang w:eastAsia="en-GB" w:bidi="ar-SA"/>
              </w:rPr>
            </w:pPr>
            <w:r w:rsidRPr="00B364CB">
              <w:rPr>
                <w:rFonts w:cs="Arial"/>
                <w:sz w:val="20"/>
                <w:szCs w:val="20"/>
                <w:lang w:eastAsia="en-GB" w:bidi="ar-SA"/>
              </w:rPr>
              <w:t>Gravimetric capacity</w:t>
            </w:r>
            <w:r>
              <w:rPr>
                <w:rFonts w:cs="Arial"/>
                <w:sz w:val="20"/>
                <w:szCs w:val="20"/>
                <w:lang w:eastAsia="en-GB" w:bidi="ar-SA"/>
              </w:rPr>
              <w:t xml:space="preserve"> (CG</w:t>
            </w:r>
            <w:r w:rsidRPr="00B364CB">
              <w:rPr>
                <w:rFonts w:cs="Arial"/>
                <w:sz w:val="20"/>
                <w:szCs w:val="20"/>
                <w:lang w:eastAsia="en-GB" w:bidi="ar-SA"/>
              </w:rPr>
              <w:t xml:space="preserve"> H</w:t>
            </w:r>
            <w:r w:rsidRPr="00E4788A">
              <w:rPr>
                <w:rFonts w:cs="Arial"/>
                <w:sz w:val="20"/>
                <w:szCs w:val="20"/>
                <w:vertAlign w:val="subscript"/>
                <w:lang w:eastAsia="en-GB" w:bidi="ar-SA"/>
              </w:rPr>
              <w:t>2</w:t>
            </w:r>
            <w:r>
              <w:rPr>
                <w:rFonts w:cs="Arial"/>
                <w:sz w:val="20"/>
                <w:szCs w:val="20"/>
                <w:lang w:eastAsia="en-GB" w:bidi="ar-SA"/>
              </w:rPr>
              <w:t>)</w:t>
            </w:r>
          </w:p>
        </w:tc>
        <w:tc>
          <w:tcPr>
            <w:tcW w:w="539" w:type="pct"/>
            <w:shd w:val="clear" w:color="auto" w:fill="auto"/>
            <w:vAlign w:val="center"/>
          </w:tcPr>
          <w:p w14:paraId="02A758C5" w14:textId="77777777" w:rsidR="009D0C2E" w:rsidRPr="00B364CB" w:rsidRDefault="009D0C2E" w:rsidP="00F71FB6">
            <w:pPr>
              <w:widowControl/>
              <w:jc w:val="center"/>
              <w:rPr>
                <w:rFonts w:cs="Arial"/>
                <w:sz w:val="20"/>
                <w:szCs w:val="20"/>
                <w:lang w:eastAsia="en-GB" w:bidi="ar-SA"/>
              </w:rPr>
            </w:pPr>
            <w:r w:rsidRPr="00B364CB">
              <w:rPr>
                <w:rFonts w:cs="Arial"/>
                <w:sz w:val="20"/>
                <w:szCs w:val="20"/>
                <w:lang w:eastAsia="en-GB" w:bidi="ar-SA"/>
              </w:rPr>
              <w:t>%</w:t>
            </w:r>
          </w:p>
        </w:tc>
        <w:tc>
          <w:tcPr>
            <w:tcW w:w="770" w:type="pct"/>
            <w:vAlign w:val="center"/>
          </w:tcPr>
          <w:p w14:paraId="69052D12" w14:textId="2D2EB13D" w:rsidR="009D0C2E" w:rsidRPr="00B364CB" w:rsidRDefault="009D0C2E" w:rsidP="00F71FB6">
            <w:pPr>
              <w:widowControl/>
              <w:jc w:val="center"/>
              <w:rPr>
                <w:rFonts w:cs="Arial"/>
                <w:sz w:val="20"/>
                <w:szCs w:val="20"/>
                <w:lang w:eastAsia="en-GB" w:bidi="ar-SA"/>
              </w:rPr>
            </w:pPr>
            <w:r w:rsidRPr="00B364CB">
              <w:rPr>
                <w:rFonts w:cs="Arial"/>
                <w:sz w:val="20"/>
                <w:szCs w:val="20"/>
                <w:lang w:eastAsia="en-GB" w:bidi="ar-SA"/>
              </w:rPr>
              <w:t>6</w:t>
            </w:r>
          </w:p>
        </w:tc>
        <w:tc>
          <w:tcPr>
            <w:tcW w:w="1232" w:type="pct"/>
            <w:shd w:val="clear" w:color="auto" w:fill="auto"/>
            <w:vAlign w:val="center"/>
          </w:tcPr>
          <w:p w14:paraId="069EEB87" w14:textId="73523C16" w:rsidR="009D0C2E" w:rsidRPr="00B364CB" w:rsidRDefault="009D0C2E" w:rsidP="00F71FB6">
            <w:pPr>
              <w:widowControl/>
              <w:jc w:val="center"/>
              <w:rPr>
                <w:rFonts w:cs="Arial"/>
                <w:sz w:val="20"/>
                <w:szCs w:val="20"/>
                <w:lang w:eastAsia="en-GB" w:bidi="ar-SA"/>
              </w:rPr>
            </w:pPr>
            <w:r w:rsidRPr="00B364CB">
              <w:rPr>
                <w:rFonts w:cs="Arial"/>
                <w:sz w:val="20"/>
                <w:szCs w:val="20"/>
                <w:lang w:eastAsia="en-GB" w:bidi="ar-SA"/>
              </w:rPr>
              <w:t>6.5</w:t>
            </w:r>
          </w:p>
        </w:tc>
        <w:tc>
          <w:tcPr>
            <w:tcW w:w="1001" w:type="pct"/>
            <w:shd w:val="clear" w:color="auto" w:fill="auto"/>
            <w:vAlign w:val="center"/>
          </w:tcPr>
          <w:p w14:paraId="19BE5850" w14:textId="34D80A69" w:rsidR="009D0C2E" w:rsidRPr="00B364CB" w:rsidRDefault="009D0C2E" w:rsidP="00F71FB6">
            <w:pPr>
              <w:widowControl/>
              <w:jc w:val="center"/>
              <w:rPr>
                <w:rFonts w:cs="Arial"/>
                <w:sz w:val="20"/>
                <w:szCs w:val="20"/>
                <w:lang w:eastAsia="en-GB" w:bidi="ar-SA"/>
              </w:rPr>
            </w:pPr>
            <w:r w:rsidRPr="00B364CB">
              <w:rPr>
                <w:rFonts w:cs="Arial"/>
                <w:sz w:val="20"/>
                <w:szCs w:val="20"/>
                <w:lang w:eastAsia="en-GB" w:bidi="ar-SA"/>
              </w:rPr>
              <w:t>7</w:t>
            </w:r>
          </w:p>
        </w:tc>
      </w:tr>
      <w:tr w:rsidR="00B170D2" w:rsidRPr="00B364CB" w14:paraId="3528F358" w14:textId="77777777" w:rsidTr="009B6137">
        <w:trPr>
          <w:trHeight w:val="525"/>
        </w:trPr>
        <w:tc>
          <w:tcPr>
            <w:tcW w:w="384" w:type="pct"/>
            <w:shd w:val="clear" w:color="auto" w:fill="auto"/>
            <w:vAlign w:val="center"/>
          </w:tcPr>
          <w:p w14:paraId="02512B8F" w14:textId="7CA7F090" w:rsidR="00F71FB6" w:rsidRPr="00B364CB" w:rsidRDefault="00DA371B" w:rsidP="00F71FB6">
            <w:pPr>
              <w:widowControl/>
              <w:jc w:val="center"/>
              <w:rPr>
                <w:rFonts w:cs="Arial"/>
                <w:sz w:val="20"/>
                <w:szCs w:val="20"/>
                <w:lang w:eastAsia="en-GB" w:bidi="ar-SA"/>
              </w:rPr>
            </w:pPr>
            <w:r>
              <w:rPr>
                <w:rFonts w:cs="Arial"/>
                <w:sz w:val="20"/>
                <w:szCs w:val="20"/>
                <w:lang w:eastAsia="en-GB" w:bidi="ar-SA"/>
              </w:rPr>
              <w:t>10</w:t>
            </w:r>
          </w:p>
        </w:tc>
        <w:tc>
          <w:tcPr>
            <w:tcW w:w="1074" w:type="pct"/>
            <w:shd w:val="clear" w:color="auto" w:fill="auto"/>
            <w:vAlign w:val="center"/>
          </w:tcPr>
          <w:p w14:paraId="5B7B406B" w14:textId="77777777" w:rsidR="00F71FB6" w:rsidRPr="00B364CB" w:rsidRDefault="00F71FB6" w:rsidP="00F71FB6">
            <w:pPr>
              <w:widowControl/>
              <w:rPr>
                <w:rFonts w:cs="Arial"/>
                <w:sz w:val="20"/>
                <w:szCs w:val="20"/>
                <w:lang w:eastAsia="en-GB" w:bidi="ar-SA"/>
              </w:rPr>
            </w:pPr>
            <w:r w:rsidRPr="00B364CB">
              <w:rPr>
                <w:rFonts w:cs="Arial"/>
                <w:sz w:val="20"/>
                <w:szCs w:val="20"/>
                <w:lang w:eastAsia="en-GB" w:bidi="ar-SA"/>
              </w:rPr>
              <w:t>Conformability LH</w:t>
            </w:r>
            <w:r w:rsidRPr="00E4788A">
              <w:rPr>
                <w:rFonts w:cs="Arial"/>
                <w:sz w:val="20"/>
                <w:szCs w:val="20"/>
                <w:vertAlign w:val="subscript"/>
                <w:lang w:eastAsia="en-GB" w:bidi="ar-SA"/>
              </w:rPr>
              <w:t>2</w:t>
            </w:r>
          </w:p>
        </w:tc>
        <w:tc>
          <w:tcPr>
            <w:tcW w:w="539" w:type="pct"/>
            <w:shd w:val="clear" w:color="auto" w:fill="auto"/>
            <w:vAlign w:val="center"/>
          </w:tcPr>
          <w:p w14:paraId="4F9C38C6" w14:textId="77777777" w:rsidR="00F71FB6" w:rsidRPr="00B364CB" w:rsidRDefault="00F71FB6" w:rsidP="00F71FB6">
            <w:pPr>
              <w:widowControl/>
              <w:jc w:val="center"/>
              <w:rPr>
                <w:rFonts w:cs="Arial"/>
                <w:sz w:val="20"/>
                <w:szCs w:val="20"/>
                <w:lang w:eastAsia="en-GB" w:bidi="ar-SA"/>
              </w:rPr>
            </w:pPr>
            <w:r w:rsidRPr="00B364CB">
              <w:rPr>
                <w:rFonts w:cs="Arial"/>
                <w:sz w:val="20"/>
                <w:szCs w:val="20"/>
                <w:lang w:eastAsia="en-GB" w:bidi="ar-SA"/>
              </w:rPr>
              <w:t>%</w:t>
            </w:r>
          </w:p>
        </w:tc>
        <w:tc>
          <w:tcPr>
            <w:tcW w:w="770" w:type="pct"/>
            <w:vAlign w:val="center"/>
          </w:tcPr>
          <w:p w14:paraId="67242E34" w14:textId="77777777" w:rsidR="00F71FB6" w:rsidRPr="00B364CB" w:rsidRDefault="00F71FB6" w:rsidP="00F71FB6">
            <w:pPr>
              <w:widowControl/>
              <w:jc w:val="center"/>
              <w:rPr>
                <w:rFonts w:cs="Arial"/>
                <w:sz w:val="20"/>
                <w:szCs w:val="20"/>
                <w:lang w:eastAsia="en-GB" w:bidi="ar-SA"/>
              </w:rPr>
            </w:pPr>
            <w:r w:rsidRPr="00B364CB">
              <w:rPr>
                <w:rFonts w:cs="Arial"/>
                <w:sz w:val="20"/>
                <w:szCs w:val="20"/>
                <w:lang w:eastAsia="en-GB" w:bidi="ar-SA"/>
              </w:rPr>
              <w:t>40</w:t>
            </w:r>
          </w:p>
        </w:tc>
        <w:tc>
          <w:tcPr>
            <w:tcW w:w="1232" w:type="pct"/>
            <w:shd w:val="clear" w:color="auto" w:fill="auto"/>
            <w:vAlign w:val="center"/>
          </w:tcPr>
          <w:p w14:paraId="08C2A28D" w14:textId="77777777" w:rsidR="00F71FB6" w:rsidRPr="00B364CB" w:rsidRDefault="00F71FB6" w:rsidP="00F71FB6">
            <w:pPr>
              <w:widowControl/>
              <w:jc w:val="center"/>
              <w:rPr>
                <w:rFonts w:cs="Arial"/>
                <w:sz w:val="20"/>
                <w:szCs w:val="20"/>
                <w:lang w:eastAsia="en-GB" w:bidi="ar-SA"/>
              </w:rPr>
            </w:pPr>
            <w:r w:rsidRPr="00B364CB">
              <w:rPr>
                <w:rFonts w:cs="Arial"/>
                <w:sz w:val="20"/>
                <w:szCs w:val="20"/>
                <w:lang w:eastAsia="en-GB" w:bidi="ar-SA"/>
              </w:rPr>
              <w:t>45</w:t>
            </w:r>
          </w:p>
        </w:tc>
        <w:tc>
          <w:tcPr>
            <w:tcW w:w="1001" w:type="pct"/>
            <w:shd w:val="clear" w:color="auto" w:fill="auto"/>
            <w:vAlign w:val="center"/>
          </w:tcPr>
          <w:p w14:paraId="6F79B67C" w14:textId="77777777" w:rsidR="00F71FB6" w:rsidRPr="00B364CB" w:rsidRDefault="00F71FB6" w:rsidP="00F71FB6">
            <w:pPr>
              <w:widowControl/>
              <w:jc w:val="center"/>
              <w:rPr>
                <w:rFonts w:cs="Arial"/>
                <w:sz w:val="20"/>
                <w:szCs w:val="20"/>
                <w:lang w:eastAsia="en-GB" w:bidi="ar-SA"/>
              </w:rPr>
            </w:pPr>
            <w:r w:rsidRPr="00B364CB">
              <w:rPr>
                <w:rFonts w:cs="Arial"/>
                <w:sz w:val="20"/>
                <w:szCs w:val="20"/>
                <w:lang w:eastAsia="en-GB" w:bidi="ar-SA"/>
              </w:rPr>
              <w:t>55</w:t>
            </w:r>
          </w:p>
        </w:tc>
      </w:tr>
      <w:tr w:rsidR="00C5146F" w:rsidRPr="00B364CB" w14:paraId="3CF9B126" w14:textId="77777777" w:rsidTr="009B6137">
        <w:trPr>
          <w:trHeight w:val="525"/>
        </w:trPr>
        <w:tc>
          <w:tcPr>
            <w:tcW w:w="384" w:type="pct"/>
            <w:shd w:val="clear" w:color="auto" w:fill="auto"/>
            <w:vAlign w:val="center"/>
          </w:tcPr>
          <w:p w14:paraId="29761026" w14:textId="51C4B155" w:rsidR="00F71FB6" w:rsidRPr="00B364CB" w:rsidRDefault="00670392" w:rsidP="00F71FB6">
            <w:pPr>
              <w:widowControl/>
              <w:jc w:val="center"/>
              <w:rPr>
                <w:rFonts w:cs="Arial"/>
                <w:sz w:val="20"/>
                <w:szCs w:val="20"/>
                <w:lang w:eastAsia="en-GB" w:bidi="ar-SA"/>
              </w:rPr>
            </w:pPr>
            <w:r>
              <w:rPr>
                <w:rFonts w:cs="Arial"/>
                <w:sz w:val="20"/>
                <w:szCs w:val="20"/>
                <w:lang w:eastAsia="en-GB" w:bidi="ar-SA"/>
              </w:rPr>
              <w:t>11</w:t>
            </w:r>
          </w:p>
        </w:tc>
        <w:tc>
          <w:tcPr>
            <w:tcW w:w="1074" w:type="pct"/>
            <w:shd w:val="clear" w:color="auto" w:fill="auto"/>
          </w:tcPr>
          <w:p w14:paraId="31564924" w14:textId="77777777" w:rsidR="00F71FB6" w:rsidRPr="00B364CB" w:rsidRDefault="00F71FB6" w:rsidP="00F71FB6">
            <w:pPr>
              <w:widowControl/>
              <w:rPr>
                <w:rFonts w:cs="Arial"/>
                <w:sz w:val="20"/>
                <w:szCs w:val="20"/>
                <w:lang w:eastAsia="en-GB" w:bidi="ar-SA"/>
              </w:rPr>
            </w:pPr>
            <w:r w:rsidRPr="00B364CB">
              <w:rPr>
                <w:rFonts w:cs="Arial"/>
                <w:sz w:val="20"/>
                <w:szCs w:val="20"/>
                <w:lang w:eastAsia="en-GB" w:bidi="ar-SA"/>
              </w:rPr>
              <w:t>Gravimetric Capacity LH</w:t>
            </w:r>
            <w:r w:rsidRPr="00E4788A">
              <w:rPr>
                <w:rFonts w:cs="Arial"/>
                <w:sz w:val="20"/>
                <w:szCs w:val="20"/>
                <w:vertAlign w:val="subscript"/>
                <w:lang w:eastAsia="en-GB" w:bidi="ar-SA"/>
              </w:rPr>
              <w:t>2</w:t>
            </w:r>
          </w:p>
        </w:tc>
        <w:tc>
          <w:tcPr>
            <w:tcW w:w="539" w:type="pct"/>
            <w:shd w:val="clear" w:color="auto" w:fill="auto"/>
            <w:vAlign w:val="center"/>
          </w:tcPr>
          <w:p w14:paraId="5640B18F" w14:textId="77777777" w:rsidR="00F71FB6" w:rsidRPr="00B364CB" w:rsidRDefault="00F71FB6" w:rsidP="00F71FB6">
            <w:pPr>
              <w:widowControl/>
              <w:jc w:val="center"/>
              <w:rPr>
                <w:rFonts w:cs="Arial"/>
                <w:sz w:val="20"/>
                <w:szCs w:val="20"/>
                <w:lang w:eastAsia="en-GB" w:bidi="ar-SA"/>
              </w:rPr>
            </w:pPr>
            <w:r w:rsidRPr="00B364CB">
              <w:rPr>
                <w:rFonts w:cs="Arial"/>
                <w:sz w:val="20"/>
                <w:szCs w:val="20"/>
                <w:lang w:eastAsia="en-GB" w:bidi="ar-SA"/>
              </w:rPr>
              <w:t>%</w:t>
            </w:r>
          </w:p>
        </w:tc>
        <w:tc>
          <w:tcPr>
            <w:tcW w:w="770" w:type="pct"/>
            <w:vAlign w:val="center"/>
          </w:tcPr>
          <w:p w14:paraId="0AE89FBB" w14:textId="77777777" w:rsidR="00F71FB6" w:rsidRPr="00B364CB" w:rsidRDefault="00F71FB6" w:rsidP="00F71FB6">
            <w:pPr>
              <w:widowControl/>
              <w:jc w:val="center"/>
              <w:rPr>
                <w:rFonts w:cs="Arial"/>
                <w:sz w:val="20"/>
                <w:szCs w:val="20"/>
                <w:lang w:eastAsia="en-GB" w:bidi="ar-SA"/>
              </w:rPr>
            </w:pPr>
            <w:r w:rsidRPr="00B364CB">
              <w:rPr>
                <w:rFonts w:cs="Arial"/>
                <w:sz w:val="20"/>
                <w:szCs w:val="20"/>
                <w:lang w:eastAsia="en-GB" w:bidi="ar-SA"/>
              </w:rPr>
              <w:t>8</w:t>
            </w:r>
          </w:p>
        </w:tc>
        <w:tc>
          <w:tcPr>
            <w:tcW w:w="1232" w:type="pct"/>
            <w:shd w:val="clear" w:color="auto" w:fill="auto"/>
            <w:vAlign w:val="center"/>
          </w:tcPr>
          <w:p w14:paraId="1944882D" w14:textId="77777777" w:rsidR="00F71FB6" w:rsidRPr="00B364CB" w:rsidRDefault="00F71FB6" w:rsidP="00F71FB6">
            <w:pPr>
              <w:widowControl/>
              <w:jc w:val="center"/>
              <w:rPr>
                <w:rFonts w:cs="Arial"/>
                <w:sz w:val="20"/>
                <w:szCs w:val="20"/>
                <w:lang w:eastAsia="en-GB" w:bidi="ar-SA"/>
              </w:rPr>
            </w:pPr>
            <w:r w:rsidRPr="00B364CB">
              <w:rPr>
                <w:rFonts w:cs="Arial"/>
                <w:sz w:val="20"/>
                <w:szCs w:val="20"/>
                <w:lang w:eastAsia="en-GB" w:bidi="ar-SA"/>
              </w:rPr>
              <w:t>10</w:t>
            </w:r>
          </w:p>
        </w:tc>
        <w:tc>
          <w:tcPr>
            <w:tcW w:w="1001" w:type="pct"/>
            <w:shd w:val="clear" w:color="auto" w:fill="auto"/>
            <w:vAlign w:val="center"/>
          </w:tcPr>
          <w:p w14:paraId="7528E582" w14:textId="77777777" w:rsidR="00F71FB6" w:rsidRPr="00B364CB" w:rsidRDefault="00F71FB6" w:rsidP="00F71FB6">
            <w:pPr>
              <w:widowControl/>
              <w:jc w:val="center"/>
              <w:rPr>
                <w:rFonts w:cs="Arial"/>
                <w:sz w:val="20"/>
                <w:szCs w:val="20"/>
                <w:lang w:eastAsia="en-GB" w:bidi="ar-SA"/>
              </w:rPr>
            </w:pPr>
            <w:r w:rsidRPr="00B364CB">
              <w:rPr>
                <w:rFonts w:cs="Arial"/>
                <w:sz w:val="20"/>
                <w:szCs w:val="20"/>
                <w:lang w:eastAsia="en-GB" w:bidi="ar-SA"/>
              </w:rPr>
              <w:t>12</w:t>
            </w:r>
          </w:p>
        </w:tc>
      </w:tr>
      <w:tr w:rsidR="00C5146F" w:rsidRPr="00B364CB" w14:paraId="2780279C" w14:textId="77777777" w:rsidTr="009B6137">
        <w:trPr>
          <w:trHeight w:val="525"/>
        </w:trPr>
        <w:tc>
          <w:tcPr>
            <w:tcW w:w="384" w:type="pct"/>
            <w:shd w:val="clear" w:color="auto" w:fill="auto"/>
            <w:vAlign w:val="center"/>
          </w:tcPr>
          <w:p w14:paraId="520DE1A2" w14:textId="3A7D4860" w:rsidR="009D0C2E" w:rsidRPr="00B364CB" w:rsidRDefault="00670392" w:rsidP="009D0C2E">
            <w:pPr>
              <w:widowControl/>
              <w:jc w:val="center"/>
              <w:rPr>
                <w:rFonts w:cs="Arial"/>
                <w:sz w:val="20"/>
                <w:szCs w:val="20"/>
                <w:lang w:eastAsia="en-GB" w:bidi="ar-SA"/>
              </w:rPr>
            </w:pPr>
            <w:r>
              <w:rPr>
                <w:rFonts w:cs="Arial"/>
                <w:sz w:val="20"/>
                <w:szCs w:val="20"/>
                <w:lang w:eastAsia="en-GB" w:bidi="ar-SA"/>
              </w:rPr>
              <w:t>12</w:t>
            </w:r>
          </w:p>
        </w:tc>
        <w:tc>
          <w:tcPr>
            <w:tcW w:w="1074" w:type="pct"/>
            <w:shd w:val="clear" w:color="auto" w:fill="auto"/>
          </w:tcPr>
          <w:p w14:paraId="7995F417" w14:textId="77777777" w:rsidR="009D0C2E" w:rsidRPr="00B364CB" w:rsidRDefault="009D0C2E" w:rsidP="009D0C2E">
            <w:pPr>
              <w:widowControl/>
              <w:rPr>
                <w:rFonts w:cs="Arial"/>
                <w:sz w:val="20"/>
                <w:szCs w:val="20"/>
                <w:lang w:eastAsia="en-GB" w:bidi="ar-SA"/>
              </w:rPr>
            </w:pPr>
            <w:r w:rsidRPr="00B364CB">
              <w:rPr>
                <w:rFonts w:cs="Arial"/>
                <w:sz w:val="20"/>
                <w:szCs w:val="20"/>
                <w:lang w:eastAsia="en-GB" w:bidi="ar-SA"/>
              </w:rPr>
              <w:t>LH</w:t>
            </w:r>
            <w:r w:rsidRPr="00E4788A">
              <w:rPr>
                <w:rFonts w:cs="Arial"/>
                <w:sz w:val="20"/>
                <w:szCs w:val="20"/>
                <w:vertAlign w:val="subscript"/>
                <w:lang w:eastAsia="en-GB" w:bidi="ar-SA"/>
              </w:rPr>
              <w:t>2</w:t>
            </w:r>
            <w:r w:rsidRPr="00B364CB">
              <w:rPr>
                <w:rFonts w:cs="Arial"/>
                <w:sz w:val="20"/>
                <w:szCs w:val="20"/>
                <w:lang w:eastAsia="en-GB" w:bidi="ar-SA"/>
              </w:rPr>
              <w:t xml:space="preserve"> tank volumetric Capacity</w:t>
            </w:r>
          </w:p>
        </w:tc>
        <w:tc>
          <w:tcPr>
            <w:tcW w:w="539" w:type="pct"/>
            <w:shd w:val="clear" w:color="auto" w:fill="auto"/>
            <w:vAlign w:val="center"/>
          </w:tcPr>
          <w:p w14:paraId="08C21A4F" w14:textId="77777777" w:rsidR="009D0C2E" w:rsidRPr="00B364CB" w:rsidRDefault="009D0C2E" w:rsidP="00F71FB6">
            <w:pPr>
              <w:widowControl/>
              <w:jc w:val="center"/>
              <w:rPr>
                <w:rFonts w:cs="Arial"/>
                <w:sz w:val="20"/>
                <w:szCs w:val="20"/>
                <w:lang w:eastAsia="en-GB" w:bidi="ar-SA"/>
              </w:rPr>
            </w:pPr>
            <w:r w:rsidRPr="00B364CB">
              <w:rPr>
                <w:rFonts w:cs="Arial"/>
                <w:sz w:val="20"/>
                <w:szCs w:val="20"/>
                <w:lang w:eastAsia="en-GB" w:bidi="ar-SA"/>
              </w:rPr>
              <w:t>gH</w:t>
            </w:r>
            <w:r w:rsidRPr="00E4788A">
              <w:rPr>
                <w:rFonts w:cs="Arial"/>
                <w:sz w:val="20"/>
                <w:szCs w:val="20"/>
                <w:vertAlign w:val="subscript"/>
                <w:lang w:eastAsia="en-GB" w:bidi="ar-SA"/>
              </w:rPr>
              <w:t>2</w:t>
            </w:r>
            <w:r w:rsidRPr="00B364CB">
              <w:rPr>
                <w:rFonts w:cs="Arial"/>
                <w:sz w:val="20"/>
                <w:szCs w:val="20"/>
                <w:lang w:eastAsia="en-GB" w:bidi="ar-SA"/>
              </w:rPr>
              <w:t>/l</w:t>
            </w:r>
          </w:p>
          <w:p w14:paraId="1977F73B" w14:textId="77777777" w:rsidR="009D0C2E" w:rsidRPr="00B364CB" w:rsidRDefault="009D0C2E" w:rsidP="00F71FB6">
            <w:pPr>
              <w:widowControl/>
              <w:jc w:val="center"/>
              <w:rPr>
                <w:rFonts w:cs="Arial"/>
                <w:sz w:val="20"/>
                <w:szCs w:val="20"/>
                <w:lang w:eastAsia="en-GB" w:bidi="ar-SA"/>
              </w:rPr>
            </w:pPr>
            <w:r w:rsidRPr="00B364CB">
              <w:rPr>
                <w:rFonts w:cs="Arial"/>
                <w:sz w:val="20"/>
                <w:szCs w:val="20"/>
                <w:lang w:eastAsia="en-GB" w:bidi="ar-SA"/>
              </w:rPr>
              <w:t>system</w:t>
            </w:r>
          </w:p>
        </w:tc>
        <w:tc>
          <w:tcPr>
            <w:tcW w:w="770" w:type="pct"/>
            <w:vAlign w:val="center"/>
          </w:tcPr>
          <w:p w14:paraId="2A54648F" w14:textId="77777777" w:rsidR="009D0C2E" w:rsidRPr="00B364CB" w:rsidRDefault="009D0C2E" w:rsidP="00F71FB6">
            <w:pPr>
              <w:widowControl/>
              <w:jc w:val="center"/>
              <w:rPr>
                <w:rFonts w:cs="Arial"/>
                <w:sz w:val="20"/>
                <w:szCs w:val="20"/>
                <w:lang w:eastAsia="en-GB" w:bidi="ar-SA"/>
              </w:rPr>
            </w:pPr>
          </w:p>
          <w:p w14:paraId="02A2786D" w14:textId="77777777" w:rsidR="009D0C2E" w:rsidRPr="00B364CB" w:rsidDel="00951F8A" w:rsidRDefault="009D0C2E" w:rsidP="00F71FB6">
            <w:pPr>
              <w:widowControl/>
              <w:jc w:val="center"/>
              <w:rPr>
                <w:rFonts w:cs="Arial"/>
                <w:sz w:val="20"/>
                <w:szCs w:val="20"/>
                <w:lang w:eastAsia="en-GB" w:bidi="ar-SA"/>
              </w:rPr>
            </w:pPr>
            <w:r w:rsidRPr="00B364CB">
              <w:rPr>
                <w:rFonts w:cs="Arial"/>
                <w:sz w:val="20"/>
                <w:szCs w:val="20"/>
                <w:lang w:eastAsia="en-GB" w:bidi="ar-SA"/>
              </w:rPr>
              <w:t>35</w:t>
            </w:r>
          </w:p>
        </w:tc>
        <w:tc>
          <w:tcPr>
            <w:tcW w:w="1232" w:type="pct"/>
            <w:shd w:val="clear" w:color="auto" w:fill="auto"/>
            <w:vAlign w:val="center"/>
          </w:tcPr>
          <w:p w14:paraId="2DF2A319" w14:textId="77777777" w:rsidR="009D0C2E" w:rsidRPr="00B364CB" w:rsidRDefault="009D0C2E" w:rsidP="00F71FB6">
            <w:pPr>
              <w:widowControl/>
              <w:jc w:val="center"/>
              <w:rPr>
                <w:rFonts w:cs="Arial"/>
                <w:sz w:val="20"/>
                <w:szCs w:val="20"/>
                <w:lang w:eastAsia="en-GB" w:bidi="ar-SA"/>
              </w:rPr>
            </w:pPr>
          </w:p>
          <w:p w14:paraId="5067C416" w14:textId="77777777" w:rsidR="009D0C2E" w:rsidRPr="00B364CB" w:rsidRDefault="009D0C2E" w:rsidP="00F71FB6">
            <w:pPr>
              <w:widowControl/>
              <w:jc w:val="center"/>
              <w:rPr>
                <w:rFonts w:cs="Arial"/>
                <w:sz w:val="20"/>
                <w:szCs w:val="20"/>
                <w:lang w:eastAsia="en-GB" w:bidi="ar-SA"/>
              </w:rPr>
            </w:pPr>
            <w:r w:rsidRPr="00B364CB">
              <w:rPr>
                <w:rFonts w:cs="Arial"/>
                <w:sz w:val="20"/>
                <w:szCs w:val="20"/>
                <w:lang w:eastAsia="en-GB" w:bidi="ar-SA"/>
              </w:rPr>
              <w:t>38</w:t>
            </w:r>
          </w:p>
        </w:tc>
        <w:tc>
          <w:tcPr>
            <w:tcW w:w="1001" w:type="pct"/>
            <w:shd w:val="clear" w:color="auto" w:fill="auto"/>
            <w:vAlign w:val="center"/>
          </w:tcPr>
          <w:p w14:paraId="37DA4DD8" w14:textId="77777777" w:rsidR="009D0C2E" w:rsidRPr="00B364CB" w:rsidRDefault="009D0C2E" w:rsidP="00F71FB6">
            <w:pPr>
              <w:widowControl/>
              <w:jc w:val="center"/>
              <w:rPr>
                <w:rFonts w:cs="Arial"/>
                <w:sz w:val="20"/>
                <w:szCs w:val="20"/>
                <w:lang w:eastAsia="en-GB" w:bidi="ar-SA"/>
              </w:rPr>
            </w:pPr>
          </w:p>
          <w:p w14:paraId="4CE926BE" w14:textId="77777777" w:rsidR="009D0C2E" w:rsidRPr="00B364CB" w:rsidRDefault="009D0C2E" w:rsidP="00F71FB6">
            <w:pPr>
              <w:widowControl/>
              <w:jc w:val="center"/>
              <w:rPr>
                <w:rFonts w:cs="Arial"/>
                <w:sz w:val="20"/>
                <w:szCs w:val="20"/>
                <w:highlight w:val="green"/>
                <w:lang w:eastAsia="en-GB" w:bidi="ar-SA"/>
              </w:rPr>
            </w:pPr>
            <w:r w:rsidRPr="00B364CB">
              <w:rPr>
                <w:rFonts w:cs="Arial"/>
                <w:sz w:val="20"/>
                <w:szCs w:val="20"/>
                <w:lang w:eastAsia="en-GB" w:bidi="ar-SA"/>
              </w:rPr>
              <w:t>45</w:t>
            </w:r>
          </w:p>
        </w:tc>
      </w:tr>
    </w:tbl>
    <w:p w14:paraId="0FC54F6D" w14:textId="77777777" w:rsidR="00D46C9B" w:rsidRDefault="00D46C9B" w:rsidP="009D0C2E">
      <w:pPr>
        <w:tabs>
          <w:tab w:val="left" w:pos="1805"/>
        </w:tabs>
        <w:spacing w:after="120"/>
        <w:jc w:val="both"/>
        <w:rPr>
          <w:rFonts w:cstheme="minorHAnsi"/>
          <w:b/>
          <w:iCs/>
          <w:color w:val="auto"/>
          <w:sz w:val="16"/>
          <w:szCs w:val="16"/>
          <w:u w:val="single"/>
        </w:rPr>
      </w:pPr>
    </w:p>
    <w:p w14:paraId="7A7C4450" w14:textId="051B9F92"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0C55BD8E"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KPI-1: FC module is defined as FC stack plus air </w:t>
      </w:r>
      <w:r w:rsidRPr="009D0C2E">
        <w:rPr>
          <w:rFonts w:cstheme="minorHAnsi"/>
          <w:iCs/>
          <w:color w:val="auto"/>
          <w:sz w:val="16"/>
          <w:szCs w:val="16"/>
        </w:rPr>
        <w:t>supply system, cooling system, internal ECU, media manifold and other BOP (recirculation, humidifier, sensors, DCDC, etc).  Based on an annual production rate of 2,500 units in 2024 and 25,000 units in 2030.</w:t>
      </w:r>
    </w:p>
    <w:p w14:paraId="5055BA3D"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KPI-3: The durability target account for less than 10% performance loss at nominal voltage.</w:t>
      </w:r>
    </w:p>
    <w:p w14:paraId="03D6A535"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KPI-4: FC stack cost includes all the costs related to all components (materials, manufacturing, assembling) from electrodes to end-plates. Linked to FC stack durability, FC stack Power Density, PGM Loading.</w:t>
      </w:r>
    </w:p>
    <w:p w14:paraId="5C8C9D12" w14:textId="621F592F"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KPI-5: Power density in W/cm² (referring to the active geometric area of the electrodes) at a defined cell voltage. Linked to FC stack efficiency, PGM Loading. Low TRL figures are also valid for all types of end-use applications, not only HDV vehicles (as per the Building Blocks, Section </w:t>
      </w:r>
      <w:r w:rsidRPr="00B364CB">
        <w:rPr>
          <w:rFonts w:cstheme="minorHAnsi"/>
          <w:iCs/>
          <w:color w:val="auto"/>
          <w:sz w:val="16"/>
          <w:szCs w:val="16"/>
        </w:rPr>
        <w:fldChar w:fldCharType="begin"/>
      </w:r>
      <w:r w:rsidRPr="00B364CB">
        <w:rPr>
          <w:rFonts w:cstheme="minorHAnsi"/>
          <w:iCs/>
          <w:color w:val="auto"/>
          <w:sz w:val="16"/>
          <w:szCs w:val="16"/>
        </w:rPr>
        <w:instrText xml:space="preserve"> REF _Ref72703599 \r \h </w:instrText>
      </w:r>
      <w:r w:rsidRPr="00B364CB">
        <w:rPr>
          <w:rFonts w:cstheme="minorHAnsi"/>
          <w:iCs/>
          <w:color w:val="auto"/>
          <w:sz w:val="16"/>
          <w:szCs w:val="16"/>
        </w:rPr>
      </w:r>
      <w:r w:rsidRPr="00B364CB">
        <w:rPr>
          <w:rFonts w:cstheme="minorHAnsi"/>
          <w:iCs/>
          <w:color w:val="auto"/>
          <w:sz w:val="16"/>
          <w:szCs w:val="16"/>
        </w:rPr>
        <w:fldChar w:fldCharType="separate"/>
      </w:r>
      <w:r w:rsidR="00331EBC">
        <w:rPr>
          <w:rFonts w:cstheme="minorHAnsi"/>
          <w:iCs/>
          <w:color w:val="auto"/>
          <w:sz w:val="16"/>
          <w:szCs w:val="16"/>
        </w:rPr>
        <w:t>3.4.1</w:t>
      </w:r>
      <w:r w:rsidRPr="00B364CB">
        <w:rPr>
          <w:rFonts w:cstheme="minorHAnsi"/>
          <w:iCs/>
          <w:color w:val="auto"/>
          <w:sz w:val="16"/>
          <w:szCs w:val="16"/>
        </w:rPr>
        <w:fldChar w:fldCharType="end"/>
      </w:r>
      <w:r w:rsidRPr="00B364CB">
        <w:rPr>
          <w:rFonts w:cstheme="minorHAnsi"/>
          <w:iCs/>
          <w:color w:val="auto"/>
          <w:sz w:val="16"/>
          <w:szCs w:val="16"/>
        </w:rPr>
        <w:t>).</w:t>
      </w:r>
    </w:p>
    <w:p w14:paraId="1972ABEF" w14:textId="005380FB"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KPI-6: Ratio of the PGM loading (in mg/cm²) over the power density (in W/cm²) at a defined operating point in voltage. Linked to FC stack cost, FC stack Power density, FC stack efficiency. Low TRL figures are also valid for all types of end-use applications, not only HDV vehicles (as per the Building Blocks, Section </w:t>
      </w:r>
      <w:r w:rsidRPr="00B364CB">
        <w:rPr>
          <w:rFonts w:cstheme="minorHAnsi"/>
          <w:iCs/>
          <w:color w:val="auto"/>
          <w:sz w:val="16"/>
          <w:szCs w:val="16"/>
        </w:rPr>
        <w:fldChar w:fldCharType="begin"/>
      </w:r>
      <w:r w:rsidRPr="00B364CB">
        <w:rPr>
          <w:rFonts w:cstheme="minorHAnsi"/>
          <w:iCs/>
          <w:color w:val="auto"/>
          <w:sz w:val="16"/>
          <w:szCs w:val="16"/>
        </w:rPr>
        <w:instrText xml:space="preserve"> REF _Ref72703599 \r \h </w:instrText>
      </w:r>
      <w:r w:rsidRPr="00B364CB">
        <w:rPr>
          <w:rFonts w:cstheme="minorHAnsi"/>
          <w:iCs/>
          <w:color w:val="auto"/>
          <w:sz w:val="16"/>
          <w:szCs w:val="16"/>
        </w:rPr>
      </w:r>
      <w:r w:rsidRPr="00B364CB">
        <w:rPr>
          <w:rFonts w:cstheme="minorHAnsi"/>
          <w:iCs/>
          <w:color w:val="auto"/>
          <w:sz w:val="16"/>
          <w:szCs w:val="16"/>
        </w:rPr>
        <w:fldChar w:fldCharType="separate"/>
      </w:r>
      <w:r w:rsidR="00331EBC">
        <w:rPr>
          <w:rFonts w:cstheme="minorHAnsi"/>
          <w:iCs/>
          <w:color w:val="auto"/>
          <w:sz w:val="16"/>
          <w:szCs w:val="16"/>
        </w:rPr>
        <w:t>3.4.1</w:t>
      </w:r>
      <w:r w:rsidRPr="00B364CB">
        <w:rPr>
          <w:rFonts w:cstheme="minorHAnsi"/>
          <w:iCs/>
          <w:color w:val="auto"/>
          <w:sz w:val="16"/>
          <w:szCs w:val="16"/>
        </w:rPr>
        <w:fldChar w:fldCharType="end"/>
      </w:r>
      <w:r w:rsidRPr="00B364CB">
        <w:rPr>
          <w:rFonts w:cstheme="minorHAnsi"/>
          <w:iCs/>
          <w:color w:val="auto"/>
          <w:sz w:val="16"/>
          <w:szCs w:val="16"/>
        </w:rPr>
        <w:t>).</w:t>
      </w:r>
    </w:p>
    <w:p w14:paraId="5F3AB4FB" w14:textId="7BEB7436"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lastRenderedPageBreak/>
        <w:t xml:space="preserve">KPI-7: Total cost of the </w:t>
      </w:r>
      <w:r w:rsidR="00DA371B" w:rsidRPr="00B364CB">
        <w:rPr>
          <w:rFonts w:cstheme="minorHAnsi"/>
          <w:iCs/>
          <w:color w:val="auto"/>
          <w:sz w:val="16"/>
          <w:szCs w:val="16"/>
        </w:rPr>
        <w:t>CGH</w:t>
      </w:r>
      <w:r w:rsidR="00DA371B" w:rsidRPr="00E4788A">
        <w:rPr>
          <w:rFonts w:cstheme="minorHAnsi"/>
          <w:iCs/>
          <w:color w:val="auto"/>
          <w:sz w:val="16"/>
          <w:szCs w:val="16"/>
          <w:vertAlign w:val="subscript"/>
        </w:rPr>
        <w:t>2</w:t>
      </w:r>
      <w:r w:rsidR="00DA371B">
        <w:rPr>
          <w:rFonts w:cstheme="minorHAnsi"/>
          <w:iCs/>
          <w:color w:val="auto"/>
          <w:sz w:val="16"/>
          <w:szCs w:val="16"/>
          <w:vertAlign w:val="subscript"/>
        </w:rPr>
        <w:t xml:space="preserve"> </w:t>
      </w:r>
      <w:r w:rsidRPr="00B364CB">
        <w:rPr>
          <w:rFonts w:cstheme="minorHAnsi"/>
          <w:iCs/>
          <w:color w:val="auto"/>
          <w:sz w:val="16"/>
          <w:szCs w:val="16"/>
        </w:rPr>
        <w:t xml:space="preserve">storage tank, including one end-plug, the in-tank valve injector assembly assuming 200,000 units/year in 2030. </w:t>
      </w:r>
    </w:p>
    <w:p w14:paraId="0D72BDA1" w14:textId="3FFF3D0E" w:rsidR="00DA371B" w:rsidRPr="00B364CB" w:rsidRDefault="00DA371B" w:rsidP="00DA371B">
      <w:pPr>
        <w:tabs>
          <w:tab w:val="left" w:pos="1805"/>
        </w:tabs>
        <w:spacing w:after="120"/>
        <w:jc w:val="both"/>
        <w:rPr>
          <w:rFonts w:cstheme="minorHAnsi"/>
          <w:iCs/>
          <w:color w:val="auto"/>
          <w:sz w:val="16"/>
          <w:szCs w:val="16"/>
        </w:rPr>
      </w:pPr>
      <w:r w:rsidRPr="00B364CB">
        <w:rPr>
          <w:rFonts w:cstheme="minorHAnsi"/>
          <w:iCs/>
          <w:color w:val="auto"/>
          <w:sz w:val="16"/>
          <w:szCs w:val="16"/>
        </w:rPr>
        <w:t>KPI-</w:t>
      </w:r>
      <w:r>
        <w:rPr>
          <w:rFonts w:cstheme="minorHAnsi"/>
          <w:iCs/>
          <w:color w:val="auto"/>
          <w:sz w:val="16"/>
          <w:szCs w:val="16"/>
        </w:rPr>
        <w:t>8</w:t>
      </w:r>
      <w:r w:rsidRPr="00B364CB">
        <w:rPr>
          <w:rFonts w:cstheme="minorHAnsi"/>
          <w:iCs/>
          <w:color w:val="auto"/>
          <w:sz w:val="16"/>
          <w:szCs w:val="16"/>
        </w:rPr>
        <w:t>: Total cost of the LH</w:t>
      </w:r>
      <w:r w:rsidRPr="00E4788A">
        <w:rPr>
          <w:rFonts w:cstheme="minorHAnsi"/>
          <w:iCs/>
          <w:color w:val="auto"/>
          <w:sz w:val="16"/>
          <w:szCs w:val="16"/>
          <w:vertAlign w:val="subscript"/>
        </w:rPr>
        <w:t>2</w:t>
      </w:r>
      <w:r w:rsidRPr="00B364CB">
        <w:rPr>
          <w:rFonts w:cstheme="minorHAnsi"/>
          <w:iCs/>
          <w:color w:val="auto"/>
          <w:sz w:val="16"/>
          <w:szCs w:val="16"/>
        </w:rPr>
        <w:t xml:space="preserve"> storage tank, including one end-plug, the in-tank valve injector assembly assuming 200,000 units/year in 2030. </w:t>
      </w:r>
    </w:p>
    <w:p w14:paraId="6A3DF41F" w14:textId="12D6329B" w:rsidR="009D0C2E"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w:t>
      </w:r>
      <w:r w:rsidR="00DA371B">
        <w:rPr>
          <w:rFonts w:cstheme="minorHAnsi"/>
          <w:iCs/>
          <w:color w:val="auto"/>
          <w:sz w:val="16"/>
          <w:szCs w:val="16"/>
        </w:rPr>
        <w:t>9</w:t>
      </w:r>
      <w:r w:rsidRPr="00B364CB">
        <w:rPr>
          <w:rFonts w:cstheme="minorHAnsi"/>
          <w:iCs/>
          <w:color w:val="auto"/>
          <w:sz w:val="16"/>
          <w:szCs w:val="16"/>
        </w:rPr>
        <w:t xml:space="preserve">: </w:t>
      </w:r>
      <w:r w:rsidR="007C571E">
        <w:rPr>
          <w:rFonts w:cstheme="minorHAnsi"/>
          <w:iCs/>
          <w:color w:val="auto"/>
          <w:sz w:val="16"/>
          <w:szCs w:val="16"/>
        </w:rPr>
        <w:t>M</w:t>
      </w:r>
      <w:r w:rsidRPr="00B364CB">
        <w:rPr>
          <w:rFonts w:cstheme="minorHAnsi"/>
          <w:iCs/>
          <w:color w:val="auto"/>
          <w:sz w:val="16"/>
          <w:szCs w:val="16"/>
        </w:rPr>
        <w:t xml:space="preserve">ass of stored </w:t>
      </w:r>
      <w:r>
        <w:rPr>
          <w:rFonts w:cstheme="minorHAnsi"/>
          <w:iCs/>
          <w:color w:val="auto"/>
          <w:sz w:val="16"/>
          <w:szCs w:val="16"/>
        </w:rPr>
        <w:t xml:space="preserve">compressed gaseous </w:t>
      </w:r>
      <w:r w:rsidRPr="00B364CB">
        <w:rPr>
          <w:rFonts w:cstheme="minorHAnsi"/>
          <w:iCs/>
          <w:color w:val="auto"/>
          <w:sz w:val="16"/>
          <w:szCs w:val="16"/>
        </w:rPr>
        <w:t>hydrogen divided by the mass of the system (included mass of hydrogen), at tank system level. KPI-9: % of the available design space. In a given, cuboid space, the internal capacity of the tank uses only around 25% of the available design space. Idea of conformable tanks are being promoted, seeking to use up to 55% of the design space in 2030.</w:t>
      </w:r>
    </w:p>
    <w:p w14:paraId="0D7434A0" w14:textId="174528C2" w:rsidR="007C571E" w:rsidRPr="00B364CB" w:rsidRDefault="007C571E" w:rsidP="007C571E">
      <w:pPr>
        <w:tabs>
          <w:tab w:val="left" w:pos="1805"/>
        </w:tabs>
        <w:spacing w:after="120"/>
        <w:jc w:val="both"/>
        <w:rPr>
          <w:rFonts w:cstheme="minorHAnsi"/>
          <w:iCs/>
          <w:color w:val="auto"/>
          <w:sz w:val="16"/>
          <w:szCs w:val="16"/>
        </w:rPr>
      </w:pPr>
      <w:r>
        <w:rPr>
          <w:rFonts w:cstheme="minorHAnsi"/>
          <w:iCs/>
          <w:color w:val="auto"/>
          <w:sz w:val="16"/>
          <w:szCs w:val="16"/>
        </w:rPr>
        <w:t>KPI-</w:t>
      </w:r>
      <w:r w:rsidR="00DA371B">
        <w:rPr>
          <w:rFonts w:cstheme="minorHAnsi"/>
          <w:iCs/>
          <w:color w:val="auto"/>
          <w:sz w:val="16"/>
          <w:szCs w:val="16"/>
        </w:rPr>
        <w:t>10</w:t>
      </w:r>
      <w:r>
        <w:rPr>
          <w:rFonts w:cstheme="minorHAnsi"/>
          <w:iCs/>
          <w:color w:val="auto"/>
          <w:sz w:val="16"/>
          <w:szCs w:val="16"/>
        </w:rPr>
        <w:t>: R</w:t>
      </w:r>
      <w:r w:rsidRPr="001052FC">
        <w:rPr>
          <w:rFonts w:cstheme="minorHAnsi"/>
          <w:iCs/>
          <w:color w:val="auto"/>
          <w:sz w:val="16"/>
          <w:szCs w:val="16"/>
        </w:rPr>
        <w:t>atio between the volume where the H2 fluid is stored and the corresponding parallelipedic volume in which the system has to be installed</w:t>
      </w:r>
    </w:p>
    <w:p w14:paraId="40B783F5" w14:textId="242FB7BA" w:rsidR="009D0C2E" w:rsidRPr="00B364CB" w:rsidRDefault="009D0C2E" w:rsidP="009D0C2E">
      <w:pPr>
        <w:tabs>
          <w:tab w:val="left" w:pos="1805"/>
        </w:tabs>
        <w:spacing w:after="120"/>
        <w:jc w:val="both"/>
        <w:rPr>
          <w:rFonts w:cstheme="minorHAnsi"/>
          <w:iCs/>
          <w:color w:val="auto"/>
          <w:sz w:val="16"/>
          <w:szCs w:val="16"/>
        </w:rPr>
      </w:pPr>
      <w:r>
        <w:rPr>
          <w:rFonts w:cstheme="minorHAnsi"/>
          <w:iCs/>
          <w:color w:val="auto"/>
          <w:sz w:val="16"/>
          <w:szCs w:val="16"/>
        </w:rPr>
        <w:t>KPI-</w:t>
      </w:r>
      <w:r w:rsidR="00670392">
        <w:rPr>
          <w:rFonts w:cstheme="minorHAnsi"/>
          <w:iCs/>
          <w:color w:val="auto"/>
          <w:sz w:val="16"/>
          <w:szCs w:val="16"/>
        </w:rPr>
        <w:t>11</w:t>
      </w:r>
      <w:r>
        <w:rPr>
          <w:rFonts w:cstheme="minorHAnsi"/>
          <w:iCs/>
          <w:color w:val="auto"/>
          <w:sz w:val="16"/>
          <w:szCs w:val="16"/>
        </w:rPr>
        <w:t xml:space="preserve"> </w:t>
      </w:r>
      <w:r w:rsidR="007C571E">
        <w:rPr>
          <w:rFonts w:cstheme="minorHAnsi"/>
          <w:iCs/>
          <w:color w:val="auto"/>
          <w:sz w:val="16"/>
          <w:szCs w:val="16"/>
        </w:rPr>
        <w:t>M</w:t>
      </w:r>
      <w:r w:rsidRPr="00B364CB">
        <w:rPr>
          <w:rFonts w:cstheme="minorHAnsi"/>
          <w:iCs/>
          <w:color w:val="auto"/>
          <w:sz w:val="16"/>
          <w:szCs w:val="16"/>
        </w:rPr>
        <w:t xml:space="preserve">ass of stored </w:t>
      </w:r>
      <w:r>
        <w:rPr>
          <w:rFonts w:cstheme="minorHAnsi"/>
          <w:iCs/>
          <w:color w:val="auto"/>
          <w:sz w:val="16"/>
          <w:szCs w:val="16"/>
        </w:rPr>
        <w:t xml:space="preserve">liquid </w:t>
      </w:r>
      <w:r w:rsidRPr="00B364CB">
        <w:rPr>
          <w:rFonts w:cstheme="minorHAnsi"/>
          <w:iCs/>
          <w:color w:val="auto"/>
          <w:sz w:val="16"/>
          <w:szCs w:val="16"/>
        </w:rPr>
        <w:t>hydrogen divided by the mass of the system (included mass of hydrogen), at tank system level.</w:t>
      </w:r>
    </w:p>
    <w:p w14:paraId="5B4E26A5" w14:textId="7F627D10"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w:t>
      </w:r>
      <w:r w:rsidR="00670392">
        <w:rPr>
          <w:rFonts w:cstheme="minorHAnsi"/>
          <w:iCs/>
          <w:color w:val="auto"/>
          <w:sz w:val="16"/>
          <w:szCs w:val="16"/>
        </w:rPr>
        <w:t>1</w:t>
      </w:r>
      <w:r w:rsidR="00DA371B">
        <w:rPr>
          <w:rFonts w:cstheme="minorHAnsi"/>
          <w:iCs/>
          <w:color w:val="auto"/>
          <w:sz w:val="16"/>
          <w:szCs w:val="16"/>
        </w:rPr>
        <w:t>2</w:t>
      </w:r>
      <w:r w:rsidRPr="00B364CB">
        <w:rPr>
          <w:rFonts w:cstheme="minorHAnsi"/>
          <w:iCs/>
          <w:color w:val="auto"/>
          <w:sz w:val="16"/>
          <w:szCs w:val="16"/>
        </w:rPr>
        <w:t xml:space="preserve">: </w:t>
      </w:r>
      <w:r w:rsidR="007C571E">
        <w:rPr>
          <w:rFonts w:cstheme="minorHAnsi"/>
          <w:iCs/>
          <w:color w:val="auto"/>
          <w:sz w:val="16"/>
          <w:szCs w:val="16"/>
        </w:rPr>
        <w:t>M</w:t>
      </w:r>
      <w:r w:rsidRPr="00B364CB">
        <w:rPr>
          <w:rFonts w:cstheme="minorHAnsi"/>
          <w:iCs/>
          <w:color w:val="auto"/>
          <w:sz w:val="16"/>
          <w:szCs w:val="16"/>
        </w:rPr>
        <w:t>ass of stored hydrogen (in grams) divided by the outer volume of the system (in litres)</w:t>
      </w:r>
    </w:p>
    <w:bookmarkEnd w:id="318"/>
    <w:p w14:paraId="0666D3C4" w14:textId="77777777" w:rsidR="00D46C9B" w:rsidRDefault="00D46C9B" w:rsidP="009D0C2E">
      <w:pPr>
        <w:pStyle w:val="Caption"/>
        <w:rPr>
          <w:sz w:val="24"/>
        </w:rPr>
      </w:pPr>
    </w:p>
    <w:p w14:paraId="475DAF38" w14:textId="171E75B0" w:rsidR="009D0C2E" w:rsidRPr="00B364CB" w:rsidRDefault="009D0C2E" w:rsidP="009D0C2E">
      <w:pPr>
        <w:pStyle w:val="Caption"/>
        <w:rPr>
          <w:sz w:val="24"/>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17</w:t>
      </w:r>
      <w:r w:rsidRPr="00B364CB">
        <w:rPr>
          <w:sz w:val="24"/>
        </w:rPr>
        <w:fldChar w:fldCharType="end"/>
      </w:r>
      <w:r w:rsidRPr="00B364CB">
        <w:rPr>
          <w:sz w:val="24"/>
        </w:rPr>
        <w:t xml:space="preserve"> KPIs for Maritime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69"/>
        <w:gridCol w:w="2462"/>
        <w:gridCol w:w="1448"/>
        <w:gridCol w:w="1013"/>
        <w:gridCol w:w="1882"/>
        <w:gridCol w:w="1736"/>
      </w:tblGrid>
      <w:tr w:rsidR="009D0C2E" w:rsidRPr="00B364CB" w14:paraId="4B6606B5" w14:textId="77777777" w:rsidTr="00120F40">
        <w:trPr>
          <w:trHeight w:val="315"/>
        </w:trPr>
        <w:tc>
          <w:tcPr>
            <w:tcW w:w="312" w:type="pct"/>
            <w:vMerge w:val="restart"/>
            <w:shd w:val="clear" w:color="auto" w:fill="BFBFBF" w:themeFill="background1" w:themeFillShade="BF"/>
            <w:vAlign w:val="center"/>
            <w:hideMark/>
          </w:tcPr>
          <w:p w14:paraId="7017BF92"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No</w:t>
            </w:r>
          </w:p>
        </w:tc>
        <w:tc>
          <w:tcPr>
            <w:tcW w:w="1351" w:type="pct"/>
            <w:vMerge w:val="restart"/>
            <w:shd w:val="clear" w:color="auto" w:fill="BFBFBF" w:themeFill="background1" w:themeFillShade="BF"/>
            <w:vAlign w:val="center"/>
            <w:hideMark/>
          </w:tcPr>
          <w:p w14:paraId="5A1D4823" w14:textId="77777777" w:rsidR="009D0C2E" w:rsidRPr="00B364CB" w:rsidRDefault="009D0C2E" w:rsidP="009D0C2E">
            <w:pPr>
              <w:widowControl/>
              <w:ind w:firstLineChars="301" w:firstLine="602"/>
              <w:rPr>
                <w:rFonts w:cs="Arial"/>
                <w:b/>
                <w:bCs/>
                <w:sz w:val="20"/>
                <w:szCs w:val="20"/>
                <w:lang w:eastAsia="en-GB" w:bidi="ar-SA"/>
              </w:rPr>
            </w:pPr>
            <w:r w:rsidRPr="00B364CB">
              <w:rPr>
                <w:rFonts w:cs="Arial"/>
                <w:b/>
                <w:bCs/>
                <w:sz w:val="20"/>
                <w:szCs w:val="20"/>
                <w:lang w:eastAsia="en-GB" w:bidi="ar-SA"/>
              </w:rPr>
              <w:t>Parameter</w:t>
            </w:r>
          </w:p>
        </w:tc>
        <w:tc>
          <w:tcPr>
            <w:tcW w:w="795" w:type="pct"/>
            <w:vMerge w:val="restart"/>
            <w:shd w:val="clear" w:color="auto" w:fill="BFBFBF" w:themeFill="background1" w:themeFillShade="BF"/>
            <w:vAlign w:val="center"/>
            <w:hideMark/>
          </w:tcPr>
          <w:p w14:paraId="3065498C"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Unit</w:t>
            </w:r>
          </w:p>
        </w:tc>
        <w:tc>
          <w:tcPr>
            <w:tcW w:w="556" w:type="pct"/>
            <w:shd w:val="clear" w:color="auto" w:fill="BFBFBF" w:themeFill="background1" w:themeFillShade="BF"/>
            <w:vAlign w:val="center"/>
          </w:tcPr>
          <w:p w14:paraId="38C349BD"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986" w:type="pct"/>
            <w:gridSpan w:val="2"/>
            <w:shd w:val="clear" w:color="auto" w:fill="BFBFBF" w:themeFill="background1" w:themeFillShade="BF"/>
          </w:tcPr>
          <w:p w14:paraId="36F0B53F"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08D347D2" w14:textId="77777777" w:rsidTr="00120F40">
        <w:trPr>
          <w:trHeight w:val="315"/>
        </w:trPr>
        <w:tc>
          <w:tcPr>
            <w:tcW w:w="312" w:type="pct"/>
            <w:vMerge/>
            <w:tcBorders>
              <w:bottom w:val="single" w:sz="8" w:space="0" w:color="000000"/>
            </w:tcBorders>
            <w:shd w:val="clear" w:color="auto" w:fill="BFBFBF" w:themeFill="background1" w:themeFillShade="BF"/>
            <w:vAlign w:val="center"/>
            <w:hideMark/>
          </w:tcPr>
          <w:p w14:paraId="241C18E9" w14:textId="77777777" w:rsidR="009D0C2E" w:rsidRPr="00B364CB" w:rsidRDefault="009D0C2E" w:rsidP="009D0C2E">
            <w:pPr>
              <w:widowControl/>
              <w:jc w:val="center"/>
              <w:rPr>
                <w:rFonts w:cs="Arial"/>
                <w:b/>
                <w:bCs/>
                <w:sz w:val="20"/>
                <w:szCs w:val="20"/>
                <w:lang w:eastAsia="en-GB" w:bidi="ar-SA"/>
              </w:rPr>
            </w:pPr>
          </w:p>
        </w:tc>
        <w:tc>
          <w:tcPr>
            <w:tcW w:w="1351" w:type="pct"/>
            <w:vMerge/>
            <w:tcBorders>
              <w:bottom w:val="single" w:sz="8" w:space="0" w:color="000000"/>
            </w:tcBorders>
            <w:shd w:val="clear" w:color="auto" w:fill="BFBFBF" w:themeFill="background1" w:themeFillShade="BF"/>
            <w:vAlign w:val="center"/>
            <w:hideMark/>
          </w:tcPr>
          <w:p w14:paraId="64F45D3D" w14:textId="77777777" w:rsidR="009D0C2E" w:rsidRPr="00B364CB" w:rsidRDefault="009D0C2E" w:rsidP="009D0C2E">
            <w:pPr>
              <w:widowControl/>
              <w:jc w:val="center"/>
              <w:rPr>
                <w:rFonts w:cs="Arial"/>
                <w:b/>
                <w:bCs/>
                <w:sz w:val="20"/>
                <w:szCs w:val="20"/>
                <w:lang w:eastAsia="en-GB" w:bidi="ar-SA"/>
              </w:rPr>
            </w:pPr>
          </w:p>
        </w:tc>
        <w:tc>
          <w:tcPr>
            <w:tcW w:w="795" w:type="pct"/>
            <w:vMerge/>
            <w:tcBorders>
              <w:bottom w:val="single" w:sz="8" w:space="0" w:color="000000"/>
            </w:tcBorders>
            <w:shd w:val="clear" w:color="auto" w:fill="BFBFBF" w:themeFill="background1" w:themeFillShade="BF"/>
            <w:vAlign w:val="center"/>
            <w:hideMark/>
          </w:tcPr>
          <w:p w14:paraId="0DA9C8A7" w14:textId="77777777" w:rsidR="009D0C2E" w:rsidRPr="00B364CB" w:rsidRDefault="009D0C2E" w:rsidP="009D0C2E">
            <w:pPr>
              <w:widowControl/>
              <w:jc w:val="center"/>
              <w:rPr>
                <w:rFonts w:cs="Arial"/>
                <w:b/>
                <w:bCs/>
                <w:sz w:val="20"/>
                <w:szCs w:val="20"/>
                <w:lang w:eastAsia="en-GB" w:bidi="ar-SA"/>
              </w:rPr>
            </w:pPr>
          </w:p>
        </w:tc>
        <w:tc>
          <w:tcPr>
            <w:tcW w:w="556" w:type="pct"/>
            <w:tcBorders>
              <w:bottom w:val="single" w:sz="8" w:space="0" w:color="000000"/>
            </w:tcBorders>
            <w:shd w:val="clear" w:color="auto" w:fill="BFBFBF" w:themeFill="background1" w:themeFillShade="BF"/>
            <w:vAlign w:val="center"/>
          </w:tcPr>
          <w:p w14:paraId="458359D4"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1033" w:type="pct"/>
            <w:tcBorders>
              <w:bottom w:val="single" w:sz="8" w:space="0" w:color="000000"/>
            </w:tcBorders>
            <w:shd w:val="clear" w:color="auto" w:fill="BFBFBF" w:themeFill="background1" w:themeFillShade="BF"/>
          </w:tcPr>
          <w:p w14:paraId="5B19E578"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953" w:type="pct"/>
            <w:tcBorders>
              <w:bottom w:val="single" w:sz="8" w:space="0" w:color="000000"/>
            </w:tcBorders>
            <w:shd w:val="clear" w:color="auto" w:fill="BFBFBF" w:themeFill="background1" w:themeFillShade="BF"/>
            <w:vAlign w:val="center"/>
            <w:hideMark/>
          </w:tcPr>
          <w:p w14:paraId="0B850311"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509F5CB7" w14:textId="77777777" w:rsidTr="00120F40">
        <w:trPr>
          <w:trHeight w:val="486"/>
        </w:trPr>
        <w:tc>
          <w:tcPr>
            <w:tcW w:w="312" w:type="pct"/>
            <w:shd w:val="clear" w:color="auto" w:fill="D9D9D9" w:themeFill="background1" w:themeFillShade="D9"/>
          </w:tcPr>
          <w:p w14:paraId="2C76EFF3" w14:textId="77777777" w:rsidR="009D0C2E" w:rsidRPr="00B364CB" w:rsidRDefault="009D0C2E" w:rsidP="009D0C2E">
            <w:pPr>
              <w:widowControl/>
              <w:jc w:val="center"/>
              <w:rPr>
                <w:rFonts w:ascii="Calibri" w:hAnsi="Calibri"/>
                <w:b/>
                <w:bCs/>
                <w:sz w:val="20"/>
                <w:szCs w:val="20"/>
                <w:lang w:eastAsia="en-GB" w:bidi="ar-SA"/>
              </w:rPr>
            </w:pPr>
          </w:p>
        </w:tc>
        <w:tc>
          <w:tcPr>
            <w:tcW w:w="4688" w:type="pct"/>
            <w:gridSpan w:val="5"/>
            <w:shd w:val="clear" w:color="auto" w:fill="D9D9D9" w:themeFill="background1" w:themeFillShade="D9"/>
            <w:vAlign w:val="center"/>
          </w:tcPr>
          <w:p w14:paraId="69DFFAA4" w14:textId="77777777" w:rsidR="009D0C2E" w:rsidRPr="00B364CB" w:rsidRDefault="009D0C2E" w:rsidP="009D0C2E">
            <w:pPr>
              <w:widowControl/>
              <w:jc w:val="center"/>
              <w:rPr>
                <w:rFonts w:ascii="Calibri" w:hAnsi="Calibri"/>
                <w:b/>
                <w:bCs/>
                <w:sz w:val="20"/>
                <w:szCs w:val="20"/>
                <w:lang w:eastAsia="en-GB" w:bidi="ar-SA"/>
              </w:rPr>
            </w:pPr>
            <w:r w:rsidRPr="00B364CB">
              <w:rPr>
                <w:rFonts w:ascii="Calibri" w:hAnsi="Calibri"/>
                <w:b/>
                <w:bCs/>
                <w:sz w:val="20"/>
                <w:szCs w:val="20"/>
                <w:lang w:eastAsia="en-GB" w:bidi="ar-SA"/>
              </w:rPr>
              <w:t>Fuel Cells for ships</w:t>
            </w:r>
          </w:p>
        </w:tc>
      </w:tr>
      <w:tr w:rsidR="009D0C2E" w:rsidRPr="00B364CB" w14:paraId="1903831F" w14:textId="77777777" w:rsidTr="00120F40">
        <w:trPr>
          <w:trHeight w:val="315"/>
        </w:trPr>
        <w:tc>
          <w:tcPr>
            <w:tcW w:w="312" w:type="pct"/>
            <w:shd w:val="clear" w:color="auto" w:fill="auto"/>
            <w:vAlign w:val="center"/>
            <w:hideMark/>
          </w:tcPr>
          <w:p w14:paraId="0CB4AAFB"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w:t>
            </w:r>
          </w:p>
        </w:tc>
        <w:tc>
          <w:tcPr>
            <w:tcW w:w="1351" w:type="pct"/>
            <w:shd w:val="clear" w:color="auto" w:fill="auto"/>
            <w:vAlign w:val="center"/>
          </w:tcPr>
          <w:p w14:paraId="0A101223" w14:textId="77777777" w:rsidR="009D0C2E" w:rsidRPr="00B364CB" w:rsidRDefault="009D0C2E" w:rsidP="009D0C2E">
            <w:pPr>
              <w:widowControl/>
              <w:rPr>
                <w:rFonts w:cs="Arial"/>
                <w:sz w:val="20"/>
                <w:szCs w:val="20"/>
                <w:lang w:eastAsia="en-GB" w:bidi="ar-SA"/>
              </w:rPr>
            </w:pPr>
            <w:r w:rsidRPr="00B364CB">
              <w:rPr>
                <w:rFonts w:cs="Arial"/>
                <w:sz w:val="20"/>
                <w:szCs w:val="20"/>
              </w:rPr>
              <w:t>FC power rating</w:t>
            </w:r>
          </w:p>
        </w:tc>
        <w:tc>
          <w:tcPr>
            <w:tcW w:w="795" w:type="pct"/>
            <w:shd w:val="clear" w:color="auto" w:fill="auto"/>
            <w:vAlign w:val="center"/>
          </w:tcPr>
          <w:p w14:paraId="25948FF9"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MW</w:t>
            </w:r>
          </w:p>
        </w:tc>
        <w:tc>
          <w:tcPr>
            <w:tcW w:w="556" w:type="pct"/>
            <w:shd w:val="clear" w:color="auto" w:fill="auto"/>
            <w:vAlign w:val="center"/>
          </w:tcPr>
          <w:p w14:paraId="4F641354"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rPr>
              <w:t>0.5</w:t>
            </w:r>
          </w:p>
        </w:tc>
        <w:tc>
          <w:tcPr>
            <w:tcW w:w="1033" w:type="pct"/>
            <w:vAlign w:val="center"/>
          </w:tcPr>
          <w:p w14:paraId="4D466F7B" w14:textId="77777777" w:rsidR="009D0C2E" w:rsidRPr="00B364CB" w:rsidRDefault="009D0C2E" w:rsidP="009D0C2E">
            <w:pPr>
              <w:widowControl/>
              <w:jc w:val="center"/>
              <w:rPr>
                <w:rFonts w:cs="Arial"/>
                <w:color w:val="auto"/>
                <w:sz w:val="20"/>
                <w:szCs w:val="20"/>
              </w:rPr>
            </w:pPr>
            <w:r w:rsidRPr="00B364CB">
              <w:rPr>
                <w:rFonts w:cs="Arial"/>
                <w:color w:val="auto"/>
                <w:sz w:val="20"/>
                <w:szCs w:val="20"/>
              </w:rPr>
              <w:t>3</w:t>
            </w:r>
          </w:p>
        </w:tc>
        <w:tc>
          <w:tcPr>
            <w:tcW w:w="953" w:type="pct"/>
            <w:shd w:val="clear" w:color="auto" w:fill="auto"/>
            <w:vAlign w:val="center"/>
          </w:tcPr>
          <w:p w14:paraId="222FA617"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rPr>
              <w:t>10</w:t>
            </w:r>
          </w:p>
        </w:tc>
      </w:tr>
      <w:tr w:rsidR="009D0C2E" w:rsidRPr="00B364CB" w14:paraId="4FF53531" w14:textId="77777777" w:rsidTr="00120F40">
        <w:trPr>
          <w:trHeight w:val="315"/>
        </w:trPr>
        <w:tc>
          <w:tcPr>
            <w:tcW w:w="312" w:type="pct"/>
            <w:shd w:val="clear" w:color="auto" w:fill="auto"/>
            <w:vAlign w:val="center"/>
            <w:hideMark/>
          </w:tcPr>
          <w:p w14:paraId="36C9E9AB"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2</w:t>
            </w:r>
          </w:p>
        </w:tc>
        <w:tc>
          <w:tcPr>
            <w:tcW w:w="1351" w:type="pct"/>
            <w:shd w:val="clear" w:color="auto" w:fill="auto"/>
            <w:vAlign w:val="center"/>
          </w:tcPr>
          <w:p w14:paraId="7B1621CE" w14:textId="77777777" w:rsidR="009D0C2E" w:rsidRPr="00B364CB" w:rsidRDefault="009D0C2E" w:rsidP="009D0C2E">
            <w:pPr>
              <w:widowControl/>
              <w:rPr>
                <w:rFonts w:cs="Arial"/>
                <w:sz w:val="20"/>
                <w:szCs w:val="20"/>
                <w:lang w:eastAsia="en-GB" w:bidi="ar-SA"/>
              </w:rPr>
            </w:pPr>
            <w:r w:rsidRPr="00B364CB">
              <w:rPr>
                <w:rFonts w:cs="Arial"/>
                <w:sz w:val="20"/>
                <w:szCs w:val="20"/>
              </w:rPr>
              <w:t>Hydrogen bunkering rate</w:t>
            </w:r>
          </w:p>
        </w:tc>
        <w:tc>
          <w:tcPr>
            <w:tcW w:w="795" w:type="pct"/>
            <w:shd w:val="clear" w:color="auto" w:fill="auto"/>
            <w:vAlign w:val="center"/>
          </w:tcPr>
          <w:p w14:paraId="1B1BD021"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 xml:space="preserve">ton </w:t>
            </w:r>
            <w:r w:rsidRPr="00B364CB">
              <w:rPr>
                <w:rFonts w:cs="Arial"/>
                <w:sz w:val="20"/>
                <w:szCs w:val="20"/>
                <w:lang w:eastAsia="en-GB" w:bidi="ar-SA"/>
              </w:rPr>
              <w:t>H</w:t>
            </w:r>
            <w:r w:rsidRPr="00E4788A">
              <w:rPr>
                <w:rFonts w:cs="Arial"/>
                <w:sz w:val="20"/>
                <w:szCs w:val="20"/>
                <w:vertAlign w:val="subscript"/>
                <w:lang w:eastAsia="en-GB" w:bidi="ar-SA"/>
              </w:rPr>
              <w:t>2</w:t>
            </w:r>
            <w:r w:rsidRPr="00B364CB">
              <w:rPr>
                <w:rFonts w:cs="Arial"/>
                <w:sz w:val="20"/>
                <w:szCs w:val="20"/>
              </w:rPr>
              <w:t xml:space="preserve"> /h</w:t>
            </w:r>
          </w:p>
        </w:tc>
        <w:tc>
          <w:tcPr>
            <w:tcW w:w="556" w:type="pct"/>
            <w:shd w:val="clear" w:color="auto" w:fill="auto"/>
            <w:vAlign w:val="center"/>
          </w:tcPr>
          <w:p w14:paraId="150C31D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w:t>
            </w:r>
          </w:p>
        </w:tc>
        <w:tc>
          <w:tcPr>
            <w:tcW w:w="1033" w:type="pct"/>
            <w:vAlign w:val="center"/>
          </w:tcPr>
          <w:p w14:paraId="0FE1EE1D" w14:textId="77777777" w:rsidR="009D0C2E" w:rsidRPr="00B364CB" w:rsidRDefault="009D0C2E" w:rsidP="009D0C2E">
            <w:pPr>
              <w:widowControl/>
              <w:jc w:val="center"/>
              <w:rPr>
                <w:rFonts w:cs="Arial"/>
                <w:color w:val="auto"/>
                <w:sz w:val="20"/>
                <w:szCs w:val="20"/>
              </w:rPr>
            </w:pPr>
            <w:r w:rsidRPr="00B364CB">
              <w:rPr>
                <w:rFonts w:cs="Arial"/>
                <w:sz w:val="20"/>
                <w:szCs w:val="20"/>
                <w:lang w:eastAsia="en-GB" w:bidi="ar-SA"/>
              </w:rPr>
              <w:t>2</w:t>
            </w:r>
          </w:p>
        </w:tc>
        <w:tc>
          <w:tcPr>
            <w:tcW w:w="953" w:type="pct"/>
            <w:shd w:val="clear" w:color="auto" w:fill="auto"/>
            <w:vAlign w:val="center"/>
          </w:tcPr>
          <w:p w14:paraId="6978878E"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rPr>
              <w:t>20</w:t>
            </w:r>
          </w:p>
        </w:tc>
      </w:tr>
      <w:tr w:rsidR="009D0C2E" w:rsidRPr="00B364CB" w14:paraId="0B6C7D5B" w14:textId="77777777" w:rsidTr="00120F40">
        <w:trPr>
          <w:trHeight w:val="370"/>
        </w:trPr>
        <w:tc>
          <w:tcPr>
            <w:tcW w:w="312" w:type="pct"/>
            <w:shd w:val="clear" w:color="auto" w:fill="auto"/>
            <w:vAlign w:val="center"/>
            <w:hideMark/>
          </w:tcPr>
          <w:p w14:paraId="0D067424"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3</w:t>
            </w:r>
          </w:p>
        </w:tc>
        <w:tc>
          <w:tcPr>
            <w:tcW w:w="1351" w:type="pct"/>
            <w:shd w:val="clear" w:color="auto" w:fill="auto"/>
            <w:vAlign w:val="center"/>
          </w:tcPr>
          <w:p w14:paraId="4BA24CAA" w14:textId="77777777" w:rsidR="009D0C2E" w:rsidRPr="00B364CB" w:rsidRDefault="009D0C2E" w:rsidP="009D0C2E">
            <w:pPr>
              <w:widowControl/>
              <w:rPr>
                <w:rFonts w:cs="Arial"/>
                <w:sz w:val="20"/>
                <w:szCs w:val="20"/>
                <w:lang w:eastAsia="en-GB" w:bidi="ar-SA"/>
              </w:rPr>
            </w:pPr>
            <w:r w:rsidRPr="00103424">
              <w:rPr>
                <w:rFonts w:cs="Arial"/>
                <w:sz w:val="20"/>
                <w:szCs w:val="20"/>
              </w:rPr>
              <w:t>Maritime FCS lifetime</w:t>
            </w:r>
          </w:p>
        </w:tc>
        <w:tc>
          <w:tcPr>
            <w:tcW w:w="795" w:type="pct"/>
            <w:shd w:val="clear" w:color="auto" w:fill="auto"/>
            <w:vAlign w:val="center"/>
          </w:tcPr>
          <w:p w14:paraId="2C63E974"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h</w:t>
            </w:r>
          </w:p>
        </w:tc>
        <w:tc>
          <w:tcPr>
            <w:tcW w:w="556" w:type="pct"/>
            <w:shd w:val="clear" w:color="auto" w:fill="auto"/>
            <w:vAlign w:val="center"/>
          </w:tcPr>
          <w:p w14:paraId="0FFFDCD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20,000 </w:t>
            </w:r>
          </w:p>
        </w:tc>
        <w:tc>
          <w:tcPr>
            <w:tcW w:w="1033" w:type="pct"/>
            <w:vAlign w:val="center"/>
          </w:tcPr>
          <w:p w14:paraId="65C8B5F7" w14:textId="77777777" w:rsidR="009D0C2E" w:rsidRPr="00B364CB" w:rsidRDefault="009D0C2E" w:rsidP="009D0C2E">
            <w:pPr>
              <w:widowControl/>
              <w:jc w:val="center"/>
              <w:rPr>
                <w:rFonts w:cs="Arial"/>
                <w:sz w:val="20"/>
                <w:szCs w:val="20"/>
              </w:rPr>
            </w:pPr>
            <w:r w:rsidRPr="00B364CB">
              <w:rPr>
                <w:rFonts w:cs="Arial"/>
                <w:sz w:val="20"/>
                <w:szCs w:val="20"/>
              </w:rPr>
              <w:t>40,000</w:t>
            </w:r>
          </w:p>
        </w:tc>
        <w:tc>
          <w:tcPr>
            <w:tcW w:w="953" w:type="pct"/>
            <w:shd w:val="clear" w:color="auto" w:fill="auto"/>
            <w:vAlign w:val="center"/>
          </w:tcPr>
          <w:p w14:paraId="5FF9C0F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80,000</w:t>
            </w:r>
          </w:p>
        </w:tc>
      </w:tr>
      <w:tr w:rsidR="009D0C2E" w:rsidRPr="00B364CB" w14:paraId="6524B372" w14:textId="77777777" w:rsidTr="00120F40">
        <w:trPr>
          <w:trHeight w:val="370"/>
        </w:trPr>
        <w:tc>
          <w:tcPr>
            <w:tcW w:w="312" w:type="pct"/>
            <w:shd w:val="clear" w:color="auto" w:fill="auto"/>
            <w:vAlign w:val="center"/>
          </w:tcPr>
          <w:p w14:paraId="5C11B352" w14:textId="77777777" w:rsidR="009D0C2E" w:rsidRPr="00B364CB" w:rsidRDefault="009D0C2E" w:rsidP="009D0C2E">
            <w:pPr>
              <w:widowControl/>
              <w:jc w:val="center"/>
              <w:rPr>
                <w:rFonts w:cs="Arial"/>
                <w:sz w:val="20"/>
                <w:szCs w:val="20"/>
              </w:rPr>
            </w:pPr>
            <w:r>
              <w:rPr>
                <w:rFonts w:cs="Arial"/>
                <w:sz w:val="20"/>
                <w:szCs w:val="20"/>
              </w:rPr>
              <w:t>4</w:t>
            </w:r>
          </w:p>
        </w:tc>
        <w:tc>
          <w:tcPr>
            <w:tcW w:w="1351" w:type="pct"/>
            <w:shd w:val="clear" w:color="auto" w:fill="auto"/>
            <w:vAlign w:val="center"/>
          </w:tcPr>
          <w:p w14:paraId="2E193186" w14:textId="3B1FB86B" w:rsidR="009D0C2E" w:rsidRPr="00103424" w:rsidRDefault="007B4789" w:rsidP="009D0C2E">
            <w:pPr>
              <w:widowControl/>
              <w:rPr>
                <w:rFonts w:cs="Arial"/>
                <w:sz w:val="20"/>
                <w:szCs w:val="20"/>
              </w:rPr>
            </w:pPr>
            <w:r>
              <w:rPr>
                <w:rFonts w:cs="Arial"/>
                <w:sz w:val="20"/>
                <w:szCs w:val="20"/>
              </w:rPr>
              <w:t>Product design reaching t</w:t>
            </w:r>
            <w:r w:rsidR="009D0C2E" w:rsidRPr="007655B8">
              <w:rPr>
                <w:rFonts w:cs="Arial"/>
                <w:sz w:val="20"/>
                <w:szCs w:val="20"/>
              </w:rPr>
              <w:t>ype approval</w:t>
            </w:r>
          </w:p>
        </w:tc>
        <w:tc>
          <w:tcPr>
            <w:tcW w:w="795" w:type="pct"/>
            <w:shd w:val="clear" w:color="auto" w:fill="auto"/>
            <w:vAlign w:val="center"/>
          </w:tcPr>
          <w:p w14:paraId="178DA844" w14:textId="77777777" w:rsidR="009D0C2E" w:rsidRPr="00B364CB" w:rsidRDefault="009D0C2E" w:rsidP="009D0C2E">
            <w:pPr>
              <w:widowControl/>
              <w:jc w:val="center"/>
              <w:rPr>
                <w:rFonts w:cs="Arial"/>
                <w:sz w:val="20"/>
                <w:szCs w:val="20"/>
              </w:rPr>
            </w:pPr>
            <w:r>
              <w:rPr>
                <w:rFonts w:cs="Arial"/>
                <w:sz w:val="20"/>
                <w:szCs w:val="20"/>
              </w:rPr>
              <w:t>number</w:t>
            </w:r>
          </w:p>
        </w:tc>
        <w:tc>
          <w:tcPr>
            <w:tcW w:w="556" w:type="pct"/>
            <w:shd w:val="clear" w:color="auto" w:fill="auto"/>
            <w:vAlign w:val="center"/>
          </w:tcPr>
          <w:p w14:paraId="307CF03A"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0</w:t>
            </w:r>
          </w:p>
        </w:tc>
        <w:tc>
          <w:tcPr>
            <w:tcW w:w="1033" w:type="pct"/>
            <w:vAlign w:val="center"/>
          </w:tcPr>
          <w:p w14:paraId="4418AB66" w14:textId="77777777" w:rsidR="009D0C2E" w:rsidRPr="00B364CB" w:rsidRDefault="009D0C2E" w:rsidP="009D0C2E">
            <w:pPr>
              <w:widowControl/>
              <w:jc w:val="center"/>
              <w:rPr>
                <w:rFonts w:cs="Arial"/>
                <w:sz w:val="20"/>
                <w:szCs w:val="20"/>
              </w:rPr>
            </w:pPr>
            <w:r>
              <w:rPr>
                <w:rFonts w:cs="Arial"/>
                <w:sz w:val="20"/>
                <w:szCs w:val="20"/>
              </w:rPr>
              <w:t>15</w:t>
            </w:r>
          </w:p>
        </w:tc>
        <w:tc>
          <w:tcPr>
            <w:tcW w:w="953" w:type="pct"/>
            <w:shd w:val="clear" w:color="auto" w:fill="auto"/>
            <w:vAlign w:val="center"/>
          </w:tcPr>
          <w:p w14:paraId="01744917"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40</w:t>
            </w:r>
          </w:p>
        </w:tc>
      </w:tr>
      <w:tr w:rsidR="009D0C2E" w:rsidRPr="00B364CB" w14:paraId="7B5296B8" w14:textId="77777777" w:rsidTr="00120F40">
        <w:trPr>
          <w:trHeight w:val="418"/>
        </w:trPr>
        <w:tc>
          <w:tcPr>
            <w:tcW w:w="312" w:type="pct"/>
            <w:shd w:val="clear" w:color="auto" w:fill="auto"/>
            <w:vAlign w:val="center"/>
          </w:tcPr>
          <w:p w14:paraId="4C05102E" w14:textId="5F8D4EB4" w:rsidR="009D0C2E" w:rsidRPr="00B364CB" w:rsidRDefault="000F1291" w:rsidP="009D0C2E">
            <w:pPr>
              <w:widowControl/>
              <w:jc w:val="center"/>
              <w:rPr>
                <w:rFonts w:cs="Arial"/>
                <w:sz w:val="20"/>
                <w:szCs w:val="20"/>
                <w:lang w:eastAsia="en-GB" w:bidi="ar-SA"/>
              </w:rPr>
            </w:pPr>
            <w:r>
              <w:rPr>
                <w:rFonts w:cs="Arial"/>
                <w:sz w:val="20"/>
                <w:szCs w:val="20"/>
              </w:rPr>
              <w:t>5</w:t>
            </w:r>
          </w:p>
        </w:tc>
        <w:tc>
          <w:tcPr>
            <w:tcW w:w="1351" w:type="pct"/>
            <w:shd w:val="clear" w:color="auto" w:fill="auto"/>
            <w:vAlign w:val="center"/>
          </w:tcPr>
          <w:p w14:paraId="794A8C00" w14:textId="77777777" w:rsidR="009D0C2E" w:rsidRPr="00B364CB" w:rsidRDefault="009D0C2E" w:rsidP="009D0C2E">
            <w:pPr>
              <w:widowControl/>
              <w:rPr>
                <w:rFonts w:cs="Arial"/>
                <w:sz w:val="20"/>
                <w:szCs w:val="20"/>
                <w:lang w:eastAsia="en-GB" w:bidi="ar-SA"/>
              </w:rPr>
            </w:pPr>
            <w:r w:rsidRPr="00B364CB">
              <w:rPr>
                <w:rFonts w:cs="Arial"/>
                <w:sz w:val="20"/>
                <w:szCs w:val="20"/>
              </w:rPr>
              <w:t>PEMFC system CAPEX</w:t>
            </w:r>
          </w:p>
        </w:tc>
        <w:tc>
          <w:tcPr>
            <w:tcW w:w="795" w:type="pct"/>
            <w:shd w:val="clear" w:color="auto" w:fill="auto"/>
            <w:vAlign w:val="center"/>
          </w:tcPr>
          <w:p w14:paraId="3BE9CD4B"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EUR/kW</w:t>
            </w:r>
          </w:p>
        </w:tc>
        <w:tc>
          <w:tcPr>
            <w:tcW w:w="556" w:type="pct"/>
            <w:shd w:val="clear" w:color="auto" w:fill="auto"/>
            <w:vAlign w:val="center"/>
          </w:tcPr>
          <w:p w14:paraId="1375824D" w14:textId="4DE2AD90" w:rsidR="009D0C2E" w:rsidRPr="009D0C2E" w:rsidRDefault="00CF55DE" w:rsidP="00CF55DE">
            <w:pPr>
              <w:widowControl/>
              <w:jc w:val="center"/>
              <w:rPr>
                <w:rFonts w:cs="Arial"/>
                <w:sz w:val="20"/>
                <w:szCs w:val="20"/>
                <w:lang w:eastAsia="en-GB" w:bidi="ar-SA"/>
              </w:rPr>
            </w:pPr>
            <w:r>
              <w:rPr>
                <w:rFonts w:cs="Arial"/>
                <w:sz w:val="20"/>
                <w:szCs w:val="20"/>
              </w:rPr>
              <w:t>2.000</w:t>
            </w:r>
          </w:p>
        </w:tc>
        <w:tc>
          <w:tcPr>
            <w:tcW w:w="1033" w:type="pct"/>
            <w:vAlign w:val="center"/>
          </w:tcPr>
          <w:p w14:paraId="1E148576" w14:textId="0C294BCD" w:rsidR="009D0C2E" w:rsidRPr="009D0C2E" w:rsidRDefault="009D0C2E" w:rsidP="009D0C2E">
            <w:pPr>
              <w:widowControl/>
              <w:jc w:val="center"/>
              <w:rPr>
                <w:rFonts w:cs="Arial"/>
                <w:sz w:val="20"/>
                <w:szCs w:val="20"/>
              </w:rPr>
            </w:pPr>
            <w:r w:rsidRPr="009D0C2E">
              <w:rPr>
                <w:rFonts w:cs="Arial"/>
                <w:sz w:val="20"/>
                <w:szCs w:val="20"/>
              </w:rPr>
              <w:t>1,</w:t>
            </w:r>
            <w:r w:rsidR="00CF55DE">
              <w:rPr>
                <w:rFonts w:cs="Arial"/>
                <w:sz w:val="20"/>
                <w:szCs w:val="20"/>
              </w:rPr>
              <w:t>5</w:t>
            </w:r>
            <w:r w:rsidRPr="009D0C2E">
              <w:rPr>
                <w:rFonts w:cs="Arial"/>
                <w:sz w:val="20"/>
                <w:szCs w:val="20"/>
              </w:rPr>
              <w:t>00</w:t>
            </w:r>
          </w:p>
        </w:tc>
        <w:tc>
          <w:tcPr>
            <w:tcW w:w="953" w:type="pct"/>
            <w:shd w:val="clear" w:color="auto" w:fill="auto"/>
            <w:vAlign w:val="center"/>
          </w:tcPr>
          <w:p w14:paraId="1450D045" w14:textId="274DACD3" w:rsidR="009D0C2E" w:rsidRPr="009D0C2E" w:rsidRDefault="00CF55DE" w:rsidP="00CF55DE">
            <w:pPr>
              <w:widowControl/>
              <w:jc w:val="center"/>
              <w:rPr>
                <w:rFonts w:cs="Arial"/>
                <w:sz w:val="20"/>
                <w:szCs w:val="20"/>
                <w:lang w:eastAsia="en-GB" w:bidi="ar-SA"/>
              </w:rPr>
            </w:pPr>
            <w:r>
              <w:rPr>
                <w:rFonts w:cs="Arial"/>
                <w:sz w:val="20"/>
                <w:szCs w:val="20"/>
              </w:rPr>
              <w:t>1.000</w:t>
            </w:r>
          </w:p>
        </w:tc>
      </w:tr>
    </w:tbl>
    <w:p w14:paraId="2A6CFEC4" w14:textId="77777777" w:rsidR="009D0C2E" w:rsidRPr="00B364CB" w:rsidRDefault="009D0C2E" w:rsidP="009D0C2E">
      <w:pPr>
        <w:tabs>
          <w:tab w:val="left" w:pos="1805"/>
        </w:tabs>
        <w:spacing w:after="120"/>
        <w:jc w:val="both"/>
        <w:rPr>
          <w:rFonts w:cstheme="minorHAnsi"/>
          <w:b/>
          <w:iCs/>
          <w:color w:val="auto"/>
          <w:sz w:val="16"/>
          <w:szCs w:val="16"/>
          <w:u w:val="single"/>
        </w:rPr>
      </w:pPr>
    </w:p>
    <w:p w14:paraId="32766AAA" w14:textId="77777777" w:rsidR="009D0C2E"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03E6BDD9" w14:textId="77777777" w:rsidR="009D0C2E" w:rsidRPr="00120F40" w:rsidRDefault="009D0C2E" w:rsidP="009D0C2E">
      <w:pPr>
        <w:tabs>
          <w:tab w:val="left" w:pos="1805"/>
        </w:tabs>
        <w:spacing w:after="120"/>
        <w:jc w:val="both"/>
        <w:rPr>
          <w:rFonts w:cstheme="minorHAnsi"/>
          <w:iCs/>
          <w:color w:val="auto"/>
          <w:sz w:val="16"/>
          <w:szCs w:val="16"/>
        </w:rPr>
      </w:pPr>
      <w:r w:rsidRPr="00120F40">
        <w:rPr>
          <w:rFonts w:cstheme="minorHAnsi"/>
          <w:iCs/>
          <w:color w:val="auto"/>
          <w:sz w:val="16"/>
          <w:szCs w:val="16"/>
        </w:rPr>
        <w:t>KPI-1: Power output of fuel cell based power generation (FC system output power)</w:t>
      </w:r>
    </w:p>
    <w:p w14:paraId="460DE940"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iCs/>
          <w:color w:val="auto"/>
          <w:sz w:val="16"/>
          <w:szCs w:val="16"/>
        </w:rPr>
        <w:t>KPI-2: Bunkering capacity of hydrogen in compressed, liquid form or as part of another hydrogen carrier</w:t>
      </w:r>
      <w:r>
        <w:rPr>
          <w:rFonts w:cstheme="minorHAnsi"/>
          <w:iCs/>
          <w:color w:val="auto"/>
          <w:sz w:val="16"/>
          <w:szCs w:val="16"/>
        </w:rPr>
        <w:t xml:space="preserve"> (s</w:t>
      </w:r>
      <w:r w:rsidRPr="006354A4">
        <w:rPr>
          <w:rFonts w:cstheme="minorHAnsi"/>
          <w:iCs/>
          <w:color w:val="auto"/>
          <w:sz w:val="16"/>
          <w:szCs w:val="16"/>
        </w:rPr>
        <w:t>hore to</w:t>
      </w:r>
      <w:r>
        <w:rPr>
          <w:rFonts w:cstheme="minorHAnsi"/>
          <w:iCs/>
          <w:color w:val="auto"/>
          <w:sz w:val="16"/>
          <w:szCs w:val="16"/>
        </w:rPr>
        <w:t xml:space="preserve"> ship infrastructure).</w:t>
      </w:r>
    </w:p>
    <w:p w14:paraId="1EBA17AA" w14:textId="77777777" w:rsidR="009D0C2E" w:rsidRDefault="009D0C2E" w:rsidP="009D0C2E">
      <w:pPr>
        <w:pStyle w:val="CommentText"/>
        <w:spacing w:after="120"/>
        <w:rPr>
          <w:rFonts w:cstheme="minorHAnsi"/>
          <w:iCs/>
          <w:color w:val="auto"/>
          <w:sz w:val="16"/>
          <w:szCs w:val="16"/>
        </w:rPr>
      </w:pPr>
      <w:r w:rsidRPr="00B364CB">
        <w:rPr>
          <w:rFonts w:cstheme="minorHAnsi"/>
          <w:iCs/>
          <w:color w:val="auto"/>
          <w:sz w:val="16"/>
          <w:szCs w:val="16"/>
        </w:rPr>
        <w:t xml:space="preserve">KPI-3: </w:t>
      </w:r>
      <w:r w:rsidRPr="00103424">
        <w:rPr>
          <w:rFonts w:cstheme="minorHAnsi"/>
          <w:iCs/>
          <w:color w:val="auto"/>
          <w:sz w:val="16"/>
          <w:szCs w:val="16"/>
        </w:rPr>
        <w:t>Lifetime of integrated fuel cell systems in maritime conditions and associated operation profile, not excluding the replacement of fuel cell stacks and system components at SoA intervals.</w:t>
      </w:r>
      <w:r>
        <w:rPr>
          <w:rFonts w:cstheme="minorHAnsi"/>
          <w:iCs/>
          <w:color w:val="auto"/>
          <w:sz w:val="16"/>
          <w:szCs w:val="16"/>
        </w:rPr>
        <w:t xml:space="preserve">KPI-4: </w:t>
      </w:r>
      <w:r w:rsidRPr="00132257">
        <w:rPr>
          <w:rFonts w:cstheme="minorHAnsi"/>
          <w:iCs/>
          <w:color w:val="auto"/>
          <w:sz w:val="16"/>
          <w:szCs w:val="16"/>
        </w:rPr>
        <w:t>Type approval on FC and H2 storage solutions</w:t>
      </w:r>
      <w:r>
        <w:rPr>
          <w:rFonts w:cstheme="minorHAnsi"/>
          <w:iCs/>
          <w:color w:val="auto"/>
          <w:sz w:val="16"/>
          <w:szCs w:val="16"/>
        </w:rPr>
        <w:t xml:space="preserve">. </w:t>
      </w:r>
      <w:r w:rsidRPr="007655B8">
        <w:rPr>
          <w:rFonts w:cstheme="minorHAnsi"/>
          <w:iCs/>
          <w:color w:val="auto"/>
          <w:sz w:val="16"/>
          <w:szCs w:val="16"/>
        </w:rPr>
        <w:t>To allow products to be used for maritime propulsion beyond prototype phase, products need to be type approved.</w:t>
      </w:r>
    </w:p>
    <w:p w14:paraId="4FFC98C4" w14:textId="2E0A56CC" w:rsidR="007B4789" w:rsidRDefault="007B4789" w:rsidP="009D0C2E">
      <w:pPr>
        <w:pStyle w:val="CommentText"/>
        <w:spacing w:after="120"/>
        <w:rPr>
          <w:rFonts w:cstheme="minorHAnsi"/>
          <w:iCs/>
          <w:color w:val="auto"/>
          <w:sz w:val="16"/>
          <w:szCs w:val="16"/>
        </w:rPr>
      </w:pPr>
      <w:r>
        <w:rPr>
          <w:rFonts w:cstheme="minorHAnsi"/>
          <w:iCs/>
          <w:color w:val="auto"/>
          <w:sz w:val="16"/>
          <w:szCs w:val="16"/>
        </w:rPr>
        <w:t xml:space="preserve">KPI-4: </w:t>
      </w:r>
      <w:r w:rsidRPr="007B4789">
        <w:rPr>
          <w:rFonts w:cstheme="minorHAnsi"/>
          <w:iCs/>
          <w:color w:val="auto"/>
          <w:sz w:val="16"/>
          <w:szCs w:val="16"/>
        </w:rPr>
        <w:t xml:space="preserve">Type approval is a procedure for the approval of the product design for compliance with classification or </w:t>
      </w:r>
      <w:r>
        <w:rPr>
          <w:rFonts w:cstheme="minorHAnsi"/>
          <w:iCs/>
          <w:color w:val="auto"/>
          <w:sz w:val="16"/>
          <w:szCs w:val="16"/>
        </w:rPr>
        <w:t>f</w:t>
      </w:r>
      <w:r w:rsidRPr="007B4789">
        <w:rPr>
          <w:rFonts w:cstheme="minorHAnsi"/>
          <w:iCs/>
          <w:color w:val="auto"/>
          <w:sz w:val="16"/>
          <w:szCs w:val="16"/>
        </w:rPr>
        <w:t xml:space="preserve">lag </w:t>
      </w:r>
      <w:r>
        <w:rPr>
          <w:rFonts w:cstheme="minorHAnsi"/>
          <w:iCs/>
          <w:color w:val="auto"/>
          <w:sz w:val="16"/>
          <w:szCs w:val="16"/>
        </w:rPr>
        <w:t>a</w:t>
      </w:r>
      <w:r w:rsidRPr="007B4789">
        <w:rPr>
          <w:rFonts w:cstheme="minorHAnsi"/>
          <w:iCs/>
          <w:color w:val="auto"/>
          <w:sz w:val="16"/>
          <w:szCs w:val="16"/>
        </w:rPr>
        <w:t xml:space="preserve">dministration requirements. The </w:t>
      </w:r>
      <w:r>
        <w:rPr>
          <w:rFonts w:cstheme="minorHAnsi"/>
          <w:iCs/>
          <w:color w:val="auto"/>
          <w:sz w:val="16"/>
          <w:szCs w:val="16"/>
        </w:rPr>
        <w:t>t</w:t>
      </w:r>
      <w:r w:rsidRPr="007B4789">
        <w:rPr>
          <w:rFonts w:cstheme="minorHAnsi"/>
          <w:iCs/>
          <w:color w:val="auto"/>
          <w:sz w:val="16"/>
          <w:szCs w:val="16"/>
        </w:rPr>
        <w:t xml:space="preserve">ype </w:t>
      </w:r>
      <w:r>
        <w:rPr>
          <w:rFonts w:cstheme="minorHAnsi"/>
          <w:iCs/>
          <w:color w:val="auto"/>
          <w:sz w:val="16"/>
          <w:szCs w:val="16"/>
        </w:rPr>
        <w:t>a</w:t>
      </w:r>
      <w:r w:rsidRPr="007B4789">
        <w:rPr>
          <w:rFonts w:cstheme="minorHAnsi"/>
          <w:iCs/>
          <w:color w:val="auto"/>
          <w:sz w:val="16"/>
          <w:szCs w:val="16"/>
        </w:rPr>
        <w:t>pproval is a mandatory requirement for critical apparatus installed on any classified vessel.</w:t>
      </w:r>
    </w:p>
    <w:p w14:paraId="642A9F4F" w14:textId="58A513FC" w:rsidR="009D0C2E" w:rsidRPr="00B364CB" w:rsidRDefault="009D0C2E" w:rsidP="009D0C2E">
      <w:pPr>
        <w:pStyle w:val="CommentText"/>
        <w:spacing w:after="120"/>
        <w:rPr>
          <w:rFonts w:cstheme="minorHAnsi"/>
          <w:iCs/>
          <w:color w:val="auto"/>
          <w:sz w:val="16"/>
          <w:szCs w:val="16"/>
        </w:rPr>
      </w:pPr>
      <w:r w:rsidRPr="00B364CB">
        <w:rPr>
          <w:rFonts w:cstheme="minorHAnsi"/>
          <w:iCs/>
          <w:color w:val="auto"/>
          <w:sz w:val="16"/>
          <w:szCs w:val="16"/>
        </w:rPr>
        <w:t>KPI-</w:t>
      </w:r>
      <w:r>
        <w:rPr>
          <w:rFonts w:cstheme="minorHAnsi"/>
          <w:iCs/>
          <w:color w:val="auto"/>
          <w:sz w:val="16"/>
          <w:szCs w:val="16"/>
        </w:rPr>
        <w:t>5</w:t>
      </w:r>
      <w:r w:rsidRPr="00B364CB">
        <w:rPr>
          <w:rFonts w:cstheme="minorHAnsi"/>
          <w:iCs/>
          <w:color w:val="auto"/>
          <w:sz w:val="16"/>
          <w:szCs w:val="16"/>
        </w:rPr>
        <w:t xml:space="preserve">: </w:t>
      </w:r>
      <w:r w:rsidRPr="00E2799D">
        <w:rPr>
          <w:rFonts w:cstheme="minorHAnsi"/>
          <w:iCs/>
          <w:color w:val="auto"/>
          <w:sz w:val="16"/>
          <w:szCs w:val="16"/>
        </w:rPr>
        <w:t>CAPEX of PEMFC for shipping per kW of power at certain (low) production volume</w:t>
      </w:r>
      <w:r>
        <w:rPr>
          <w:rFonts w:cstheme="minorHAnsi"/>
          <w:iCs/>
          <w:color w:val="auto"/>
          <w:sz w:val="16"/>
          <w:szCs w:val="16"/>
        </w:rPr>
        <w:t xml:space="preserve">. </w:t>
      </w:r>
      <w:r w:rsidRPr="00B364CB">
        <w:rPr>
          <w:rFonts w:cstheme="minorHAnsi"/>
          <w:iCs/>
          <w:color w:val="auto"/>
          <w:sz w:val="16"/>
          <w:szCs w:val="16"/>
        </w:rPr>
        <w:t>FC module is defined as FC stack plus air supply system, cooling system, internal engine control unit, media manifold and other BoP (recirculation, humidifier, sensors, DC-DC</w:t>
      </w:r>
      <w:r>
        <w:rPr>
          <w:rFonts w:cstheme="minorHAnsi"/>
          <w:iCs/>
          <w:color w:val="auto"/>
          <w:sz w:val="16"/>
          <w:szCs w:val="16"/>
        </w:rPr>
        <w:t xml:space="preserve"> converter</w:t>
      </w:r>
      <w:r w:rsidRPr="00B364CB">
        <w:rPr>
          <w:rFonts w:cstheme="minorHAnsi"/>
          <w:iCs/>
          <w:color w:val="auto"/>
          <w:sz w:val="16"/>
          <w:szCs w:val="16"/>
        </w:rPr>
        <w:t xml:space="preserve">, etc).  </w:t>
      </w:r>
    </w:p>
    <w:p w14:paraId="522E8FA3" w14:textId="77777777" w:rsidR="009D0C2E" w:rsidRPr="00B364CB" w:rsidRDefault="009D0C2E" w:rsidP="009D0C2E">
      <w:pPr>
        <w:tabs>
          <w:tab w:val="left" w:pos="1805"/>
        </w:tabs>
        <w:spacing w:after="120"/>
        <w:jc w:val="both"/>
        <w:rPr>
          <w:rFonts w:cstheme="minorHAnsi"/>
          <w:iCs/>
          <w:color w:val="auto"/>
          <w:sz w:val="16"/>
          <w:szCs w:val="16"/>
        </w:rPr>
      </w:pPr>
    </w:p>
    <w:p w14:paraId="5F49364E" w14:textId="433124D1" w:rsidR="009D0C2E" w:rsidRPr="00B364CB" w:rsidRDefault="009D0C2E" w:rsidP="009D0C2E">
      <w:pPr>
        <w:pStyle w:val="Caption"/>
        <w:rPr>
          <w:sz w:val="24"/>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18</w:t>
      </w:r>
      <w:r w:rsidRPr="00B364CB">
        <w:rPr>
          <w:sz w:val="24"/>
        </w:rPr>
        <w:fldChar w:fldCharType="end"/>
      </w:r>
      <w:r w:rsidRPr="00B364CB">
        <w:rPr>
          <w:sz w:val="24"/>
        </w:rPr>
        <w:t xml:space="preserve"> KPIs for Trains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69"/>
        <w:gridCol w:w="2462"/>
        <w:gridCol w:w="1448"/>
        <w:gridCol w:w="1013"/>
        <w:gridCol w:w="1882"/>
        <w:gridCol w:w="1736"/>
      </w:tblGrid>
      <w:tr w:rsidR="009D0C2E" w:rsidRPr="00B364CB" w14:paraId="405D8BE4" w14:textId="77777777" w:rsidTr="00120F40">
        <w:trPr>
          <w:trHeight w:val="315"/>
        </w:trPr>
        <w:tc>
          <w:tcPr>
            <w:tcW w:w="312" w:type="pct"/>
            <w:vMerge w:val="restart"/>
            <w:shd w:val="clear" w:color="auto" w:fill="BFBFBF" w:themeFill="background1" w:themeFillShade="BF"/>
            <w:vAlign w:val="center"/>
            <w:hideMark/>
          </w:tcPr>
          <w:p w14:paraId="16B5433A"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No</w:t>
            </w:r>
          </w:p>
        </w:tc>
        <w:tc>
          <w:tcPr>
            <w:tcW w:w="1351" w:type="pct"/>
            <w:vMerge w:val="restart"/>
            <w:shd w:val="clear" w:color="auto" w:fill="BFBFBF" w:themeFill="background1" w:themeFillShade="BF"/>
            <w:vAlign w:val="center"/>
            <w:hideMark/>
          </w:tcPr>
          <w:p w14:paraId="42E0C955" w14:textId="77777777" w:rsidR="009D0C2E" w:rsidRPr="00B364CB" w:rsidRDefault="009D0C2E" w:rsidP="009D0C2E">
            <w:pPr>
              <w:widowControl/>
              <w:ind w:firstLineChars="301" w:firstLine="602"/>
              <w:rPr>
                <w:rFonts w:cs="Arial"/>
                <w:b/>
                <w:bCs/>
                <w:sz w:val="20"/>
                <w:szCs w:val="20"/>
                <w:lang w:eastAsia="en-GB" w:bidi="ar-SA"/>
              </w:rPr>
            </w:pPr>
            <w:r w:rsidRPr="00B364CB">
              <w:rPr>
                <w:rFonts w:cs="Arial"/>
                <w:b/>
                <w:bCs/>
                <w:sz w:val="20"/>
                <w:szCs w:val="20"/>
                <w:lang w:eastAsia="en-GB" w:bidi="ar-SA"/>
              </w:rPr>
              <w:t>Parameter</w:t>
            </w:r>
          </w:p>
        </w:tc>
        <w:tc>
          <w:tcPr>
            <w:tcW w:w="795" w:type="pct"/>
            <w:vMerge w:val="restart"/>
            <w:shd w:val="clear" w:color="auto" w:fill="BFBFBF" w:themeFill="background1" w:themeFillShade="BF"/>
            <w:vAlign w:val="center"/>
            <w:hideMark/>
          </w:tcPr>
          <w:p w14:paraId="4498A3BC"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Unit</w:t>
            </w:r>
          </w:p>
        </w:tc>
        <w:tc>
          <w:tcPr>
            <w:tcW w:w="556" w:type="pct"/>
            <w:shd w:val="clear" w:color="auto" w:fill="BFBFBF" w:themeFill="background1" w:themeFillShade="BF"/>
            <w:vAlign w:val="center"/>
          </w:tcPr>
          <w:p w14:paraId="2ECE45AE"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986" w:type="pct"/>
            <w:gridSpan w:val="2"/>
            <w:shd w:val="clear" w:color="auto" w:fill="BFBFBF" w:themeFill="background1" w:themeFillShade="BF"/>
          </w:tcPr>
          <w:p w14:paraId="3A53EAA5"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3AC1050A" w14:textId="77777777" w:rsidTr="00120F40">
        <w:trPr>
          <w:trHeight w:val="315"/>
        </w:trPr>
        <w:tc>
          <w:tcPr>
            <w:tcW w:w="312" w:type="pct"/>
            <w:vMerge/>
            <w:tcBorders>
              <w:bottom w:val="single" w:sz="8" w:space="0" w:color="000000"/>
            </w:tcBorders>
            <w:shd w:val="clear" w:color="auto" w:fill="BFBFBF" w:themeFill="background1" w:themeFillShade="BF"/>
            <w:vAlign w:val="center"/>
            <w:hideMark/>
          </w:tcPr>
          <w:p w14:paraId="5FCC7C66" w14:textId="77777777" w:rsidR="009D0C2E" w:rsidRPr="00B364CB" w:rsidRDefault="009D0C2E" w:rsidP="009D0C2E">
            <w:pPr>
              <w:widowControl/>
              <w:jc w:val="center"/>
              <w:rPr>
                <w:rFonts w:cs="Arial"/>
                <w:b/>
                <w:bCs/>
                <w:sz w:val="20"/>
                <w:szCs w:val="20"/>
                <w:lang w:eastAsia="en-GB" w:bidi="ar-SA"/>
              </w:rPr>
            </w:pPr>
          </w:p>
        </w:tc>
        <w:tc>
          <w:tcPr>
            <w:tcW w:w="1351" w:type="pct"/>
            <w:vMerge/>
            <w:tcBorders>
              <w:bottom w:val="single" w:sz="8" w:space="0" w:color="000000"/>
            </w:tcBorders>
            <w:shd w:val="clear" w:color="auto" w:fill="BFBFBF" w:themeFill="background1" w:themeFillShade="BF"/>
            <w:vAlign w:val="center"/>
            <w:hideMark/>
          </w:tcPr>
          <w:p w14:paraId="42CD3556" w14:textId="77777777" w:rsidR="009D0C2E" w:rsidRPr="00B364CB" w:rsidRDefault="009D0C2E" w:rsidP="009D0C2E">
            <w:pPr>
              <w:widowControl/>
              <w:jc w:val="center"/>
              <w:rPr>
                <w:rFonts w:cs="Arial"/>
                <w:b/>
                <w:bCs/>
                <w:sz w:val="20"/>
                <w:szCs w:val="20"/>
                <w:lang w:eastAsia="en-GB" w:bidi="ar-SA"/>
              </w:rPr>
            </w:pPr>
          </w:p>
        </w:tc>
        <w:tc>
          <w:tcPr>
            <w:tcW w:w="795" w:type="pct"/>
            <w:vMerge/>
            <w:tcBorders>
              <w:bottom w:val="single" w:sz="8" w:space="0" w:color="000000"/>
            </w:tcBorders>
            <w:shd w:val="clear" w:color="auto" w:fill="BFBFBF" w:themeFill="background1" w:themeFillShade="BF"/>
            <w:vAlign w:val="center"/>
            <w:hideMark/>
          </w:tcPr>
          <w:p w14:paraId="55840DBD" w14:textId="77777777" w:rsidR="009D0C2E" w:rsidRPr="00B364CB" w:rsidRDefault="009D0C2E" w:rsidP="009D0C2E">
            <w:pPr>
              <w:widowControl/>
              <w:jc w:val="center"/>
              <w:rPr>
                <w:rFonts w:cs="Arial"/>
                <w:b/>
                <w:bCs/>
                <w:sz w:val="20"/>
                <w:szCs w:val="20"/>
                <w:lang w:eastAsia="en-GB" w:bidi="ar-SA"/>
              </w:rPr>
            </w:pPr>
          </w:p>
        </w:tc>
        <w:tc>
          <w:tcPr>
            <w:tcW w:w="556" w:type="pct"/>
            <w:tcBorders>
              <w:bottom w:val="single" w:sz="8" w:space="0" w:color="000000"/>
            </w:tcBorders>
            <w:shd w:val="clear" w:color="auto" w:fill="BFBFBF" w:themeFill="background1" w:themeFillShade="BF"/>
            <w:vAlign w:val="center"/>
          </w:tcPr>
          <w:p w14:paraId="46100246"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1033" w:type="pct"/>
            <w:tcBorders>
              <w:bottom w:val="single" w:sz="8" w:space="0" w:color="000000"/>
            </w:tcBorders>
            <w:shd w:val="clear" w:color="auto" w:fill="BFBFBF" w:themeFill="background1" w:themeFillShade="BF"/>
          </w:tcPr>
          <w:p w14:paraId="6F33FF82"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953" w:type="pct"/>
            <w:tcBorders>
              <w:bottom w:val="single" w:sz="8" w:space="0" w:color="000000"/>
            </w:tcBorders>
            <w:shd w:val="clear" w:color="auto" w:fill="BFBFBF" w:themeFill="background1" w:themeFillShade="BF"/>
            <w:vAlign w:val="center"/>
            <w:hideMark/>
          </w:tcPr>
          <w:p w14:paraId="38DE1464"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4BC4FD42" w14:textId="77777777" w:rsidTr="00120F40">
        <w:trPr>
          <w:trHeight w:val="486"/>
        </w:trPr>
        <w:tc>
          <w:tcPr>
            <w:tcW w:w="312" w:type="pct"/>
            <w:shd w:val="clear" w:color="auto" w:fill="D9D9D9" w:themeFill="background1" w:themeFillShade="D9"/>
          </w:tcPr>
          <w:p w14:paraId="19EB19C4" w14:textId="77777777" w:rsidR="009D0C2E" w:rsidRPr="00B364CB" w:rsidRDefault="009D0C2E" w:rsidP="009D0C2E">
            <w:pPr>
              <w:widowControl/>
              <w:jc w:val="center"/>
              <w:rPr>
                <w:rFonts w:ascii="Calibri" w:hAnsi="Calibri"/>
                <w:b/>
                <w:bCs/>
                <w:sz w:val="20"/>
                <w:szCs w:val="20"/>
                <w:lang w:eastAsia="en-GB" w:bidi="ar-SA"/>
              </w:rPr>
            </w:pPr>
          </w:p>
        </w:tc>
        <w:tc>
          <w:tcPr>
            <w:tcW w:w="4688" w:type="pct"/>
            <w:gridSpan w:val="5"/>
            <w:shd w:val="clear" w:color="auto" w:fill="D9D9D9" w:themeFill="background1" w:themeFillShade="D9"/>
            <w:vAlign w:val="center"/>
          </w:tcPr>
          <w:p w14:paraId="6B483277" w14:textId="77777777" w:rsidR="009D0C2E" w:rsidRPr="00B364CB" w:rsidRDefault="009D0C2E" w:rsidP="009D0C2E">
            <w:pPr>
              <w:widowControl/>
              <w:jc w:val="center"/>
              <w:rPr>
                <w:rFonts w:ascii="Calibri" w:hAnsi="Calibri"/>
                <w:b/>
                <w:bCs/>
                <w:sz w:val="20"/>
                <w:szCs w:val="20"/>
                <w:lang w:eastAsia="en-GB" w:bidi="ar-SA"/>
              </w:rPr>
            </w:pPr>
            <w:r w:rsidRPr="00B364CB">
              <w:rPr>
                <w:rFonts w:ascii="Calibri" w:hAnsi="Calibri"/>
                <w:b/>
                <w:bCs/>
                <w:sz w:val="20"/>
                <w:szCs w:val="20"/>
                <w:lang w:eastAsia="en-GB" w:bidi="ar-SA"/>
              </w:rPr>
              <w:t>Fuel Cells for Trains</w:t>
            </w:r>
          </w:p>
        </w:tc>
      </w:tr>
      <w:tr w:rsidR="009D0C2E" w:rsidRPr="00B364CB" w14:paraId="4FCF4C0D" w14:textId="77777777" w:rsidTr="00120F40">
        <w:trPr>
          <w:trHeight w:val="315"/>
        </w:trPr>
        <w:tc>
          <w:tcPr>
            <w:tcW w:w="312" w:type="pct"/>
            <w:shd w:val="clear" w:color="auto" w:fill="auto"/>
            <w:vAlign w:val="center"/>
            <w:hideMark/>
          </w:tcPr>
          <w:p w14:paraId="5F34BAE5"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w:t>
            </w:r>
          </w:p>
        </w:tc>
        <w:tc>
          <w:tcPr>
            <w:tcW w:w="1351" w:type="pct"/>
            <w:shd w:val="clear" w:color="auto" w:fill="auto"/>
            <w:vAlign w:val="center"/>
          </w:tcPr>
          <w:p w14:paraId="04F2CEF1" w14:textId="77777777" w:rsidR="009D0C2E" w:rsidRPr="00B364CB" w:rsidRDefault="009D0C2E" w:rsidP="009D0C2E">
            <w:pPr>
              <w:widowControl/>
              <w:rPr>
                <w:rFonts w:cs="Arial"/>
                <w:sz w:val="20"/>
                <w:szCs w:val="20"/>
                <w:lang w:eastAsia="en-GB" w:bidi="ar-SA"/>
              </w:rPr>
            </w:pPr>
            <w:r w:rsidRPr="00B364CB">
              <w:rPr>
                <w:rFonts w:cs="Arial"/>
                <w:sz w:val="20"/>
                <w:szCs w:val="20"/>
              </w:rPr>
              <w:t>FC stack durability</w:t>
            </w:r>
          </w:p>
        </w:tc>
        <w:tc>
          <w:tcPr>
            <w:tcW w:w="795" w:type="pct"/>
            <w:shd w:val="clear" w:color="auto" w:fill="auto"/>
            <w:vAlign w:val="center"/>
          </w:tcPr>
          <w:p w14:paraId="71F9AEAB"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h</w:t>
            </w:r>
          </w:p>
        </w:tc>
        <w:tc>
          <w:tcPr>
            <w:tcW w:w="556" w:type="pct"/>
            <w:shd w:val="clear" w:color="auto" w:fill="auto"/>
            <w:vAlign w:val="center"/>
          </w:tcPr>
          <w:p w14:paraId="12AEBC07"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rPr>
              <w:t>15,000</w:t>
            </w:r>
          </w:p>
        </w:tc>
        <w:tc>
          <w:tcPr>
            <w:tcW w:w="1033" w:type="pct"/>
            <w:vAlign w:val="center"/>
          </w:tcPr>
          <w:p w14:paraId="54700D37" w14:textId="77777777" w:rsidR="009D0C2E" w:rsidRPr="00B364CB" w:rsidRDefault="009D0C2E" w:rsidP="009D0C2E">
            <w:pPr>
              <w:widowControl/>
              <w:jc w:val="center"/>
              <w:rPr>
                <w:rFonts w:cs="Arial"/>
                <w:color w:val="auto"/>
                <w:sz w:val="20"/>
                <w:szCs w:val="20"/>
              </w:rPr>
            </w:pPr>
            <w:r w:rsidRPr="00B364CB">
              <w:rPr>
                <w:rFonts w:cs="Arial"/>
                <w:color w:val="auto"/>
                <w:sz w:val="20"/>
                <w:szCs w:val="20"/>
              </w:rPr>
              <w:t>20,000</w:t>
            </w:r>
          </w:p>
        </w:tc>
        <w:tc>
          <w:tcPr>
            <w:tcW w:w="953" w:type="pct"/>
            <w:shd w:val="clear" w:color="auto" w:fill="auto"/>
            <w:vAlign w:val="center"/>
          </w:tcPr>
          <w:p w14:paraId="69B7EB6B"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rPr>
              <w:t>30,000</w:t>
            </w:r>
          </w:p>
        </w:tc>
      </w:tr>
      <w:tr w:rsidR="009D0C2E" w:rsidRPr="00B364CB" w14:paraId="52AAF2B9" w14:textId="77777777" w:rsidTr="00120F40">
        <w:trPr>
          <w:trHeight w:val="315"/>
        </w:trPr>
        <w:tc>
          <w:tcPr>
            <w:tcW w:w="312" w:type="pct"/>
            <w:shd w:val="clear" w:color="auto" w:fill="auto"/>
            <w:vAlign w:val="center"/>
            <w:hideMark/>
          </w:tcPr>
          <w:p w14:paraId="5EA562F1"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2</w:t>
            </w:r>
          </w:p>
        </w:tc>
        <w:tc>
          <w:tcPr>
            <w:tcW w:w="1351" w:type="pct"/>
            <w:shd w:val="clear" w:color="auto" w:fill="auto"/>
            <w:vAlign w:val="center"/>
          </w:tcPr>
          <w:p w14:paraId="09D197B0" w14:textId="77777777" w:rsidR="009D0C2E" w:rsidRPr="00B364CB" w:rsidRDefault="009D0C2E" w:rsidP="009D0C2E">
            <w:pPr>
              <w:widowControl/>
              <w:rPr>
                <w:rFonts w:cs="Arial"/>
                <w:sz w:val="20"/>
                <w:szCs w:val="20"/>
                <w:lang w:eastAsia="en-GB" w:bidi="ar-SA"/>
              </w:rPr>
            </w:pPr>
            <w:r w:rsidRPr="00B364CB">
              <w:rPr>
                <w:rFonts w:cs="Arial"/>
                <w:sz w:val="20"/>
                <w:szCs w:val="20"/>
              </w:rPr>
              <w:t>FC stack cost</w:t>
            </w:r>
          </w:p>
        </w:tc>
        <w:tc>
          <w:tcPr>
            <w:tcW w:w="795" w:type="pct"/>
            <w:shd w:val="clear" w:color="auto" w:fill="auto"/>
            <w:vAlign w:val="center"/>
          </w:tcPr>
          <w:p w14:paraId="48B4F023"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€/kW</w:t>
            </w:r>
          </w:p>
        </w:tc>
        <w:tc>
          <w:tcPr>
            <w:tcW w:w="556" w:type="pct"/>
            <w:shd w:val="clear" w:color="auto" w:fill="auto"/>
            <w:vAlign w:val="center"/>
          </w:tcPr>
          <w:p w14:paraId="606D473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n/a</w:t>
            </w:r>
          </w:p>
        </w:tc>
        <w:tc>
          <w:tcPr>
            <w:tcW w:w="1033" w:type="pct"/>
            <w:vAlign w:val="center"/>
          </w:tcPr>
          <w:p w14:paraId="5B518396" w14:textId="77777777" w:rsidR="009D0C2E" w:rsidRPr="00B364CB" w:rsidRDefault="009D0C2E" w:rsidP="009D0C2E">
            <w:pPr>
              <w:widowControl/>
              <w:jc w:val="center"/>
              <w:rPr>
                <w:rFonts w:cs="Arial"/>
                <w:color w:val="auto"/>
                <w:sz w:val="20"/>
                <w:szCs w:val="20"/>
              </w:rPr>
            </w:pPr>
            <w:r w:rsidRPr="00B364CB">
              <w:rPr>
                <w:rFonts w:cs="Arial"/>
                <w:sz w:val="20"/>
                <w:szCs w:val="20"/>
                <w:lang w:eastAsia="en-GB" w:bidi="ar-SA"/>
              </w:rPr>
              <w:t>n/a</w:t>
            </w:r>
          </w:p>
        </w:tc>
        <w:tc>
          <w:tcPr>
            <w:tcW w:w="953" w:type="pct"/>
            <w:shd w:val="clear" w:color="auto" w:fill="auto"/>
            <w:vAlign w:val="center"/>
          </w:tcPr>
          <w:p w14:paraId="6131E855"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rPr>
              <w:t>&lt;50</w:t>
            </w:r>
          </w:p>
        </w:tc>
      </w:tr>
      <w:tr w:rsidR="009D0C2E" w:rsidRPr="00B364CB" w14:paraId="6E8CC337" w14:textId="77777777" w:rsidTr="00120F40">
        <w:trPr>
          <w:trHeight w:val="370"/>
        </w:trPr>
        <w:tc>
          <w:tcPr>
            <w:tcW w:w="312" w:type="pct"/>
            <w:shd w:val="clear" w:color="auto" w:fill="auto"/>
            <w:vAlign w:val="center"/>
            <w:hideMark/>
          </w:tcPr>
          <w:p w14:paraId="032E87FD"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3</w:t>
            </w:r>
          </w:p>
        </w:tc>
        <w:tc>
          <w:tcPr>
            <w:tcW w:w="1351" w:type="pct"/>
            <w:shd w:val="clear" w:color="auto" w:fill="auto"/>
            <w:vAlign w:val="center"/>
          </w:tcPr>
          <w:p w14:paraId="2B23B427" w14:textId="77777777" w:rsidR="009D0C2E" w:rsidRPr="00B364CB" w:rsidRDefault="009D0C2E" w:rsidP="009D0C2E">
            <w:pPr>
              <w:widowControl/>
              <w:rPr>
                <w:rFonts w:cs="Arial"/>
                <w:sz w:val="20"/>
                <w:szCs w:val="20"/>
                <w:lang w:eastAsia="en-GB" w:bidi="ar-SA"/>
              </w:rPr>
            </w:pPr>
            <w:r w:rsidRPr="00B364CB">
              <w:rPr>
                <w:rFonts w:cs="Arial"/>
                <w:sz w:val="20"/>
                <w:szCs w:val="20"/>
              </w:rPr>
              <w:t>Areal power density</w:t>
            </w:r>
          </w:p>
        </w:tc>
        <w:tc>
          <w:tcPr>
            <w:tcW w:w="795" w:type="pct"/>
            <w:shd w:val="clear" w:color="auto" w:fill="auto"/>
            <w:vAlign w:val="center"/>
          </w:tcPr>
          <w:p w14:paraId="13C2FB56"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W/cm</w:t>
            </w:r>
            <w:r w:rsidRPr="00B364CB">
              <w:rPr>
                <w:rFonts w:cs="Arial"/>
                <w:sz w:val="20"/>
                <w:szCs w:val="20"/>
                <w:vertAlign w:val="superscript"/>
              </w:rPr>
              <w:t>2</w:t>
            </w:r>
            <w:r w:rsidRPr="00B364CB">
              <w:rPr>
                <w:rFonts w:cs="Arial"/>
                <w:sz w:val="20"/>
                <w:szCs w:val="20"/>
              </w:rPr>
              <w:t xml:space="preserve"> @ V</w:t>
            </w:r>
          </w:p>
        </w:tc>
        <w:tc>
          <w:tcPr>
            <w:tcW w:w="556" w:type="pct"/>
            <w:shd w:val="clear" w:color="auto" w:fill="auto"/>
            <w:vAlign w:val="center"/>
          </w:tcPr>
          <w:p w14:paraId="3A30E17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n/a</w:t>
            </w:r>
          </w:p>
        </w:tc>
        <w:tc>
          <w:tcPr>
            <w:tcW w:w="1033" w:type="pct"/>
            <w:vAlign w:val="center"/>
          </w:tcPr>
          <w:p w14:paraId="004585AB" w14:textId="77777777" w:rsidR="009D0C2E" w:rsidRPr="00B364CB" w:rsidRDefault="009D0C2E" w:rsidP="009D0C2E">
            <w:pPr>
              <w:widowControl/>
              <w:jc w:val="center"/>
              <w:rPr>
                <w:rFonts w:cs="Arial"/>
                <w:sz w:val="20"/>
                <w:szCs w:val="20"/>
              </w:rPr>
            </w:pPr>
            <w:r w:rsidRPr="00B364CB">
              <w:rPr>
                <w:rFonts w:cs="Arial"/>
                <w:sz w:val="20"/>
                <w:szCs w:val="20"/>
              </w:rPr>
              <w:t>1.0@ 0.675</w:t>
            </w:r>
          </w:p>
        </w:tc>
        <w:tc>
          <w:tcPr>
            <w:tcW w:w="953" w:type="pct"/>
            <w:shd w:val="clear" w:color="auto" w:fill="auto"/>
            <w:vAlign w:val="center"/>
          </w:tcPr>
          <w:p w14:paraId="0625ADE4"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1.2@ 0.675</w:t>
            </w:r>
          </w:p>
        </w:tc>
      </w:tr>
      <w:tr w:rsidR="009D0C2E" w:rsidRPr="00B364CB" w14:paraId="5CA9C704" w14:textId="77777777" w:rsidTr="00120F40">
        <w:trPr>
          <w:trHeight w:val="315"/>
        </w:trPr>
        <w:tc>
          <w:tcPr>
            <w:tcW w:w="312" w:type="pct"/>
            <w:shd w:val="clear" w:color="auto" w:fill="auto"/>
            <w:vAlign w:val="center"/>
          </w:tcPr>
          <w:p w14:paraId="292A16D2" w14:textId="77777777" w:rsidR="009D0C2E" w:rsidRPr="00B364CB" w:rsidRDefault="009D0C2E" w:rsidP="009D0C2E">
            <w:pPr>
              <w:widowControl/>
              <w:jc w:val="center"/>
              <w:rPr>
                <w:rFonts w:cs="Arial"/>
                <w:sz w:val="20"/>
                <w:szCs w:val="20"/>
              </w:rPr>
            </w:pPr>
            <w:r>
              <w:rPr>
                <w:rFonts w:cs="Arial"/>
                <w:sz w:val="20"/>
                <w:szCs w:val="20"/>
                <w:lang w:eastAsia="en-GB" w:bidi="ar-SA"/>
              </w:rPr>
              <w:t>4</w:t>
            </w:r>
          </w:p>
        </w:tc>
        <w:tc>
          <w:tcPr>
            <w:tcW w:w="1351" w:type="pct"/>
            <w:shd w:val="clear" w:color="auto" w:fill="auto"/>
            <w:vAlign w:val="center"/>
          </w:tcPr>
          <w:p w14:paraId="4EBA30F5" w14:textId="77777777" w:rsidR="009D0C2E" w:rsidRPr="00B364CB" w:rsidRDefault="009D0C2E" w:rsidP="009D0C2E">
            <w:pPr>
              <w:widowControl/>
              <w:rPr>
                <w:rFonts w:cs="Arial"/>
                <w:sz w:val="20"/>
                <w:szCs w:val="20"/>
              </w:rPr>
            </w:pPr>
            <w:r w:rsidRPr="00B364CB">
              <w:rPr>
                <w:rFonts w:cs="Arial"/>
                <w:sz w:val="20"/>
                <w:szCs w:val="20"/>
                <w:lang w:eastAsia="en-GB" w:bidi="ar-SA"/>
              </w:rPr>
              <w:t>PGM loading</w:t>
            </w:r>
          </w:p>
        </w:tc>
        <w:tc>
          <w:tcPr>
            <w:tcW w:w="795" w:type="pct"/>
            <w:shd w:val="clear" w:color="auto" w:fill="auto"/>
            <w:vAlign w:val="center"/>
          </w:tcPr>
          <w:p w14:paraId="57F5097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g/kW</w:t>
            </w:r>
          </w:p>
        </w:tc>
        <w:tc>
          <w:tcPr>
            <w:tcW w:w="556" w:type="pct"/>
            <w:shd w:val="clear" w:color="auto" w:fill="auto"/>
            <w:vAlign w:val="center"/>
          </w:tcPr>
          <w:p w14:paraId="6E78C144" w14:textId="77777777" w:rsidR="009D0C2E" w:rsidRPr="00B364CB" w:rsidRDefault="009D0C2E" w:rsidP="009D0C2E">
            <w:pPr>
              <w:widowControl/>
              <w:jc w:val="center"/>
              <w:rPr>
                <w:rFonts w:cs="Arial"/>
                <w:sz w:val="20"/>
                <w:szCs w:val="20"/>
              </w:rPr>
            </w:pPr>
            <w:r w:rsidRPr="00B364CB">
              <w:rPr>
                <w:rFonts w:cs="Arial"/>
                <w:sz w:val="20"/>
                <w:szCs w:val="20"/>
                <w:lang w:eastAsia="en-GB" w:bidi="ar-SA"/>
              </w:rPr>
              <w:t>0.4</w:t>
            </w:r>
          </w:p>
        </w:tc>
        <w:tc>
          <w:tcPr>
            <w:tcW w:w="1033" w:type="pct"/>
            <w:vAlign w:val="center"/>
          </w:tcPr>
          <w:p w14:paraId="299B3FE5" w14:textId="77777777" w:rsidR="009D0C2E" w:rsidRPr="00B364CB" w:rsidRDefault="009D0C2E" w:rsidP="009D0C2E">
            <w:pPr>
              <w:widowControl/>
              <w:jc w:val="center"/>
              <w:rPr>
                <w:rFonts w:cs="Arial"/>
                <w:sz w:val="20"/>
                <w:szCs w:val="20"/>
                <w:lang w:eastAsia="en-GB" w:bidi="ar-SA"/>
              </w:rPr>
            </w:pPr>
          </w:p>
          <w:p w14:paraId="43EF072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High TRL 0.35</w:t>
            </w:r>
          </w:p>
          <w:p w14:paraId="43F1A67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lastRenderedPageBreak/>
              <w:t>Low TRL &lt; 0.30</w:t>
            </w:r>
          </w:p>
          <w:p w14:paraId="288C6B37" w14:textId="77777777" w:rsidR="009D0C2E" w:rsidRPr="00B364CB" w:rsidRDefault="009D0C2E" w:rsidP="009D0C2E">
            <w:pPr>
              <w:widowControl/>
              <w:jc w:val="center"/>
              <w:rPr>
                <w:rFonts w:cs="Arial"/>
                <w:sz w:val="20"/>
                <w:szCs w:val="20"/>
              </w:rPr>
            </w:pPr>
          </w:p>
        </w:tc>
        <w:tc>
          <w:tcPr>
            <w:tcW w:w="953" w:type="pct"/>
            <w:shd w:val="clear" w:color="auto" w:fill="auto"/>
            <w:vAlign w:val="center"/>
          </w:tcPr>
          <w:p w14:paraId="2DF9EF1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lastRenderedPageBreak/>
              <w:t>High TRL 0.30</w:t>
            </w:r>
          </w:p>
          <w:p w14:paraId="68569548" w14:textId="77777777" w:rsidR="009D0C2E" w:rsidRPr="00B364CB" w:rsidRDefault="009D0C2E" w:rsidP="009D0C2E">
            <w:pPr>
              <w:widowControl/>
              <w:jc w:val="center"/>
              <w:rPr>
                <w:rFonts w:cs="Arial"/>
                <w:sz w:val="20"/>
                <w:szCs w:val="20"/>
              </w:rPr>
            </w:pPr>
            <w:r w:rsidRPr="00B364CB">
              <w:rPr>
                <w:rFonts w:cs="Arial"/>
                <w:sz w:val="20"/>
                <w:szCs w:val="20"/>
                <w:lang w:eastAsia="en-GB" w:bidi="ar-SA"/>
              </w:rPr>
              <w:t>Low TRL &lt; 0.25</w:t>
            </w:r>
          </w:p>
        </w:tc>
      </w:tr>
      <w:tr w:rsidR="009D0C2E" w:rsidRPr="00B364CB" w14:paraId="755C1807" w14:textId="77777777" w:rsidTr="00120F40">
        <w:trPr>
          <w:trHeight w:val="315"/>
        </w:trPr>
        <w:tc>
          <w:tcPr>
            <w:tcW w:w="312" w:type="pct"/>
            <w:shd w:val="clear" w:color="auto" w:fill="auto"/>
            <w:vAlign w:val="center"/>
            <w:hideMark/>
          </w:tcPr>
          <w:p w14:paraId="7844D8D0"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w:t>
            </w:r>
          </w:p>
        </w:tc>
        <w:tc>
          <w:tcPr>
            <w:tcW w:w="1351" w:type="pct"/>
            <w:shd w:val="clear" w:color="auto" w:fill="auto"/>
            <w:vAlign w:val="center"/>
          </w:tcPr>
          <w:p w14:paraId="043EA724" w14:textId="77777777" w:rsidR="009D0C2E" w:rsidRPr="00B364CB" w:rsidRDefault="009D0C2E" w:rsidP="009D0C2E">
            <w:pPr>
              <w:widowControl/>
              <w:rPr>
                <w:rFonts w:cs="Arial"/>
                <w:sz w:val="20"/>
                <w:szCs w:val="20"/>
                <w:lang w:eastAsia="en-GB" w:bidi="ar-SA"/>
              </w:rPr>
            </w:pPr>
            <w:r w:rsidRPr="00B364CB">
              <w:rPr>
                <w:rFonts w:cs="Arial"/>
                <w:sz w:val="20"/>
                <w:szCs w:val="20"/>
              </w:rPr>
              <w:t>Number of starts</w:t>
            </w:r>
          </w:p>
        </w:tc>
        <w:tc>
          <w:tcPr>
            <w:tcW w:w="795" w:type="pct"/>
            <w:shd w:val="clear" w:color="auto" w:fill="auto"/>
            <w:vAlign w:val="center"/>
          </w:tcPr>
          <w:p w14:paraId="729EC20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556" w:type="pct"/>
            <w:shd w:val="clear" w:color="auto" w:fill="auto"/>
            <w:vAlign w:val="center"/>
          </w:tcPr>
          <w:p w14:paraId="4F8772D8"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5,000</w:t>
            </w:r>
          </w:p>
        </w:tc>
        <w:tc>
          <w:tcPr>
            <w:tcW w:w="1033" w:type="pct"/>
            <w:vAlign w:val="center"/>
          </w:tcPr>
          <w:p w14:paraId="1A4DA7B5" w14:textId="77777777" w:rsidR="009D0C2E" w:rsidRPr="00B364CB" w:rsidRDefault="009D0C2E" w:rsidP="009D0C2E">
            <w:pPr>
              <w:widowControl/>
              <w:jc w:val="center"/>
              <w:rPr>
                <w:rFonts w:cs="Arial"/>
                <w:sz w:val="20"/>
                <w:szCs w:val="20"/>
              </w:rPr>
            </w:pPr>
            <w:r w:rsidRPr="00B364CB">
              <w:rPr>
                <w:rFonts w:cs="Arial"/>
                <w:sz w:val="20"/>
                <w:szCs w:val="20"/>
              </w:rPr>
              <w:t>12,000</w:t>
            </w:r>
          </w:p>
        </w:tc>
        <w:tc>
          <w:tcPr>
            <w:tcW w:w="953" w:type="pct"/>
            <w:shd w:val="clear" w:color="auto" w:fill="auto"/>
            <w:vAlign w:val="center"/>
          </w:tcPr>
          <w:p w14:paraId="30277910"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30,000</w:t>
            </w:r>
          </w:p>
        </w:tc>
      </w:tr>
      <w:tr w:rsidR="009D0C2E" w:rsidRPr="00B364CB" w14:paraId="6E22695E" w14:textId="77777777" w:rsidTr="00120F40">
        <w:trPr>
          <w:trHeight w:val="315"/>
        </w:trPr>
        <w:tc>
          <w:tcPr>
            <w:tcW w:w="312" w:type="pct"/>
            <w:shd w:val="clear" w:color="auto" w:fill="auto"/>
            <w:vAlign w:val="center"/>
          </w:tcPr>
          <w:p w14:paraId="6912ADBD" w14:textId="77777777" w:rsidR="009D0C2E" w:rsidRPr="00B364CB" w:rsidRDefault="009D0C2E" w:rsidP="009D0C2E">
            <w:pPr>
              <w:widowControl/>
              <w:jc w:val="center"/>
              <w:rPr>
                <w:rFonts w:cs="Arial"/>
                <w:sz w:val="20"/>
                <w:szCs w:val="20"/>
                <w:lang w:eastAsia="en-GB" w:bidi="ar-SA"/>
              </w:rPr>
            </w:pPr>
          </w:p>
        </w:tc>
        <w:tc>
          <w:tcPr>
            <w:tcW w:w="1351" w:type="pct"/>
            <w:shd w:val="clear" w:color="auto" w:fill="auto"/>
            <w:vAlign w:val="center"/>
          </w:tcPr>
          <w:p w14:paraId="0CA02CC4" w14:textId="77777777" w:rsidR="009D0C2E" w:rsidRPr="00B364CB" w:rsidRDefault="009D0C2E" w:rsidP="009D0C2E">
            <w:pPr>
              <w:widowControl/>
              <w:rPr>
                <w:rFonts w:cs="Arial"/>
                <w:sz w:val="20"/>
                <w:szCs w:val="20"/>
                <w:lang w:eastAsia="en-GB" w:bidi="ar-SA"/>
              </w:rPr>
            </w:pPr>
          </w:p>
        </w:tc>
        <w:tc>
          <w:tcPr>
            <w:tcW w:w="795" w:type="pct"/>
            <w:shd w:val="clear" w:color="auto" w:fill="auto"/>
            <w:vAlign w:val="center"/>
          </w:tcPr>
          <w:p w14:paraId="77E20D67" w14:textId="77777777" w:rsidR="009D0C2E" w:rsidRPr="00B364CB" w:rsidRDefault="009D0C2E" w:rsidP="009D0C2E">
            <w:pPr>
              <w:widowControl/>
              <w:jc w:val="center"/>
              <w:rPr>
                <w:rFonts w:cs="Arial"/>
                <w:sz w:val="20"/>
                <w:szCs w:val="20"/>
                <w:lang w:eastAsia="en-GB" w:bidi="ar-SA"/>
              </w:rPr>
            </w:pPr>
          </w:p>
        </w:tc>
        <w:tc>
          <w:tcPr>
            <w:tcW w:w="556" w:type="pct"/>
            <w:shd w:val="clear" w:color="auto" w:fill="auto"/>
            <w:vAlign w:val="center"/>
          </w:tcPr>
          <w:p w14:paraId="36291D15" w14:textId="77777777" w:rsidR="009D0C2E" w:rsidRPr="00B364CB" w:rsidRDefault="009D0C2E" w:rsidP="009D0C2E">
            <w:pPr>
              <w:widowControl/>
              <w:jc w:val="center"/>
              <w:rPr>
                <w:rFonts w:cs="Arial"/>
                <w:sz w:val="20"/>
                <w:szCs w:val="20"/>
                <w:lang w:eastAsia="en-GB" w:bidi="ar-SA"/>
              </w:rPr>
            </w:pPr>
          </w:p>
        </w:tc>
        <w:tc>
          <w:tcPr>
            <w:tcW w:w="1033" w:type="pct"/>
            <w:vAlign w:val="center"/>
          </w:tcPr>
          <w:p w14:paraId="624D816C" w14:textId="77777777" w:rsidR="009D0C2E" w:rsidRPr="00B364CB" w:rsidRDefault="009D0C2E" w:rsidP="009D0C2E">
            <w:pPr>
              <w:widowControl/>
              <w:jc w:val="center"/>
              <w:rPr>
                <w:sz w:val="20"/>
                <w:szCs w:val="20"/>
              </w:rPr>
            </w:pPr>
          </w:p>
        </w:tc>
        <w:tc>
          <w:tcPr>
            <w:tcW w:w="953" w:type="pct"/>
            <w:shd w:val="clear" w:color="auto" w:fill="auto"/>
            <w:vAlign w:val="center"/>
          </w:tcPr>
          <w:p w14:paraId="526B016C" w14:textId="77777777" w:rsidR="009D0C2E" w:rsidRPr="00B364CB" w:rsidRDefault="009D0C2E" w:rsidP="009D0C2E">
            <w:pPr>
              <w:widowControl/>
              <w:jc w:val="center"/>
              <w:rPr>
                <w:rFonts w:cs="Arial"/>
                <w:sz w:val="20"/>
                <w:szCs w:val="20"/>
                <w:lang w:eastAsia="en-GB" w:bidi="ar-SA"/>
              </w:rPr>
            </w:pPr>
          </w:p>
        </w:tc>
      </w:tr>
      <w:tr w:rsidR="009D0C2E" w:rsidRPr="00B364CB" w14:paraId="7A89F227" w14:textId="77777777" w:rsidTr="00120F40">
        <w:trPr>
          <w:trHeight w:val="422"/>
        </w:trPr>
        <w:tc>
          <w:tcPr>
            <w:tcW w:w="312" w:type="pct"/>
            <w:shd w:val="clear" w:color="auto" w:fill="auto"/>
            <w:vAlign w:val="center"/>
            <w:hideMark/>
          </w:tcPr>
          <w:p w14:paraId="393132E2" w14:textId="77777777" w:rsidR="009D0C2E" w:rsidRPr="00B364CB" w:rsidRDefault="009D0C2E" w:rsidP="009D0C2E">
            <w:pPr>
              <w:widowControl/>
              <w:jc w:val="center"/>
              <w:rPr>
                <w:rFonts w:cs="Arial"/>
                <w:sz w:val="20"/>
                <w:szCs w:val="20"/>
                <w:lang w:eastAsia="en-GB" w:bidi="ar-SA"/>
              </w:rPr>
            </w:pPr>
            <w:r>
              <w:rPr>
                <w:sz w:val="20"/>
                <w:szCs w:val="20"/>
              </w:rPr>
              <w:t>6</w:t>
            </w:r>
          </w:p>
        </w:tc>
        <w:tc>
          <w:tcPr>
            <w:tcW w:w="1351" w:type="pct"/>
            <w:shd w:val="clear" w:color="auto" w:fill="auto"/>
            <w:vAlign w:val="center"/>
          </w:tcPr>
          <w:p w14:paraId="2F79EC22" w14:textId="77777777" w:rsidR="009D0C2E" w:rsidRPr="00B364CB" w:rsidRDefault="009D0C2E" w:rsidP="009D0C2E">
            <w:pPr>
              <w:widowControl/>
              <w:rPr>
                <w:rFonts w:cs="Arial"/>
                <w:sz w:val="20"/>
                <w:szCs w:val="20"/>
                <w:lang w:eastAsia="en-GB" w:bidi="ar-SA"/>
              </w:rPr>
            </w:pPr>
            <w:r w:rsidRPr="00B364CB">
              <w:rPr>
                <w:sz w:val="20"/>
                <w:szCs w:val="20"/>
              </w:rPr>
              <w:t>FC system availability (Uptime)</w:t>
            </w:r>
          </w:p>
        </w:tc>
        <w:tc>
          <w:tcPr>
            <w:tcW w:w="795" w:type="pct"/>
            <w:shd w:val="clear" w:color="auto" w:fill="auto"/>
            <w:vAlign w:val="center"/>
          </w:tcPr>
          <w:p w14:paraId="73649AA2" w14:textId="77777777" w:rsidR="009D0C2E" w:rsidRPr="00B364CB" w:rsidRDefault="009D0C2E" w:rsidP="009D0C2E">
            <w:pPr>
              <w:widowControl/>
              <w:jc w:val="center"/>
              <w:rPr>
                <w:rFonts w:cs="Arial"/>
                <w:sz w:val="20"/>
                <w:szCs w:val="20"/>
                <w:lang w:eastAsia="en-GB" w:bidi="ar-SA"/>
              </w:rPr>
            </w:pPr>
            <w:r w:rsidRPr="00B364CB">
              <w:rPr>
                <w:sz w:val="20"/>
                <w:szCs w:val="20"/>
              </w:rPr>
              <w:t>%</w:t>
            </w:r>
          </w:p>
        </w:tc>
        <w:tc>
          <w:tcPr>
            <w:tcW w:w="556" w:type="pct"/>
            <w:shd w:val="clear" w:color="auto" w:fill="auto"/>
            <w:vAlign w:val="center"/>
          </w:tcPr>
          <w:p w14:paraId="758D2139" w14:textId="77777777" w:rsidR="009D0C2E" w:rsidRPr="00B364CB" w:rsidRDefault="009D0C2E" w:rsidP="009D0C2E">
            <w:pPr>
              <w:widowControl/>
              <w:jc w:val="center"/>
              <w:rPr>
                <w:rFonts w:cs="Arial"/>
                <w:sz w:val="20"/>
                <w:szCs w:val="20"/>
                <w:lang w:eastAsia="en-GB" w:bidi="ar-SA"/>
              </w:rPr>
            </w:pPr>
            <w:r w:rsidRPr="00B364CB">
              <w:rPr>
                <w:sz w:val="20"/>
                <w:szCs w:val="20"/>
              </w:rPr>
              <w:t>94</w:t>
            </w:r>
          </w:p>
        </w:tc>
        <w:tc>
          <w:tcPr>
            <w:tcW w:w="1033" w:type="pct"/>
            <w:vAlign w:val="center"/>
          </w:tcPr>
          <w:p w14:paraId="424088F5" w14:textId="77777777" w:rsidR="009D0C2E" w:rsidRPr="00B364CB" w:rsidRDefault="009D0C2E" w:rsidP="009D0C2E">
            <w:pPr>
              <w:widowControl/>
              <w:jc w:val="center"/>
              <w:rPr>
                <w:sz w:val="20"/>
                <w:szCs w:val="20"/>
              </w:rPr>
            </w:pPr>
            <w:r w:rsidRPr="00B364CB">
              <w:rPr>
                <w:sz w:val="20"/>
                <w:szCs w:val="20"/>
              </w:rPr>
              <w:t>97</w:t>
            </w:r>
          </w:p>
        </w:tc>
        <w:tc>
          <w:tcPr>
            <w:tcW w:w="953" w:type="pct"/>
            <w:shd w:val="clear" w:color="auto" w:fill="auto"/>
            <w:vAlign w:val="center"/>
          </w:tcPr>
          <w:p w14:paraId="40D30595" w14:textId="77777777" w:rsidR="009D0C2E" w:rsidRPr="00B364CB" w:rsidRDefault="009D0C2E" w:rsidP="009D0C2E">
            <w:pPr>
              <w:widowControl/>
              <w:jc w:val="center"/>
              <w:rPr>
                <w:rFonts w:cs="Arial"/>
                <w:sz w:val="20"/>
                <w:szCs w:val="20"/>
                <w:lang w:eastAsia="en-GB" w:bidi="ar-SA"/>
              </w:rPr>
            </w:pPr>
            <w:r w:rsidRPr="00B364CB">
              <w:rPr>
                <w:sz w:val="20"/>
                <w:szCs w:val="20"/>
              </w:rPr>
              <w:t>&gt;99</w:t>
            </w:r>
          </w:p>
        </w:tc>
      </w:tr>
      <w:tr w:rsidR="009D0C2E" w:rsidRPr="00B364CB" w14:paraId="55DE60CE" w14:textId="77777777" w:rsidTr="00120F40">
        <w:trPr>
          <w:trHeight w:val="315"/>
        </w:trPr>
        <w:tc>
          <w:tcPr>
            <w:tcW w:w="312" w:type="pct"/>
            <w:shd w:val="clear" w:color="auto" w:fill="auto"/>
            <w:vAlign w:val="center"/>
            <w:hideMark/>
          </w:tcPr>
          <w:p w14:paraId="191BB7E2" w14:textId="77777777" w:rsidR="009D0C2E" w:rsidRPr="00B364CB" w:rsidRDefault="009D0C2E" w:rsidP="009D0C2E">
            <w:pPr>
              <w:widowControl/>
              <w:jc w:val="center"/>
              <w:rPr>
                <w:rFonts w:cs="Arial"/>
                <w:sz w:val="20"/>
                <w:szCs w:val="20"/>
                <w:lang w:eastAsia="en-GB" w:bidi="ar-SA"/>
              </w:rPr>
            </w:pPr>
            <w:r>
              <w:rPr>
                <w:sz w:val="20"/>
                <w:szCs w:val="20"/>
              </w:rPr>
              <w:t>7</w:t>
            </w:r>
          </w:p>
        </w:tc>
        <w:tc>
          <w:tcPr>
            <w:tcW w:w="1351" w:type="pct"/>
            <w:shd w:val="clear" w:color="auto" w:fill="auto"/>
            <w:vAlign w:val="center"/>
          </w:tcPr>
          <w:p w14:paraId="576A1A5D" w14:textId="77777777" w:rsidR="009D0C2E" w:rsidRPr="00B364CB" w:rsidRDefault="009D0C2E" w:rsidP="009D0C2E">
            <w:pPr>
              <w:widowControl/>
              <w:rPr>
                <w:rFonts w:cs="Arial"/>
                <w:sz w:val="20"/>
                <w:szCs w:val="20"/>
                <w:lang w:eastAsia="en-GB" w:bidi="ar-SA"/>
              </w:rPr>
            </w:pPr>
            <w:r w:rsidRPr="00B364CB">
              <w:rPr>
                <w:sz w:val="20"/>
                <w:szCs w:val="20"/>
              </w:rPr>
              <w:t xml:space="preserve">Hydrogen consumption </w:t>
            </w:r>
          </w:p>
        </w:tc>
        <w:tc>
          <w:tcPr>
            <w:tcW w:w="795" w:type="pct"/>
            <w:shd w:val="clear" w:color="auto" w:fill="auto"/>
            <w:vAlign w:val="center"/>
          </w:tcPr>
          <w:p w14:paraId="1C8243A5" w14:textId="77777777" w:rsidR="009D0C2E" w:rsidRPr="00B364CB" w:rsidRDefault="009D0C2E" w:rsidP="009D0C2E">
            <w:pPr>
              <w:widowControl/>
              <w:jc w:val="center"/>
              <w:rPr>
                <w:rFonts w:cs="Arial"/>
                <w:sz w:val="20"/>
                <w:szCs w:val="20"/>
                <w:lang w:eastAsia="en-GB" w:bidi="ar-SA"/>
              </w:rPr>
            </w:pPr>
            <w:r w:rsidRPr="00B364CB">
              <w:rPr>
                <w:sz w:val="20"/>
                <w:szCs w:val="20"/>
              </w:rPr>
              <w:t>kg/100km/ton</w:t>
            </w:r>
          </w:p>
        </w:tc>
        <w:tc>
          <w:tcPr>
            <w:tcW w:w="556" w:type="pct"/>
            <w:shd w:val="clear" w:color="auto" w:fill="auto"/>
            <w:vAlign w:val="center"/>
          </w:tcPr>
          <w:p w14:paraId="4C69CCF5" w14:textId="77777777" w:rsidR="009D0C2E" w:rsidRPr="00B364CB" w:rsidRDefault="009D0C2E" w:rsidP="009D0C2E">
            <w:pPr>
              <w:widowControl/>
              <w:jc w:val="center"/>
              <w:rPr>
                <w:rFonts w:cs="Arial"/>
                <w:sz w:val="20"/>
                <w:szCs w:val="20"/>
                <w:lang w:eastAsia="en-GB" w:bidi="ar-SA"/>
              </w:rPr>
            </w:pPr>
            <w:r w:rsidRPr="00B364CB">
              <w:rPr>
                <w:sz w:val="20"/>
                <w:szCs w:val="20"/>
              </w:rPr>
              <w:t>0.12</w:t>
            </w:r>
          </w:p>
        </w:tc>
        <w:tc>
          <w:tcPr>
            <w:tcW w:w="1033" w:type="pct"/>
            <w:vAlign w:val="center"/>
          </w:tcPr>
          <w:p w14:paraId="11E8BFCE" w14:textId="77777777" w:rsidR="009D0C2E" w:rsidRPr="00B364CB" w:rsidRDefault="009D0C2E" w:rsidP="009D0C2E">
            <w:pPr>
              <w:widowControl/>
              <w:jc w:val="center"/>
              <w:rPr>
                <w:sz w:val="20"/>
                <w:szCs w:val="20"/>
              </w:rPr>
            </w:pPr>
            <w:r w:rsidRPr="00B364CB">
              <w:rPr>
                <w:sz w:val="20"/>
                <w:szCs w:val="20"/>
              </w:rPr>
              <w:t>0.11</w:t>
            </w:r>
          </w:p>
        </w:tc>
        <w:tc>
          <w:tcPr>
            <w:tcW w:w="953" w:type="pct"/>
            <w:shd w:val="clear" w:color="auto" w:fill="auto"/>
            <w:vAlign w:val="center"/>
          </w:tcPr>
          <w:p w14:paraId="2912EB6C" w14:textId="77777777" w:rsidR="009D0C2E" w:rsidRPr="00B364CB" w:rsidRDefault="009D0C2E" w:rsidP="009D0C2E">
            <w:pPr>
              <w:widowControl/>
              <w:jc w:val="center"/>
              <w:rPr>
                <w:rFonts w:cs="Arial"/>
                <w:sz w:val="20"/>
                <w:szCs w:val="20"/>
                <w:lang w:eastAsia="en-GB" w:bidi="ar-SA"/>
              </w:rPr>
            </w:pPr>
            <w:r w:rsidRPr="00B364CB">
              <w:rPr>
                <w:sz w:val="20"/>
                <w:szCs w:val="20"/>
              </w:rPr>
              <w:t>0.08</w:t>
            </w:r>
          </w:p>
        </w:tc>
      </w:tr>
      <w:tr w:rsidR="009D0C2E" w:rsidRPr="00B364CB" w14:paraId="2ADC0E6D" w14:textId="77777777" w:rsidTr="00120F40">
        <w:trPr>
          <w:trHeight w:val="370"/>
        </w:trPr>
        <w:tc>
          <w:tcPr>
            <w:tcW w:w="312" w:type="pct"/>
            <w:tcBorders>
              <w:bottom w:val="single" w:sz="8" w:space="0" w:color="000000"/>
            </w:tcBorders>
            <w:shd w:val="clear" w:color="auto" w:fill="auto"/>
            <w:vAlign w:val="center"/>
            <w:hideMark/>
          </w:tcPr>
          <w:p w14:paraId="4F349F1E" w14:textId="77777777" w:rsidR="009D0C2E" w:rsidRPr="00B364CB" w:rsidRDefault="009D0C2E" w:rsidP="009D0C2E">
            <w:pPr>
              <w:widowControl/>
              <w:jc w:val="center"/>
              <w:rPr>
                <w:rFonts w:cs="Arial"/>
                <w:sz w:val="20"/>
                <w:szCs w:val="20"/>
                <w:lang w:eastAsia="en-GB" w:bidi="ar-SA"/>
              </w:rPr>
            </w:pPr>
            <w:r>
              <w:rPr>
                <w:sz w:val="20"/>
                <w:szCs w:val="20"/>
              </w:rPr>
              <w:t>8</w:t>
            </w:r>
          </w:p>
        </w:tc>
        <w:tc>
          <w:tcPr>
            <w:tcW w:w="1351" w:type="pct"/>
            <w:tcBorders>
              <w:bottom w:val="single" w:sz="8" w:space="0" w:color="000000"/>
            </w:tcBorders>
            <w:shd w:val="clear" w:color="auto" w:fill="auto"/>
            <w:vAlign w:val="center"/>
          </w:tcPr>
          <w:p w14:paraId="30C92B66" w14:textId="77777777" w:rsidR="009D0C2E" w:rsidRPr="00B364CB" w:rsidRDefault="009D0C2E" w:rsidP="009D0C2E">
            <w:pPr>
              <w:widowControl/>
              <w:rPr>
                <w:rFonts w:cs="Arial"/>
                <w:sz w:val="20"/>
                <w:szCs w:val="20"/>
                <w:lang w:eastAsia="en-GB" w:bidi="ar-SA"/>
              </w:rPr>
            </w:pPr>
            <w:r w:rsidRPr="00B364CB">
              <w:rPr>
                <w:sz w:val="20"/>
                <w:szCs w:val="20"/>
              </w:rPr>
              <w:t>FC module volumetric density</w:t>
            </w:r>
          </w:p>
        </w:tc>
        <w:tc>
          <w:tcPr>
            <w:tcW w:w="795" w:type="pct"/>
            <w:tcBorders>
              <w:bottom w:val="single" w:sz="8" w:space="0" w:color="000000"/>
            </w:tcBorders>
            <w:shd w:val="clear" w:color="auto" w:fill="auto"/>
            <w:vAlign w:val="center"/>
          </w:tcPr>
          <w:p w14:paraId="3092B84E" w14:textId="77777777" w:rsidR="009D0C2E" w:rsidRPr="00B364CB" w:rsidRDefault="009D0C2E" w:rsidP="009D0C2E">
            <w:pPr>
              <w:widowControl/>
              <w:jc w:val="center"/>
              <w:rPr>
                <w:rFonts w:cs="Arial"/>
                <w:sz w:val="20"/>
                <w:szCs w:val="20"/>
                <w:lang w:eastAsia="en-GB" w:bidi="ar-SA"/>
              </w:rPr>
            </w:pPr>
            <w:r w:rsidRPr="00B364CB">
              <w:rPr>
                <w:sz w:val="20"/>
                <w:szCs w:val="20"/>
              </w:rPr>
              <w:t>kW/m</w:t>
            </w:r>
            <w:r w:rsidRPr="00B364CB">
              <w:rPr>
                <w:sz w:val="20"/>
                <w:szCs w:val="20"/>
                <w:vertAlign w:val="superscript"/>
              </w:rPr>
              <w:t>3</w:t>
            </w:r>
          </w:p>
        </w:tc>
        <w:tc>
          <w:tcPr>
            <w:tcW w:w="556" w:type="pct"/>
            <w:tcBorders>
              <w:bottom w:val="single" w:sz="8" w:space="0" w:color="000000"/>
            </w:tcBorders>
            <w:shd w:val="clear" w:color="auto" w:fill="auto"/>
            <w:vAlign w:val="center"/>
          </w:tcPr>
          <w:p w14:paraId="07B5506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n/a</w:t>
            </w:r>
          </w:p>
        </w:tc>
        <w:tc>
          <w:tcPr>
            <w:tcW w:w="1033" w:type="pct"/>
            <w:tcBorders>
              <w:bottom w:val="single" w:sz="8" w:space="0" w:color="000000"/>
            </w:tcBorders>
            <w:vAlign w:val="center"/>
          </w:tcPr>
          <w:p w14:paraId="51DAE8AB" w14:textId="77777777" w:rsidR="009D0C2E" w:rsidRPr="00B364CB" w:rsidRDefault="009D0C2E" w:rsidP="009D0C2E">
            <w:pPr>
              <w:widowControl/>
              <w:jc w:val="center"/>
              <w:rPr>
                <w:sz w:val="20"/>
                <w:szCs w:val="20"/>
              </w:rPr>
            </w:pPr>
            <w:r w:rsidRPr="00B364CB">
              <w:rPr>
                <w:sz w:val="20"/>
                <w:szCs w:val="20"/>
              </w:rPr>
              <w:t>53</w:t>
            </w:r>
          </w:p>
        </w:tc>
        <w:tc>
          <w:tcPr>
            <w:tcW w:w="953" w:type="pct"/>
            <w:tcBorders>
              <w:bottom w:val="single" w:sz="8" w:space="0" w:color="000000"/>
            </w:tcBorders>
            <w:shd w:val="clear" w:color="auto" w:fill="auto"/>
            <w:vAlign w:val="center"/>
          </w:tcPr>
          <w:p w14:paraId="561CD31E" w14:textId="77777777" w:rsidR="009D0C2E" w:rsidRPr="00B364CB" w:rsidRDefault="009D0C2E" w:rsidP="009D0C2E">
            <w:pPr>
              <w:widowControl/>
              <w:jc w:val="center"/>
              <w:rPr>
                <w:rFonts w:cs="Arial"/>
                <w:sz w:val="20"/>
                <w:szCs w:val="20"/>
                <w:lang w:eastAsia="en-GB" w:bidi="ar-SA"/>
              </w:rPr>
            </w:pPr>
            <w:r w:rsidRPr="00B364CB">
              <w:rPr>
                <w:sz w:val="20"/>
                <w:szCs w:val="20"/>
              </w:rPr>
              <w:t>&gt;60</w:t>
            </w:r>
          </w:p>
        </w:tc>
      </w:tr>
      <w:tr w:rsidR="009D0C2E" w:rsidRPr="00B364CB" w14:paraId="5D67DFD6" w14:textId="77777777" w:rsidTr="00120F40">
        <w:trPr>
          <w:trHeight w:val="315"/>
        </w:trPr>
        <w:tc>
          <w:tcPr>
            <w:tcW w:w="312" w:type="pct"/>
            <w:tcBorders>
              <w:bottom w:val="single" w:sz="8" w:space="0" w:color="000000"/>
            </w:tcBorders>
            <w:shd w:val="clear" w:color="auto" w:fill="auto"/>
            <w:vAlign w:val="center"/>
            <w:hideMark/>
          </w:tcPr>
          <w:p w14:paraId="57222DFC" w14:textId="77777777" w:rsidR="009D0C2E" w:rsidRPr="00B364CB" w:rsidRDefault="009D0C2E" w:rsidP="009D0C2E">
            <w:pPr>
              <w:widowControl/>
              <w:jc w:val="center"/>
              <w:rPr>
                <w:rFonts w:cs="Arial"/>
                <w:sz w:val="20"/>
                <w:szCs w:val="20"/>
                <w:lang w:eastAsia="en-GB" w:bidi="ar-SA"/>
              </w:rPr>
            </w:pPr>
            <w:r>
              <w:rPr>
                <w:sz w:val="20"/>
                <w:szCs w:val="20"/>
              </w:rPr>
              <w:t>9</w:t>
            </w:r>
          </w:p>
        </w:tc>
        <w:tc>
          <w:tcPr>
            <w:tcW w:w="1351" w:type="pct"/>
            <w:tcBorders>
              <w:bottom w:val="single" w:sz="8" w:space="0" w:color="000000"/>
            </w:tcBorders>
            <w:shd w:val="clear" w:color="auto" w:fill="auto"/>
            <w:vAlign w:val="center"/>
          </w:tcPr>
          <w:p w14:paraId="554AF3D6" w14:textId="77777777" w:rsidR="009D0C2E" w:rsidRPr="00B364CB" w:rsidRDefault="009D0C2E" w:rsidP="009D0C2E">
            <w:pPr>
              <w:widowControl/>
              <w:rPr>
                <w:rFonts w:cs="Arial"/>
                <w:sz w:val="20"/>
                <w:szCs w:val="20"/>
                <w:lang w:eastAsia="en-GB" w:bidi="ar-SA"/>
              </w:rPr>
            </w:pPr>
            <w:r w:rsidRPr="00B364CB">
              <w:rPr>
                <w:sz w:val="20"/>
                <w:szCs w:val="20"/>
              </w:rPr>
              <w:t>FC module gravimetric density</w:t>
            </w:r>
          </w:p>
        </w:tc>
        <w:tc>
          <w:tcPr>
            <w:tcW w:w="795" w:type="pct"/>
            <w:tcBorders>
              <w:bottom w:val="single" w:sz="8" w:space="0" w:color="000000"/>
            </w:tcBorders>
            <w:shd w:val="clear" w:color="auto" w:fill="auto"/>
            <w:vAlign w:val="center"/>
          </w:tcPr>
          <w:p w14:paraId="37794A09" w14:textId="77777777" w:rsidR="009D0C2E" w:rsidRPr="00B364CB" w:rsidRDefault="009D0C2E" w:rsidP="009D0C2E">
            <w:pPr>
              <w:widowControl/>
              <w:jc w:val="center"/>
              <w:rPr>
                <w:rFonts w:cs="Arial"/>
                <w:sz w:val="20"/>
                <w:szCs w:val="20"/>
                <w:lang w:eastAsia="en-GB" w:bidi="ar-SA"/>
              </w:rPr>
            </w:pPr>
            <w:r w:rsidRPr="00B364CB">
              <w:rPr>
                <w:sz w:val="20"/>
                <w:szCs w:val="20"/>
              </w:rPr>
              <w:t>kW/ton</w:t>
            </w:r>
          </w:p>
        </w:tc>
        <w:tc>
          <w:tcPr>
            <w:tcW w:w="556" w:type="pct"/>
            <w:tcBorders>
              <w:bottom w:val="single" w:sz="8" w:space="0" w:color="000000"/>
            </w:tcBorders>
            <w:shd w:val="clear" w:color="auto" w:fill="auto"/>
            <w:vAlign w:val="center"/>
          </w:tcPr>
          <w:p w14:paraId="431A075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n/a</w:t>
            </w:r>
          </w:p>
        </w:tc>
        <w:tc>
          <w:tcPr>
            <w:tcW w:w="1033" w:type="pct"/>
            <w:tcBorders>
              <w:bottom w:val="single" w:sz="8" w:space="0" w:color="000000"/>
            </w:tcBorders>
            <w:vAlign w:val="center"/>
          </w:tcPr>
          <w:p w14:paraId="5897BCA3" w14:textId="77777777" w:rsidR="009D0C2E" w:rsidRPr="00B364CB" w:rsidRDefault="009D0C2E" w:rsidP="009D0C2E">
            <w:pPr>
              <w:widowControl/>
              <w:jc w:val="center"/>
              <w:rPr>
                <w:sz w:val="20"/>
                <w:szCs w:val="20"/>
              </w:rPr>
            </w:pPr>
            <w:r w:rsidRPr="00B364CB">
              <w:rPr>
                <w:sz w:val="20"/>
                <w:szCs w:val="20"/>
              </w:rPr>
              <w:t>135</w:t>
            </w:r>
          </w:p>
        </w:tc>
        <w:tc>
          <w:tcPr>
            <w:tcW w:w="953" w:type="pct"/>
            <w:tcBorders>
              <w:bottom w:val="single" w:sz="8" w:space="0" w:color="000000"/>
            </w:tcBorders>
            <w:shd w:val="clear" w:color="auto" w:fill="auto"/>
            <w:vAlign w:val="center"/>
          </w:tcPr>
          <w:p w14:paraId="502CAFFA" w14:textId="77777777" w:rsidR="009D0C2E" w:rsidRPr="00B364CB" w:rsidRDefault="009D0C2E" w:rsidP="009D0C2E">
            <w:pPr>
              <w:widowControl/>
              <w:jc w:val="center"/>
              <w:rPr>
                <w:rFonts w:cs="Arial"/>
                <w:sz w:val="20"/>
                <w:szCs w:val="20"/>
                <w:lang w:eastAsia="en-GB" w:bidi="ar-SA"/>
              </w:rPr>
            </w:pPr>
            <w:r w:rsidRPr="00B364CB">
              <w:rPr>
                <w:sz w:val="20"/>
                <w:szCs w:val="20"/>
              </w:rPr>
              <w:t>&gt;160</w:t>
            </w:r>
          </w:p>
        </w:tc>
      </w:tr>
    </w:tbl>
    <w:p w14:paraId="750302A9" w14:textId="77777777" w:rsidR="009D0C2E" w:rsidRPr="00B364CB" w:rsidRDefault="009D0C2E" w:rsidP="009D0C2E">
      <w:pPr>
        <w:tabs>
          <w:tab w:val="left" w:pos="1805"/>
        </w:tabs>
        <w:spacing w:after="120"/>
        <w:jc w:val="both"/>
        <w:rPr>
          <w:rFonts w:cstheme="minorHAnsi"/>
          <w:b/>
          <w:iCs/>
          <w:color w:val="auto"/>
          <w:sz w:val="16"/>
          <w:szCs w:val="16"/>
          <w:u w:val="single"/>
        </w:rPr>
      </w:pPr>
    </w:p>
    <w:p w14:paraId="0F89F925"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3B27BBB6" w14:textId="77777777" w:rsidR="009D0C2E" w:rsidRPr="00B364CB" w:rsidRDefault="009D0C2E" w:rsidP="009D0C2E">
      <w:pPr>
        <w:pStyle w:val="CommentText"/>
        <w:spacing w:after="120"/>
        <w:rPr>
          <w:rFonts w:cstheme="minorHAnsi"/>
          <w:iCs/>
          <w:color w:val="auto"/>
          <w:sz w:val="16"/>
          <w:szCs w:val="16"/>
        </w:rPr>
      </w:pPr>
      <w:r w:rsidRPr="00B364CB">
        <w:rPr>
          <w:rFonts w:cstheme="minorHAnsi"/>
          <w:iCs/>
          <w:color w:val="auto"/>
          <w:sz w:val="16"/>
          <w:szCs w:val="16"/>
        </w:rPr>
        <w:t>KPI-1: The durability target account for less than 10% performance loss at nominal voltage.</w:t>
      </w:r>
    </w:p>
    <w:p w14:paraId="7E590297" w14:textId="0741D105" w:rsidR="009D0C2E" w:rsidRDefault="009D0C2E" w:rsidP="009D0C2E">
      <w:pPr>
        <w:pStyle w:val="CommentText"/>
        <w:spacing w:after="120"/>
        <w:rPr>
          <w:rFonts w:cstheme="minorHAnsi"/>
          <w:iCs/>
          <w:color w:val="auto"/>
          <w:sz w:val="16"/>
          <w:szCs w:val="16"/>
        </w:rPr>
      </w:pPr>
      <w:r w:rsidRPr="00B364CB">
        <w:rPr>
          <w:rFonts w:cstheme="minorHAnsi"/>
          <w:iCs/>
          <w:color w:val="auto"/>
          <w:sz w:val="16"/>
          <w:szCs w:val="16"/>
        </w:rPr>
        <w:t xml:space="preserve">KPI-5: </w:t>
      </w:r>
      <w:r w:rsidR="007C571E">
        <w:rPr>
          <w:rFonts w:cstheme="minorHAnsi"/>
          <w:iCs/>
          <w:color w:val="auto"/>
          <w:sz w:val="16"/>
          <w:szCs w:val="16"/>
        </w:rPr>
        <w:t>I</w:t>
      </w:r>
      <w:r w:rsidRPr="00B364CB">
        <w:rPr>
          <w:rFonts w:cstheme="minorHAnsi"/>
          <w:iCs/>
          <w:color w:val="auto"/>
          <w:sz w:val="16"/>
          <w:szCs w:val="16"/>
        </w:rPr>
        <w:t xml:space="preserve">f we consider 16 h/day of operating hours at FC level and 5 start/stops during the day =&gt; 4,687 for 15,000 h. </w:t>
      </w:r>
    </w:p>
    <w:p w14:paraId="37C55404" w14:textId="77777777" w:rsidR="009D0C2E" w:rsidRPr="00B364CB" w:rsidRDefault="009D0C2E" w:rsidP="009D0C2E">
      <w:pPr>
        <w:pStyle w:val="CommentText"/>
        <w:spacing w:after="120"/>
        <w:rPr>
          <w:rFonts w:cstheme="minorHAnsi"/>
          <w:iCs/>
          <w:color w:val="auto"/>
          <w:sz w:val="16"/>
          <w:szCs w:val="16"/>
        </w:rPr>
      </w:pPr>
      <w:r>
        <w:rPr>
          <w:rFonts w:cstheme="minorHAnsi"/>
          <w:iCs/>
          <w:color w:val="auto"/>
          <w:sz w:val="16"/>
          <w:szCs w:val="16"/>
        </w:rPr>
        <w:t xml:space="preserve">KPI-6: </w:t>
      </w:r>
      <w:r w:rsidRPr="0078381A">
        <w:rPr>
          <w:rFonts w:cstheme="minorHAnsi"/>
          <w:iCs/>
          <w:color w:val="auto"/>
          <w:sz w:val="16"/>
          <w:szCs w:val="16"/>
        </w:rPr>
        <w:t>Percent of time vehicle is in operation against planned operation and related to FC system</w:t>
      </w:r>
    </w:p>
    <w:p w14:paraId="2834EC5B" w14:textId="77777777" w:rsidR="009D0C2E" w:rsidRPr="00B364CB" w:rsidRDefault="009D0C2E" w:rsidP="009D0C2E">
      <w:pPr>
        <w:pStyle w:val="CommentText"/>
        <w:spacing w:after="120"/>
        <w:rPr>
          <w:rFonts w:cstheme="minorHAnsi"/>
          <w:iCs/>
          <w:color w:val="auto"/>
          <w:sz w:val="16"/>
          <w:szCs w:val="16"/>
        </w:rPr>
      </w:pPr>
      <w:r w:rsidRPr="00B364CB">
        <w:rPr>
          <w:rFonts w:cstheme="minorHAnsi"/>
          <w:iCs/>
          <w:color w:val="auto"/>
          <w:sz w:val="16"/>
          <w:szCs w:val="16"/>
        </w:rPr>
        <w:t>KPI-</w:t>
      </w:r>
      <w:r>
        <w:rPr>
          <w:rFonts w:cstheme="minorHAnsi"/>
          <w:iCs/>
          <w:color w:val="auto"/>
          <w:sz w:val="16"/>
          <w:szCs w:val="16"/>
        </w:rPr>
        <w:t>7</w:t>
      </w:r>
      <w:r w:rsidRPr="00B364CB">
        <w:rPr>
          <w:rFonts w:cstheme="minorHAnsi"/>
          <w:iCs/>
          <w:color w:val="auto"/>
          <w:sz w:val="16"/>
          <w:szCs w:val="16"/>
        </w:rPr>
        <w:t>: Hydrogen consumption for 100 km driven under operations using exclusively hydrogen feed. Based on standard cycle EN50591, unit =&gt; [kg/100km/ton]. Standard cycle is a flat profile (low demanding power, no heating, ventilation, and air conditioning)</w:t>
      </w:r>
    </w:p>
    <w:p w14:paraId="115C1CCD" w14:textId="77777777" w:rsidR="009D0C2E" w:rsidRPr="00B364CB" w:rsidRDefault="009D0C2E" w:rsidP="009D0C2E">
      <w:pPr>
        <w:pStyle w:val="CommentText"/>
        <w:spacing w:after="120"/>
        <w:rPr>
          <w:rFonts w:cstheme="minorHAnsi"/>
          <w:iCs/>
          <w:color w:val="auto"/>
          <w:sz w:val="16"/>
          <w:szCs w:val="16"/>
        </w:rPr>
      </w:pPr>
      <w:r w:rsidRPr="00B364CB">
        <w:rPr>
          <w:rFonts w:cstheme="minorHAnsi"/>
          <w:iCs/>
          <w:color w:val="auto"/>
          <w:sz w:val="16"/>
          <w:szCs w:val="16"/>
        </w:rPr>
        <w:t>KPI-</w:t>
      </w:r>
      <w:r>
        <w:rPr>
          <w:rFonts w:cstheme="minorHAnsi"/>
          <w:iCs/>
          <w:color w:val="auto"/>
          <w:sz w:val="16"/>
          <w:szCs w:val="16"/>
        </w:rPr>
        <w:t>8</w:t>
      </w:r>
      <w:r w:rsidRPr="00B364CB">
        <w:rPr>
          <w:rFonts w:cstheme="minorHAnsi"/>
          <w:iCs/>
          <w:color w:val="auto"/>
          <w:sz w:val="16"/>
          <w:szCs w:val="16"/>
        </w:rPr>
        <w:t xml:space="preserve"> and KPI-</w:t>
      </w:r>
      <w:r>
        <w:rPr>
          <w:rFonts w:cstheme="minorHAnsi"/>
          <w:iCs/>
          <w:color w:val="auto"/>
          <w:sz w:val="16"/>
          <w:szCs w:val="16"/>
        </w:rPr>
        <w:t xml:space="preserve"> 9</w:t>
      </w:r>
      <w:r w:rsidRPr="00B364CB">
        <w:rPr>
          <w:rFonts w:cstheme="minorHAnsi"/>
          <w:iCs/>
          <w:color w:val="auto"/>
          <w:sz w:val="16"/>
          <w:szCs w:val="16"/>
        </w:rPr>
        <w:t>: FC system is defined as FC plus BoP (including cooling system). It excludes tanks and DC-DC</w:t>
      </w:r>
      <w:r>
        <w:rPr>
          <w:rFonts w:cstheme="minorHAnsi"/>
          <w:iCs/>
          <w:color w:val="auto"/>
          <w:sz w:val="16"/>
          <w:szCs w:val="16"/>
        </w:rPr>
        <w:t xml:space="preserve"> converter</w:t>
      </w:r>
    </w:p>
    <w:p w14:paraId="15C9B1BA" w14:textId="77777777" w:rsidR="009D0C2E" w:rsidRPr="00B364CB" w:rsidRDefault="009D0C2E" w:rsidP="009D0C2E">
      <w:pPr>
        <w:pStyle w:val="CommentText"/>
        <w:spacing w:after="120"/>
        <w:rPr>
          <w:rFonts w:cstheme="minorHAnsi"/>
          <w:iCs/>
          <w:color w:val="auto"/>
          <w:sz w:val="16"/>
          <w:szCs w:val="16"/>
        </w:rPr>
      </w:pPr>
    </w:p>
    <w:p w14:paraId="75B3EA75" w14:textId="4228A964" w:rsidR="009D0C2E" w:rsidRPr="00B364CB" w:rsidRDefault="009D0C2E" w:rsidP="009D0C2E">
      <w:pPr>
        <w:pStyle w:val="Caption"/>
        <w:rPr>
          <w:sz w:val="24"/>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19</w:t>
      </w:r>
      <w:r w:rsidRPr="00B364CB">
        <w:rPr>
          <w:sz w:val="24"/>
        </w:rPr>
        <w:fldChar w:fldCharType="end"/>
      </w:r>
      <w:r w:rsidRPr="00B364CB">
        <w:rPr>
          <w:sz w:val="24"/>
        </w:rPr>
        <w:t xml:space="preserve"> KPIs for Aviation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68"/>
        <w:gridCol w:w="2462"/>
        <w:gridCol w:w="1448"/>
        <w:gridCol w:w="1013"/>
        <w:gridCol w:w="1303"/>
        <w:gridCol w:w="2316"/>
      </w:tblGrid>
      <w:tr w:rsidR="009D0C2E" w:rsidRPr="00B364CB" w14:paraId="218ED642" w14:textId="77777777" w:rsidTr="00120F40">
        <w:trPr>
          <w:trHeight w:val="315"/>
        </w:trPr>
        <w:tc>
          <w:tcPr>
            <w:tcW w:w="312" w:type="pct"/>
            <w:vMerge w:val="restart"/>
            <w:shd w:val="clear" w:color="auto" w:fill="BFBFBF" w:themeFill="background1" w:themeFillShade="BF"/>
            <w:vAlign w:val="center"/>
            <w:hideMark/>
          </w:tcPr>
          <w:p w14:paraId="12368C0F"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No</w:t>
            </w:r>
          </w:p>
        </w:tc>
        <w:tc>
          <w:tcPr>
            <w:tcW w:w="1351" w:type="pct"/>
            <w:vMerge w:val="restart"/>
            <w:shd w:val="clear" w:color="auto" w:fill="BFBFBF" w:themeFill="background1" w:themeFillShade="BF"/>
            <w:vAlign w:val="center"/>
            <w:hideMark/>
          </w:tcPr>
          <w:p w14:paraId="51A7D12C" w14:textId="77777777" w:rsidR="009D0C2E" w:rsidRPr="00B364CB" w:rsidRDefault="009D0C2E" w:rsidP="009D0C2E">
            <w:pPr>
              <w:widowControl/>
              <w:ind w:firstLineChars="301" w:firstLine="602"/>
              <w:rPr>
                <w:rFonts w:cs="Arial"/>
                <w:b/>
                <w:bCs/>
                <w:sz w:val="20"/>
                <w:szCs w:val="20"/>
                <w:lang w:eastAsia="en-GB" w:bidi="ar-SA"/>
              </w:rPr>
            </w:pPr>
            <w:r w:rsidRPr="00B364CB">
              <w:rPr>
                <w:rFonts w:cs="Arial"/>
                <w:b/>
                <w:bCs/>
                <w:sz w:val="20"/>
                <w:szCs w:val="20"/>
                <w:lang w:eastAsia="en-GB" w:bidi="ar-SA"/>
              </w:rPr>
              <w:t>Parameter</w:t>
            </w:r>
          </w:p>
        </w:tc>
        <w:tc>
          <w:tcPr>
            <w:tcW w:w="795" w:type="pct"/>
            <w:vMerge w:val="restart"/>
            <w:shd w:val="clear" w:color="auto" w:fill="BFBFBF" w:themeFill="background1" w:themeFillShade="BF"/>
            <w:vAlign w:val="center"/>
            <w:hideMark/>
          </w:tcPr>
          <w:p w14:paraId="2E1067E4"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Unit</w:t>
            </w:r>
          </w:p>
        </w:tc>
        <w:tc>
          <w:tcPr>
            <w:tcW w:w="556" w:type="pct"/>
            <w:shd w:val="clear" w:color="auto" w:fill="BFBFBF" w:themeFill="background1" w:themeFillShade="BF"/>
            <w:vAlign w:val="center"/>
          </w:tcPr>
          <w:p w14:paraId="466E66AD"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986" w:type="pct"/>
            <w:gridSpan w:val="2"/>
            <w:shd w:val="clear" w:color="auto" w:fill="BFBFBF" w:themeFill="background1" w:themeFillShade="BF"/>
          </w:tcPr>
          <w:p w14:paraId="1465D451"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7B8A617D" w14:textId="77777777" w:rsidTr="00120F40">
        <w:trPr>
          <w:trHeight w:val="315"/>
        </w:trPr>
        <w:tc>
          <w:tcPr>
            <w:tcW w:w="312" w:type="pct"/>
            <w:vMerge/>
            <w:tcBorders>
              <w:bottom w:val="single" w:sz="8" w:space="0" w:color="000000"/>
            </w:tcBorders>
            <w:shd w:val="clear" w:color="auto" w:fill="BFBFBF" w:themeFill="background1" w:themeFillShade="BF"/>
            <w:vAlign w:val="center"/>
            <w:hideMark/>
          </w:tcPr>
          <w:p w14:paraId="7FBE699B" w14:textId="77777777" w:rsidR="009D0C2E" w:rsidRPr="00B364CB" w:rsidRDefault="009D0C2E" w:rsidP="009D0C2E">
            <w:pPr>
              <w:widowControl/>
              <w:jc w:val="center"/>
              <w:rPr>
                <w:rFonts w:cs="Arial"/>
                <w:b/>
                <w:bCs/>
                <w:sz w:val="20"/>
                <w:szCs w:val="20"/>
                <w:lang w:eastAsia="en-GB" w:bidi="ar-SA"/>
              </w:rPr>
            </w:pPr>
          </w:p>
        </w:tc>
        <w:tc>
          <w:tcPr>
            <w:tcW w:w="1351" w:type="pct"/>
            <w:vMerge/>
            <w:tcBorders>
              <w:bottom w:val="single" w:sz="8" w:space="0" w:color="000000"/>
            </w:tcBorders>
            <w:shd w:val="clear" w:color="auto" w:fill="BFBFBF" w:themeFill="background1" w:themeFillShade="BF"/>
            <w:vAlign w:val="center"/>
            <w:hideMark/>
          </w:tcPr>
          <w:p w14:paraId="46E65206" w14:textId="77777777" w:rsidR="009D0C2E" w:rsidRPr="00B364CB" w:rsidRDefault="009D0C2E" w:rsidP="009D0C2E">
            <w:pPr>
              <w:widowControl/>
              <w:jc w:val="center"/>
              <w:rPr>
                <w:rFonts w:cs="Arial"/>
                <w:b/>
                <w:bCs/>
                <w:sz w:val="20"/>
                <w:szCs w:val="20"/>
                <w:lang w:eastAsia="en-GB" w:bidi="ar-SA"/>
              </w:rPr>
            </w:pPr>
          </w:p>
        </w:tc>
        <w:tc>
          <w:tcPr>
            <w:tcW w:w="795" w:type="pct"/>
            <w:vMerge/>
            <w:tcBorders>
              <w:bottom w:val="single" w:sz="8" w:space="0" w:color="000000"/>
            </w:tcBorders>
            <w:shd w:val="clear" w:color="auto" w:fill="BFBFBF" w:themeFill="background1" w:themeFillShade="BF"/>
            <w:vAlign w:val="center"/>
            <w:hideMark/>
          </w:tcPr>
          <w:p w14:paraId="0CE58D9E" w14:textId="77777777" w:rsidR="009D0C2E" w:rsidRPr="00B364CB" w:rsidRDefault="009D0C2E" w:rsidP="009D0C2E">
            <w:pPr>
              <w:widowControl/>
              <w:jc w:val="center"/>
              <w:rPr>
                <w:rFonts w:cs="Arial"/>
                <w:b/>
                <w:bCs/>
                <w:sz w:val="20"/>
                <w:szCs w:val="20"/>
                <w:lang w:eastAsia="en-GB" w:bidi="ar-SA"/>
              </w:rPr>
            </w:pPr>
          </w:p>
        </w:tc>
        <w:tc>
          <w:tcPr>
            <w:tcW w:w="556" w:type="pct"/>
            <w:tcBorders>
              <w:bottom w:val="single" w:sz="8" w:space="0" w:color="000000"/>
            </w:tcBorders>
            <w:shd w:val="clear" w:color="auto" w:fill="BFBFBF" w:themeFill="background1" w:themeFillShade="BF"/>
            <w:vAlign w:val="center"/>
          </w:tcPr>
          <w:p w14:paraId="5D76AD47"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715" w:type="pct"/>
            <w:tcBorders>
              <w:bottom w:val="single" w:sz="8" w:space="0" w:color="000000"/>
            </w:tcBorders>
            <w:shd w:val="clear" w:color="auto" w:fill="BFBFBF" w:themeFill="background1" w:themeFillShade="BF"/>
          </w:tcPr>
          <w:p w14:paraId="2CE2768E"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1271" w:type="pct"/>
            <w:tcBorders>
              <w:bottom w:val="single" w:sz="8" w:space="0" w:color="000000"/>
            </w:tcBorders>
            <w:shd w:val="clear" w:color="auto" w:fill="BFBFBF" w:themeFill="background1" w:themeFillShade="BF"/>
            <w:vAlign w:val="center"/>
            <w:hideMark/>
          </w:tcPr>
          <w:p w14:paraId="06EADF6F"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20D236DE" w14:textId="77777777" w:rsidTr="00120F40">
        <w:trPr>
          <w:trHeight w:val="486"/>
        </w:trPr>
        <w:tc>
          <w:tcPr>
            <w:tcW w:w="312" w:type="pct"/>
            <w:shd w:val="clear" w:color="auto" w:fill="D9D9D9" w:themeFill="background1" w:themeFillShade="D9"/>
          </w:tcPr>
          <w:p w14:paraId="06CAF326" w14:textId="77777777" w:rsidR="009D0C2E" w:rsidRPr="00B364CB" w:rsidRDefault="009D0C2E" w:rsidP="009D0C2E">
            <w:pPr>
              <w:widowControl/>
              <w:jc w:val="center"/>
              <w:rPr>
                <w:rFonts w:ascii="Calibri" w:hAnsi="Calibri"/>
                <w:b/>
                <w:bCs/>
                <w:sz w:val="20"/>
                <w:szCs w:val="20"/>
                <w:lang w:eastAsia="en-GB" w:bidi="ar-SA"/>
              </w:rPr>
            </w:pPr>
          </w:p>
        </w:tc>
        <w:tc>
          <w:tcPr>
            <w:tcW w:w="4688" w:type="pct"/>
            <w:gridSpan w:val="5"/>
            <w:shd w:val="clear" w:color="auto" w:fill="D9D9D9" w:themeFill="background1" w:themeFillShade="D9"/>
            <w:vAlign w:val="center"/>
          </w:tcPr>
          <w:p w14:paraId="32DE9A4C" w14:textId="77777777" w:rsidR="009D0C2E" w:rsidRPr="00B364CB" w:rsidRDefault="009D0C2E" w:rsidP="009D0C2E">
            <w:pPr>
              <w:widowControl/>
              <w:jc w:val="center"/>
              <w:rPr>
                <w:rFonts w:ascii="Calibri" w:hAnsi="Calibri"/>
                <w:b/>
                <w:bCs/>
                <w:sz w:val="20"/>
                <w:szCs w:val="20"/>
                <w:lang w:eastAsia="en-GB" w:bidi="ar-SA"/>
              </w:rPr>
            </w:pPr>
            <w:r w:rsidRPr="00B364CB">
              <w:rPr>
                <w:rFonts w:ascii="Calibri" w:hAnsi="Calibri"/>
                <w:b/>
                <w:bCs/>
                <w:sz w:val="20"/>
                <w:szCs w:val="20"/>
                <w:lang w:eastAsia="en-GB" w:bidi="ar-SA"/>
              </w:rPr>
              <w:t>Fuel Cells for planes</w:t>
            </w:r>
          </w:p>
        </w:tc>
      </w:tr>
      <w:tr w:rsidR="009D0C2E" w:rsidRPr="00B364CB" w14:paraId="6FF221E0" w14:textId="77777777" w:rsidTr="00120F40">
        <w:trPr>
          <w:trHeight w:val="315"/>
        </w:trPr>
        <w:tc>
          <w:tcPr>
            <w:tcW w:w="312" w:type="pct"/>
            <w:shd w:val="clear" w:color="auto" w:fill="auto"/>
            <w:vAlign w:val="center"/>
            <w:hideMark/>
          </w:tcPr>
          <w:p w14:paraId="3B8FB3A6"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w:t>
            </w:r>
          </w:p>
        </w:tc>
        <w:tc>
          <w:tcPr>
            <w:tcW w:w="1351" w:type="pct"/>
            <w:shd w:val="clear" w:color="auto" w:fill="auto"/>
            <w:vAlign w:val="center"/>
          </w:tcPr>
          <w:p w14:paraId="12EBA858" w14:textId="77777777" w:rsidR="009D0C2E" w:rsidRPr="00B364CB" w:rsidRDefault="009D0C2E" w:rsidP="009D0C2E">
            <w:pPr>
              <w:widowControl/>
              <w:rPr>
                <w:rFonts w:cs="Arial"/>
                <w:sz w:val="20"/>
                <w:szCs w:val="20"/>
                <w:lang w:eastAsia="en-GB" w:bidi="ar-SA"/>
              </w:rPr>
            </w:pPr>
            <w:r w:rsidRPr="00B364CB">
              <w:rPr>
                <w:rFonts w:cs="Arial"/>
                <w:sz w:val="20"/>
                <w:szCs w:val="20"/>
              </w:rPr>
              <w:t>FC module durability</w:t>
            </w:r>
          </w:p>
        </w:tc>
        <w:tc>
          <w:tcPr>
            <w:tcW w:w="795" w:type="pct"/>
            <w:shd w:val="clear" w:color="auto" w:fill="auto"/>
            <w:vAlign w:val="center"/>
          </w:tcPr>
          <w:p w14:paraId="75A604E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h</w:t>
            </w:r>
          </w:p>
        </w:tc>
        <w:tc>
          <w:tcPr>
            <w:tcW w:w="556" w:type="pct"/>
            <w:shd w:val="clear" w:color="auto" w:fill="auto"/>
            <w:vAlign w:val="center"/>
          </w:tcPr>
          <w:p w14:paraId="7D179A1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15,000</w:t>
            </w:r>
          </w:p>
        </w:tc>
        <w:tc>
          <w:tcPr>
            <w:tcW w:w="715" w:type="pct"/>
            <w:vAlign w:val="center"/>
          </w:tcPr>
          <w:p w14:paraId="0D80365C" w14:textId="77777777" w:rsidR="009D0C2E" w:rsidRPr="00B364CB" w:rsidRDefault="009D0C2E" w:rsidP="009D0C2E">
            <w:pPr>
              <w:widowControl/>
              <w:jc w:val="center"/>
              <w:rPr>
                <w:rFonts w:cs="Arial"/>
                <w:color w:val="auto"/>
                <w:sz w:val="20"/>
                <w:szCs w:val="20"/>
              </w:rPr>
            </w:pPr>
            <w:r w:rsidRPr="00B364CB">
              <w:rPr>
                <w:rFonts w:cs="Arial"/>
                <w:color w:val="auto"/>
                <w:sz w:val="20"/>
                <w:szCs w:val="20"/>
              </w:rPr>
              <w:t>20,000</w:t>
            </w:r>
          </w:p>
        </w:tc>
        <w:tc>
          <w:tcPr>
            <w:tcW w:w="1271" w:type="pct"/>
            <w:shd w:val="clear" w:color="auto" w:fill="auto"/>
            <w:vAlign w:val="center"/>
          </w:tcPr>
          <w:p w14:paraId="0AB2299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30,000</w:t>
            </w:r>
          </w:p>
        </w:tc>
      </w:tr>
      <w:tr w:rsidR="009D0C2E" w:rsidRPr="00B364CB" w14:paraId="00825C66" w14:textId="77777777" w:rsidTr="00120F40">
        <w:trPr>
          <w:trHeight w:val="315"/>
        </w:trPr>
        <w:tc>
          <w:tcPr>
            <w:tcW w:w="312" w:type="pct"/>
            <w:shd w:val="clear" w:color="auto" w:fill="auto"/>
            <w:vAlign w:val="center"/>
            <w:hideMark/>
          </w:tcPr>
          <w:p w14:paraId="370A8C08"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2</w:t>
            </w:r>
          </w:p>
        </w:tc>
        <w:tc>
          <w:tcPr>
            <w:tcW w:w="1351" w:type="pct"/>
            <w:shd w:val="clear" w:color="auto" w:fill="auto"/>
            <w:vAlign w:val="center"/>
          </w:tcPr>
          <w:p w14:paraId="2AAAD9E9" w14:textId="77777777" w:rsidR="009D0C2E" w:rsidRPr="00B364CB" w:rsidRDefault="009D0C2E" w:rsidP="009D0C2E">
            <w:pPr>
              <w:widowControl/>
              <w:rPr>
                <w:rFonts w:cs="Arial"/>
                <w:sz w:val="20"/>
                <w:szCs w:val="20"/>
                <w:lang w:eastAsia="en-GB" w:bidi="ar-SA"/>
              </w:rPr>
            </w:pPr>
            <w:r w:rsidRPr="00B364CB">
              <w:rPr>
                <w:rFonts w:cs="Arial"/>
                <w:sz w:val="20"/>
                <w:szCs w:val="20"/>
              </w:rPr>
              <w:t>FC system efficiency</w:t>
            </w:r>
          </w:p>
        </w:tc>
        <w:tc>
          <w:tcPr>
            <w:tcW w:w="795" w:type="pct"/>
            <w:shd w:val="clear" w:color="auto" w:fill="auto"/>
            <w:vAlign w:val="center"/>
          </w:tcPr>
          <w:p w14:paraId="777692A9"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w:t>
            </w:r>
          </w:p>
        </w:tc>
        <w:tc>
          <w:tcPr>
            <w:tcW w:w="556" w:type="pct"/>
            <w:shd w:val="clear" w:color="auto" w:fill="auto"/>
            <w:vAlign w:val="center"/>
          </w:tcPr>
          <w:p w14:paraId="1AE5677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43.5</w:t>
            </w:r>
          </w:p>
        </w:tc>
        <w:tc>
          <w:tcPr>
            <w:tcW w:w="715" w:type="pct"/>
            <w:vAlign w:val="center"/>
          </w:tcPr>
          <w:p w14:paraId="6DBFF741" w14:textId="77777777" w:rsidR="009D0C2E" w:rsidRPr="00B364CB" w:rsidRDefault="009D0C2E" w:rsidP="009D0C2E">
            <w:pPr>
              <w:widowControl/>
              <w:jc w:val="center"/>
              <w:rPr>
                <w:rFonts w:cs="Arial"/>
                <w:color w:val="auto"/>
                <w:sz w:val="20"/>
                <w:szCs w:val="20"/>
              </w:rPr>
            </w:pPr>
            <w:r w:rsidRPr="00B364CB">
              <w:rPr>
                <w:rFonts w:cs="Arial"/>
                <w:sz w:val="20"/>
                <w:szCs w:val="20"/>
                <w:lang w:eastAsia="en-GB" w:bidi="ar-SA"/>
              </w:rPr>
              <w:t>45</w:t>
            </w:r>
          </w:p>
        </w:tc>
        <w:tc>
          <w:tcPr>
            <w:tcW w:w="1271" w:type="pct"/>
            <w:shd w:val="clear" w:color="auto" w:fill="auto"/>
            <w:vAlign w:val="center"/>
          </w:tcPr>
          <w:p w14:paraId="787D7870" w14:textId="77777777" w:rsidR="009D0C2E" w:rsidRPr="00B364CB" w:rsidRDefault="009D0C2E" w:rsidP="009D0C2E">
            <w:pPr>
              <w:widowControl/>
              <w:jc w:val="center"/>
              <w:rPr>
                <w:rFonts w:cs="Arial"/>
                <w:sz w:val="20"/>
                <w:szCs w:val="20"/>
                <w:lang w:eastAsia="en-GB" w:bidi="ar-SA"/>
              </w:rPr>
            </w:pPr>
            <w:r w:rsidRPr="00B364CB">
              <w:rPr>
                <w:rFonts w:cs="Arial"/>
                <w:color w:val="auto"/>
                <w:sz w:val="20"/>
                <w:szCs w:val="20"/>
              </w:rPr>
              <w:t>50</w:t>
            </w:r>
          </w:p>
        </w:tc>
      </w:tr>
      <w:tr w:rsidR="009D0C2E" w:rsidRPr="00B364CB" w14:paraId="3508001F" w14:textId="77777777" w:rsidTr="00120F40">
        <w:trPr>
          <w:trHeight w:val="370"/>
        </w:trPr>
        <w:tc>
          <w:tcPr>
            <w:tcW w:w="312" w:type="pct"/>
            <w:shd w:val="clear" w:color="auto" w:fill="auto"/>
            <w:vAlign w:val="center"/>
            <w:hideMark/>
          </w:tcPr>
          <w:p w14:paraId="241F6456"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3</w:t>
            </w:r>
          </w:p>
        </w:tc>
        <w:tc>
          <w:tcPr>
            <w:tcW w:w="1351" w:type="pct"/>
            <w:shd w:val="clear" w:color="auto" w:fill="auto"/>
            <w:vAlign w:val="center"/>
          </w:tcPr>
          <w:p w14:paraId="63590252" w14:textId="77777777" w:rsidR="009D0C2E" w:rsidRPr="00B364CB" w:rsidRDefault="009D0C2E" w:rsidP="009D0C2E">
            <w:pPr>
              <w:widowControl/>
              <w:rPr>
                <w:rFonts w:cs="Arial"/>
                <w:sz w:val="20"/>
                <w:szCs w:val="20"/>
                <w:lang w:eastAsia="en-GB" w:bidi="ar-SA"/>
              </w:rPr>
            </w:pPr>
            <w:r w:rsidRPr="00B364CB">
              <w:rPr>
                <w:rFonts w:cs="Arial"/>
                <w:sz w:val="20"/>
                <w:szCs w:val="20"/>
              </w:rPr>
              <w:t>FC system availability</w:t>
            </w:r>
          </w:p>
        </w:tc>
        <w:tc>
          <w:tcPr>
            <w:tcW w:w="795" w:type="pct"/>
            <w:shd w:val="clear" w:color="auto" w:fill="auto"/>
            <w:vAlign w:val="center"/>
          </w:tcPr>
          <w:p w14:paraId="68BAE947"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w:t>
            </w:r>
          </w:p>
        </w:tc>
        <w:tc>
          <w:tcPr>
            <w:tcW w:w="556" w:type="pct"/>
            <w:shd w:val="clear" w:color="auto" w:fill="auto"/>
            <w:vAlign w:val="center"/>
          </w:tcPr>
          <w:p w14:paraId="6594371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85 </w:t>
            </w:r>
          </w:p>
        </w:tc>
        <w:tc>
          <w:tcPr>
            <w:tcW w:w="715" w:type="pct"/>
            <w:vAlign w:val="center"/>
          </w:tcPr>
          <w:p w14:paraId="02122F39" w14:textId="77777777" w:rsidR="009D0C2E" w:rsidRPr="00B364CB" w:rsidRDefault="009D0C2E" w:rsidP="009D0C2E">
            <w:pPr>
              <w:widowControl/>
              <w:jc w:val="center"/>
              <w:rPr>
                <w:rFonts w:cs="Arial"/>
                <w:sz w:val="20"/>
                <w:szCs w:val="20"/>
              </w:rPr>
            </w:pPr>
            <w:r w:rsidRPr="00B364CB">
              <w:rPr>
                <w:rFonts w:cs="Arial"/>
                <w:sz w:val="20"/>
                <w:szCs w:val="20"/>
              </w:rPr>
              <w:t>95</w:t>
            </w:r>
          </w:p>
        </w:tc>
        <w:tc>
          <w:tcPr>
            <w:tcW w:w="1271" w:type="pct"/>
            <w:shd w:val="clear" w:color="auto" w:fill="auto"/>
            <w:vAlign w:val="center"/>
          </w:tcPr>
          <w:p w14:paraId="0EAA443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98</w:t>
            </w:r>
          </w:p>
        </w:tc>
      </w:tr>
      <w:tr w:rsidR="009D0C2E" w:rsidRPr="00B364CB" w14:paraId="69199F60" w14:textId="77777777" w:rsidTr="00120F40">
        <w:trPr>
          <w:trHeight w:val="418"/>
        </w:trPr>
        <w:tc>
          <w:tcPr>
            <w:tcW w:w="312" w:type="pct"/>
            <w:shd w:val="clear" w:color="auto" w:fill="auto"/>
            <w:vAlign w:val="center"/>
          </w:tcPr>
          <w:p w14:paraId="0EF985B3"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4</w:t>
            </w:r>
          </w:p>
        </w:tc>
        <w:tc>
          <w:tcPr>
            <w:tcW w:w="1351" w:type="pct"/>
            <w:shd w:val="clear" w:color="auto" w:fill="auto"/>
            <w:vAlign w:val="center"/>
          </w:tcPr>
          <w:p w14:paraId="158ACEBD" w14:textId="77777777" w:rsidR="009D0C2E" w:rsidRPr="00B364CB" w:rsidRDefault="009D0C2E" w:rsidP="009D0C2E">
            <w:pPr>
              <w:widowControl/>
              <w:rPr>
                <w:rFonts w:cs="Arial"/>
                <w:sz w:val="20"/>
                <w:szCs w:val="20"/>
                <w:lang w:eastAsia="en-GB" w:bidi="ar-SA"/>
              </w:rPr>
            </w:pPr>
            <w:r w:rsidRPr="00B364CB">
              <w:rPr>
                <w:rFonts w:cs="Arial"/>
                <w:sz w:val="20"/>
                <w:szCs w:val="20"/>
              </w:rPr>
              <w:t>FC system gravimetric index</w:t>
            </w:r>
          </w:p>
        </w:tc>
        <w:tc>
          <w:tcPr>
            <w:tcW w:w="795" w:type="pct"/>
            <w:shd w:val="clear" w:color="auto" w:fill="auto"/>
            <w:vAlign w:val="center"/>
          </w:tcPr>
          <w:p w14:paraId="0929F0AB"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kW/kg</w:t>
            </w:r>
          </w:p>
        </w:tc>
        <w:tc>
          <w:tcPr>
            <w:tcW w:w="556" w:type="pct"/>
            <w:shd w:val="clear" w:color="auto" w:fill="auto"/>
            <w:vAlign w:val="center"/>
          </w:tcPr>
          <w:p w14:paraId="290298F4"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0.75</w:t>
            </w:r>
          </w:p>
        </w:tc>
        <w:tc>
          <w:tcPr>
            <w:tcW w:w="715" w:type="pct"/>
            <w:vAlign w:val="center"/>
          </w:tcPr>
          <w:p w14:paraId="63B29165" w14:textId="77777777" w:rsidR="009D0C2E" w:rsidRPr="00B364CB" w:rsidRDefault="009D0C2E" w:rsidP="009D0C2E">
            <w:pPr>
              <w:widowControl/>
              <w:jc w:val="center"/>
              <w:rPr>
                <w:rFonts w:cs="Arial"/>
                <w:sz w:val="20"/>
                <w:szCs w:val="20"/>
              </w:rPr>
            </w:pPr>
            <w:r w:rsidRPr="00B364CB">
              <w:rPr>
                <w:rFonts w:cs="Arial"/>
                <w:sz w:val="20"/>
                <w:szCs w:val="20"/>
              </w:rPr>
              <w:t>1</w:t>
            </w:r>
          </w:p>
        </w:tc>
        <w:tc>
          <w:tcPr>
            <w:tcW w:w="1271" w:type="pct"/>
            <w:shd w:val="clear" w:color="auto" w:fill="auto"/>
            <w:vAlign w:val="center"/>
          </w:tcPr>
          <w:p w14:paraId="5480B7D7"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2</w:t>
            </w:r>
          </w:p>
        </w:tc>
      </w:tr>
      <w:tr w:rsidR="009D0C2E" w:rsidRPr="00B364CB" w14:paraId="37979657" w14:textId="77777777" w:rsidTr="00120F40">
        <w:trPr>
          <w:trHeight w:val="418"/>
        </w:trPr>
        <w:tc>
          <w:tcPr>
            <w:tcW w:w="312" w:type="pct"/>
            <w:shd w:val="clear" w:color="auto" w:fill="auto"/>
            <w:vAlign w:val="center"/>
          </w:tcPr>
          <w:p w14:paraId="170411C6" w14:textId="77777777" w:rsidR="009D0C2E" w:rsidRPr="00B364CB" w:rsidRDefault="009D0C2E" w:rsidP="009D0C2E">
            <w:pPr>
              <w:widowControl/>
              <w:jc w:val="center"/>
              <w:rPr>
                <w:rFonts w:cs="Arial"/>
                <w:sz w:val="20"/>
                <w:szCs w:val="20"/>
              </w:rPr>
            </w:pPr>
            <w:r w:rsidRPr="00B364CB">
              <w:rPr>
                <w:rFonts w:cs="Arial"/>
                <w:sz w:val="20"/>
                <w:szCs w:val="20"/>
              </w:rPr>
              <w:t>5</w:t>
            </w:r>
          </w:p>
        </w:tc>
        <w:tc>
          <w:tcPr>
            <w:tcW w:w="1351" w:type="pct"/>
            <w:shd w:val="clear" w:color="auto" w:fill="auto"/>
            <w:vAlign w:val="center"/>
          </w:tcPr>
          <w:p w14:paraId="122AA1FD" w14:textId="77777777" w:rsidR="009D0C2E" w:rsidRPr="00B364CB" w:rsidRDefault="009D0C2E" w:rsidP="009D0C2E">
            <w:pPr>
              <w:widowControl/>
              <w:rPr>
                <w:rFonts w:cs="Arial"/>
                <w:sz w:val="20"/>
                <w:szCs w:val="20"/>
              </w:rPr>
            </w:pPr>
            <w:r w:rsidRPr="00B364CB">
              <w:rPr>
                <w:rFonts w:cs="Arial"/>
                <w:sz w:val="20"/>
                <w:szCs w:val="20"/>
              </w:rPr>
              <w:t>Tank gravimetric efficiency</w:t>
            </w:r>
          </w:p>
        </w:tc>
        <w:tc>
          <w:tcPr>
            <w:tcW w:w="795" w:type="pct"/>
            <w:shd w:val="clear" w:color="auto" w:fill="auto"/>
            <w:vAlign w:val="center"/>
          </w:tcPr>
          <w:p w14:paraId="08951E36" w14:textId="77777777" w:rsidR="009D0C2E" w:rsidRPr="00B364CB" w:rsidRDefault="009D0C2E" w:rsidP="009D0C2E">
            <w:pPr>
              <w:widowControl/>
              <w:jc w:val="center"/>
              <w:rPr>
                <w:rFonts w:cs="Arial"/>
                <w:sz w:val="20"/>
                <w:szCs w:val="20"/>
              </w:rPr>
            </w:pPr>
            <w:r w:rsidRPr="00B364CB">
              <w:rPr>
                <w:rFonts w:cs="Arial"/>
                <w:sz w:val="20"/>
                <w:szCs w:val="20"/>
              </w:rPr>
              <w:t>%weight</w:t>
            </w:r>
          </w:p>
        </w:tc>
        <w:tc>
          <w:tcPr>
            <w:tcW w:w="556" w:type="pct"/>
            <w:shd w:val="clear" w:color="auto" w:fill="auto"/>
            <w:vAlign w:val="center"/>
          </w:tcPr>
          <w:p w14:paraId="5BB4B30A" w14:textId="77777777" w:rsidR="009D0C2E" w:rsidRPr="00B364CB" w:rsidRDefault="009D0C2E" w:rsidP="009D0C2E">
            <w:pPr>
              <w:widowControl/>
              <w:jc w:val="center"/>
              <w:rPr>
                <w:rFonts w:cs="Arial"/>
                <w:sz w:val="20"/>
                <w:szCs w:val="20"/>
              </w:rPr>
            </w:pPr>
            <w:r w:rsidRPr="00B364CB">
              <w:rPr>
                <w:rFonts w:cs="Arial"/>
                <w:sz w:val="20"/>
                <w:szCs w:val="20"/>
              </w:rPr>
              <w:t>12</w:t>
            </w:r>
          </w:p>
        </w:tc>
        <w:tc>
          <w:tcPr>
            <w:tcW w:w="715" w:type="pct"/>
            <w:vAlign w:val="center"/>
          </w:tcPr>
          <w:p w14:paraId="3E457407" w14:textId="77777777" w:rsidR="009D0C2E" w:rsidRPr="00B364CB" w:rsidRDefault="009D0C2E" w:rsidP="009D0C2E">
            <w:pPr>
              <w:widowControl/>
              <w:jc w:val="center"/>
              <w:rPr>
                <w:rFonts w:cs="Arial"/>
                <w:sz w:val="20"/>
                <w:szCs w:val="20"/>
              </w:rPr>
            </w:pPr>
            <w:r w:rsidRPr="00B364CB">
              <w:rPr>
                <w:rFonts w:cs="Arial"/>
                <w:sz w:val="20"/>
                <w:szCs w:val="20"/>
              </w:rPr>
              <w:t>16</w:t>
            </w:r>
          </w:p>
        </w:tc>
        <w:tc>
          <w:tcPr>
            <w:tcW w:w="1271" w:type="pct"/>
            <w:shd w:val="clear" w:color="auto" w:fill="auto"/>
            <w:vAlign w:val="center"/>
          </w:tcPr>
          <w:p w14:paraId="098111E1" w14:textId="77777777" w:rsidR="009D0C2E" w:rsidRPr="00B364CB" w:rsidRDefault="009D0C2E" w:rsidP="009D0C2E">
            <w:pPr>
              <w:widowControl/>
              <w:jc w:val="center"/>
              <w:rPr>
                <w:rFonts w:cs="Arial"/>
                <w:sz w:val="20"/>
                <w:szCs w:val="20"/>
              </w:rPr>
            </w:pPr>
            <w:r w:rsidRPr="00B364CB">
              <w:rPr>
                <w:rFonts w:cs="Arial"/>
                <w:sz w:val="20"/>
                <w:szCs w:val="20"/>
              </w:rPr>
              <w:t>35</w:t>
            </w:r>
          </w:p>
        </w:tc>
      </w:tr>
      <w:tr w:rsidR="009D0C2E" w:rsidRPr="00B364CB" w14:paraId="7FDC8D11" w14:textId="77777777" w:rsidTr="00120F40">
        <w:trPr>
          <w:trHeight w:val="418"/>
        </w:trPr>
        <w:tc>
          <w:tcPr>
            <w:tcW w:w="312" w:type="pct"/>
            <w:shd w:val="clear" w:color="auto" w:fill="auto"/>
            <w:vAlign w:val="center"/>
          </w:tcPr>
          <w:p w14:paraId="4D6F6AE3" w14:textId="77777777" w:rsidR="009D0C2E" w:rsidRPr="00B364CB" w:rsidRDefault="009D0C2E" w:rsidP="009D0C2E">
            <w:pPr>
              <w:widowControl/>
              <w:jc w:val="center"/>
              <w:rPr>
                <w:rFonts w:cs="Arial"/>
                <w:sz w:val="20"/>
                <w:szCs w:val="20"/>
              </w:rPr>
            </w:pPr>
            <w:r w:rsidRPr="00B364CB">
              <w:rPr>
                <w:rFonts w:cs="Arial"/>
                <w:sz w:val="20"/>
                <w:szCs w:val="20"/>
              </w:rPr>
              <w:t>6</w:t>
            </w:r>
          </w:p>
        </w:tc>
        <w:tc>
          <w:tcPr>
            <w:tcW w:w="1351" w:type="pct"/>
            <w:shd w:val="clear" w:color="auto" w:fill="auto"/>
            <w:vAlign w:val="center"/>
          </w:tcPr>
          <w:p w14:paraId="466453CA" w14:textId="77777777" w:rsidR="009D0C2E" w:rsidRPr="00B364CB" w:rsidRDefault="009D0C2E" w:rsidP="009D0C2E">
            <w:pPr>
              <w:widowControl/>
              <w:rPr>
                <w:rFonts w:cs="Arial"/>
                <w:sz w:val="20"/>
                <w:szCs w:val="20"/>
              </w:rPr>
            </w:pPr>
            <w:r w:rsidRPr="00B364CB">
              <w:rPr>
                <w:rFonts w:cs="Arial"/>
                <w:sz w:val="20"/>
                <w:szCs w:val="20"/>
              </w:rPr>
              <w:t>Continuous fuel flow for FC aircraft</w:t>
            </w:r>
          </w:p>
        </w:tc>
        <w:tc>
          <w:tcPr>
            <w:tcW w:w="795" w:type="pct"/>
            <w:shd w:val="clear" w:color="auto" w:fill="auto"/>
            <w:vAlign w:val="center"/>
          </w:tcPr>
          <w:p w14:paraId="11EF579C" w14:textId="77777777" w:rsidR="009D0C2E" w:rsidRPr="00B364CB" w:rsidRDefault="009D0C2E" w:rsidP="009D0C2E">
            <w:pPr>
              <w:widowControl/>
              <w:jc w:val="center"/>
              <w:rPr>
                <w:rFonts w:cs="Arial"/>
                <w:sz w:val="20"/>
                <w:szCs w:val="20"/>
              </w:rPr>
            </w:pPr>
            <w:r w:rsidRPr="00B364CB">
              <w:rPr>
                <w:rFonts w:cs="Arial"/>
                <w:sz w:val="20"/>
                <w:szCs w:val="20"/>
              </w:rPr>
              <w:t>kg/s</w:t>
            </w:r>
          </w:p>
        </w:tc>
        <w:tc>
          <w:tcPr>
            <w:tcW w:w="556" w:type="pct"/>
            <w:shd w:val="clear" w:color="auto" w:fill="auto"/>
            <w:vAlign w:val="center"/>
          </w:tcPr>
          <w:p w14:paraId="2600AC61" w14:textId="77777777" w:rsidR="009D0C2E" w:rsidRPr="00B364CB" w:rsidRDefault="009D0C2E" w:rsidP="009D0C2E">
            <w:pPr>
              <w:widowControl/>
              <w:jc w:val="center"/>
              <w:rPr>
                <w:rFonts w:cs="Arial"/>
                <w:sz w:val="20"/>
                <w:szCs w:val="20"/>
              </w:rPr>
            </w:pPr>
            <w:r w:rsidRPr="00B364CB">
              <w:rPr>
                <w:rFonts w:cs="Arial"/>
                <w:sz w:val="20"/>
                <w:szCs w:val="20"/>
              </w:rPr>
              <w:t>na</w:t>
            </w:r>
          </w:p>
        </w:tc>
        <w:tc>
          <w:tcPr>
            <w:tcW w:w="715" w:type="pct"/>
            <w:vAlign w:val="center"/>
          </w:tcPr>
          <w:p w14:paraId="02E1BB44" w14:textId="77777777" w:rsidR="009D0C2E" w:rsidRPr="00B364CB" w:rsidRDefault="009D0C2E" w:rsidP="009D0C2E">
            <w:pPr>
              <w:widowControl/>
              <w:jc w:val="center"/>
              <w:rPr>
                <w:rFonts w:cs="Arial"/>
                <w:sz w:val="20"/>
                <w:szCs w:val="20"/>
              </w:rPr>
            </w:pPr>
            <w:r w:rsidRPr="00B364CB">
              <w:rPr>
                <w:rFonts w:cs="Arial"/>
                <w:sz w:val="20"/>
                <w:szCs w:val="20"/>
              </w:rPr>
              <w:t>50</w:t>
            </w:r>
          </w:p>
        </w:tc>
        <w:tc>
          <w:tcPr>
            <w:tcW w:w="1271" w:type="pct"/>
            <w:shd w:val="clear" w:color="auto" w:fill="auto"/>
            <w:vAlign w:val="center"/>
          </w:tcPr>
          <w:p w14:paraId="28D9D1C2" w14:textId="77777777" w:rsidR="009D0C2E" w:rsidRPr="00B364CB" w:rsidRDefault="009D0C2E" w:rsidP="009D0C2E">
            <w:pPr>
              <w:widowControl/>
              <w:jc w:val="center"/>
              <w:rPr>
                <w:rFonts w:cs="Arial"/>
                <w:sz w:val="20"/>
                <w:szCs w:val="20"/>
              </w:rPr>
            </w:pPr>
            <w:r w:rsidRPr="00B364CB">
              <w:rPr>
                <w:rFonts w:cs="Arial"/>
                <w:sz w:val="20"/>
                <w:szCs w:val="20"/>
              </w:rPr>
              <w:t xml:space="preserve">180 for peak power </w:t>
            </w:r>
          </w:p>
          <w:p w14:paraId="4750BFD8" w14:textId="77777777" w:rsidR="009D0C2E" w:rsidRPr="00B364CB" w:rsidRDefault="009D0C2E" w:rsidP="009D0C2E">
            <w:pPr>
              <w:widowControl/>
              <w:jc w:val="center"/>
              <w:rPr>
                <w:rFonts w:cs="Arial"/>
                <w:sz w:val="20"/>
                <w:szCs w:val="20"/>
              </w:rPr>
            </w:pPr>
            <w:r w:rsidRPr="00B364CB">
              <w:rPr>
                <w:rFonts w:cs="Arial"/>
                <w:sz w:val="20"/>
                <w:szCs w:val="20"/>
              </w:rPr>
              <w:t>100 for cruise</w:t>
            </w:r>
          </w:p>
        </w:tc>
      </w:tr>
    </w:tbl>
    <w:p w14:paraId="4B1CCFF1" w14:textId="77777777" w:rsidR="009D0C2E" w:rsidRPr="00B364CB" w:rsidRDefault="009D0C2E" w:rsidP="009D0C2E">
      <w:pPr>
        <w:pStyle w:val="CommentText"/>
        <w:spacing w:after="120"/>
        <w:rPr>
          <w:rFonts w:cstheme="minorHAnsi"/>
          <w:iCs/>
          <w:color w:val="auto"/>
          <w:sz w:val="16"/>
          <w:szCs w:val="16"/>
        </w:rPr>
      </w:pPr>
    </w:p>
    <w:p w14:paraId="3C73892D" w14:textId="77777777" w:rsidR="00D46C9B" w:rsidRPr="00B364CB" w:rsidRDefault="00D46C9B" w:rsidP="00D46C9B">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724B759D" w14:textId="0CA20A02" w:rsidR="009D0C2E" w:rsidRPr="00B364CB" w:rsidRDefault="009D0C2E" w:rsidP="009D0C2E">
      <w:pPr>
        <w:pStyle w:val="CommentText"/>
        <w:spacing w:after="120"/>
        <w:rPr>
          <w:rFonts w:cstheme="minorHAnsi"/>
          <w:iCs/>
          <w:color w:val="auto"/>
          <w:sz w:val="16"/>
          <w:szCs w:val="16"/>
        </w:rPr>
      </w:pPr>
      <w:r w:rsidRPr="00B364CB">
        <w:rPr>
          <w:rFonts w:cstheme="minorHAnsi"/>
          <w:iCs/>
          <w:color w:val="auto"/>
          <w:sz w:val="16"/>
          <w:szCs w:val="16"/>
        </w:rPr>
        <w:t xml:space="preserve">KPI-1: </w:t>
      </w:r>
      <w:r w:rsidR="007C571E">
        <w:rPr>
          <w:rFonts w:cstheme="minorHAnsi"/>
          <w:iCs/>
          <w:color w:val="auto"/>
          <w:sz w:val="16"/>
          <w:szCs w:val="16"/>
        </w:rPr>
        <w:t>D</w:t>
      </w:r>
      <w:r w:rsidRPr="00B364CB">
        <w:rPr>
          <w:rFonts w:cstheme="minorHAnsi"/>
          <w:iCs/>
          <w:color w:val="auto"/>
          <w:sz w:val="16"/>
          <w:szCs w:val="16"/>
        </w:rPr>
        <w:t xml:space="preserve">urability target account for less than 10% performance loss at nominal voltage between </w:t>
      </w:r>
      <w:r>
        <w:rPr>
          <w:rFonts w:cstheme="minorHAnsi"/>
          <w:iCs/>
          <w:color w:val="auto"/>
          <w:sz w:val="16"/>
          <w:szCs w:val="16"/>
        </w:rPr>
        <w:t xml:space="preserve">beginning of life </w:t>
      </w:r>
      <w:r w:rsidRPr="00B364CB">
        <w:rPr>
          <w:rFonts w:cstheme="minorHAnsi"/>
          <w:iCs/>
          <w:color w:val="auto"/>
          <w:sz w:val="16"/>
          <w:szCs w:val="16"/>
        </w:rPr>
        <w:t xml:space="preserve"> and </w:t>
      </w:r>
      <w:r>
        <w:rPr>
          <w:rFonts w:cstheme="minorHAnsi"/>
          <w:iCs/>
          <w:color w:val="auto"/>
          <w:sz w:val="16"/>
          <w:szCs w:val="16"/>
        </w:rPr>
        <w:t>end of life</w:t>
      </w:r>
    </w:p>
    <w:p w14:paraId="53EC0B15" w14:textId="4CE77298" w:rsidR="009D0C2E" w:rsidRDefault="009D0C2E" w:rsidP="009D0C2E">
      <w:pPr>
        <w:pStyle w:val="CommentText"/>
        <w:spacing w:after="120"/>
        <w:rPr>
          <w:rFonts w:cstheme="minorHAnsi"/>
          <w:iCs/>
          <w:color w:val="auto"/>
          <w:sz w:val="16"/>
          <w:szCs w:val="16"/>
        </w:rPr>
      </w:pPr>
      <w:r w:rsidRPr="00B364CB">
        <w:rPr>
          <w:rFonts w:cstheme="minorHAnsi"/>
          <w:iCs/>
          <w:color w:val="auto"/>
          <w:sz w:val="16"/>
          <w:szCs w:val="16"/>
        </w:rPr>
        <w:t xml:space="preserve">KPI-2: </w:t>
      </w:r>
      <w:r w:rsidR="007C571E">
        <w:rPr>
          <w:rFonts w:cstheme="minorHAnsi"/>
          <w:iCs/>
          <w:color w:val="auto"/>
          <w:sz w:val="16"/>
          <w:szCs w:val="16"/>
        </w:rPr>
        <w:t>F</w:t>
      </w:r>
      <w:r w:rsidRPr="00B364CB">
        <w:rPr>
          <w:rFonts w:cstheme="minorHAnsi"/>
          <w:iCs/>
          <w:color w:val="auto"/>
          <w:sz w:val="16"/>
          <w:szCs w:val="16"/>
        </w:rPr>
        <w:t>uel cell efficiency at system level shall include stack and balance of plant (cathodic ancillaries incl. compressor, anodic ancillaries excl. H</w:t>
      </w:r>
      <w:r w:rsidRPr="00E4788A">
        <w:rPr>
          <w:rFonts w:cstheme="minorHAnsi"/>
          <w:iCs/>
          <w:color w:val="auto"/>
          <w:sz w:val="16"/>
          <w:szCs w:val="16"/>
          <w:vertAlign w:val="subscript"/>
        </w:rPr>
        <w:t>2</w:t>
      </w:r>
      <w:r w:rsidRPr="00B364CB">
        <w:rPr>
          <w:rFonts w:cstheme="minorHAnsi"/>
          <w:iCs/>
          <w:color w:val="auto"/>
          <w:sz w:val="16"/>
          <w:szCs w:val="16"/>
        </w:rPr>
        <w:t xml:space="preserve"> storage, thermal management incl. heat exchanger, controls, excl. power converters).</w:t>
      </w:r>
      <w:r>
        <w:rPr>
          <w:rFonts w:cstheme="minorHAnsi"/>
          <w:iCs/>
          <w:color w:val="auto"/>
          <w:sz w:val="16"/>
          <w:szCs w:val="16"/>
        </w:rPr>
        <w:t xml:space="preserve"> </w:t>
      </w:r>
      <w:r w:rsidRPr="002E6CA1">
        <w:rPr>
          <w:rFonts w:cstheme="minorHAnsi"/>
          <w:iCs/>
          <w:color w:val="auto"/>
          <w:sz w:val="16"/>
          <w:szCs w:val="16"/>
        </w:rPr>
        <w:t>KPI target depend on application and will vary between a propulsive FC system for light aviation and SMR APU or hybridized power unit.</w:t>
      </w:r>
    </w:p>
    <w:p w14:paraId="217218FF" w14:textId="7E290BF9" w:rsidR="009D0C2E" w:rsidRPr="00B364CB" w:rsidRDefault="009D0C2E" w:rsidP="009D0C2E">
      <w:pPr>
        <w:pStyle w:val="CommentText"/>
        <w:spacing w:after="120"/>
        <w:rPr>
          <w:rFonts w:cstheme="minorHAnsi"/>
          <w:iCs/>
          <w:color w:val="auto"/>
          <w:sz w:val="16"/>
          <w:szCs w:val="16"/>
        </w:rPr>
      </w:pPr>
      <w:r>
        <w:rPr>
          <w:rFonts w:cstheme="minorHAnsi"/>
          <w:iCs/>
          <w:color w:val="auto"/>
          <w:sz w:val="16"/>
          <w:szCs w:val="16"/>
        </w:rPr>
        <w:t xml:space="preserve">KPI-3: </w:t>
      </w:r>
      <w:r w:rsidRPr="002E6CA1">
        <w:rPr>
          <w:rFonts w:cstheme="minorHAnsi"/>
          <w:iCs/>
          <w:color w:val="auto"/>
          <w:sz w:val="16"/>
          <w:szCs w:val="16"/>
        </w:rPr>
        <w:t xml:space="preserve">FC system availability is defined, in the case of aviation, by the ratio of successful system start. </w:t>
      </w:r>
      <w:r>
        <w:rPr>
          <w:rFonts w:cstheme="minorHAnsi"/>
          <w:iCs/>
          <w:color w:val="auto"/>
          <w:sz w:val="16"/>
          <w:szCs w:val="16"/>
        </w:rPr>
        <w:t xml:space="preserve"> </w:t>
      </w:r>
      <w:r w:rsidRPr="002E6CA1">
        <w:rPr>
          <w:rFonts w:cstheme="minorHAnsi"/>
          <w:iCs/>
          <w:color w:val="auto"/>
          <w:sz w:val="16"/>
          <w:szCs w:val="16"/>
        </w:rPr>
        <w:t>Global reliability of the system (i.e. in service failure</w:t>
      </w:r>
      <w:r>
        <w:rPr>
          <w:rFonts w:cstheme="minorHAnsi"/>
          <w:iCs/>
          <w:color w:val="auto"/>
          <w:sz w:val="16"/>
          <w:szCs w:val="16"/>
        </w:rPr>
        <w:t xml:space="preserve"> rate/hour</w:t>
      </w:r>
      <w:r w:rsidRPr="002E6CA1">
        <w:rPr>
          <w:rFonts w:cstheme="minorHAnsi"/>
          <w:iCs/>
          <w:color w:val="auto"/>
          <w:sz w:val="16"/>
          <w:szCs w:val="16"/>
        </w:rPr>
        <w:t>) will have to comply with conventional aviation certification KPI (</w:t>
      </w:r>
      <w:r>
        <w:rPr>
          <w:rFonts w:cstheme="minorHAnsi"/>
          <w:iCs/>
          <w:color w:val="auto"/>
          <w:sz w:val="16"/>
          <w:szCs w:val="16"/>
        </w:rPr>
        <w:t>10</w:t>
      </w:r>
      <w:r w:rsidRPr="001708FC">
        <w:rPr>
          <w:rFonts w:cstheme="minorHAnsi"/>
          <w:iCs/>
          <w:color w:val="auto"/>
          <w:sz w:val="16"/>
          <w:szCs w:val="16"/>
          <w:vertAlign w:val="superscript"/>
        </w:rPr>
        <w:t>-9</w:t>
      </w:r>
      <w:r>
        <w:rPr>
          <w:rFonts w:cstheme="minorHAnsi"/>
          <w:iCs/>
          <w:color w:val="auto"/>
          <w:sz w:val="16"/>
          <w:szCs w:val="16"/>
        </w:rPr>
        <w:t xml:space="preserve"> failure/hour</w:t>
      </w:r>
      <w:r w:rsidRPr="002E6CA1">
        <w:rPr>
          <w:rFonts w:cstheme="minorHAnsi"/>
          <w:iCs/>
          <w:color w:val="auto"/>
          <w:sz w:val="16"/>
          <w:szCs w:val="16"/>
        </w:rPr>
        <w:t>). Nevertheless, the efficiency as defined above (ratio of successful system start) is key for economic viability</w:t>
      </w:r>
      <w:r w:rsidRPr="00B364CB">
        <w:rPr>
          <w:rFonts w:cstheme="minorHAnsi"/>
          <w:iCs/>
          <w:color w:val="auto"/>
          <w:sz w:val="16"/>
          <w:szCs w:val="16"/>
        </w:rPr>
        <w:t>KPI-4: gravimetric density at system level shall include stack and balance of plant (cathodic ancillaries incl. compressor, anodic ancillaries excl. H</w:t>
      </w:r>
      <w:r w:rsidRPr="00E4788A">
        <w:rPr>
          <w:rFonts w:cstheme="minorHAnsi"/>
          <w:iCs/>
          <w:color w:val="auto"/>
          <w:sz w:val="16"/>
          <w:szCs w:val="16"/>
          <w:vertAlign w:val="subscript"/>
        </w:rPr>
        <w:t>2</w:t>
      </w:r>
      <w:r w:rsidRPr="00B364CB">
        <w:rPr>
          <w:rFonts w:cstheme="minorHAnsi"/>
          <w:iCs/>
          <w:color w:val="auto"/>
          <w:sz w:val="16"/>
          <w:szCs w:val="16"/>
        </w:rPr>
        <w:t xml:space="preserve"> storage, thermal management incl. heat exchanger, controls, excl. power converters).</w:t>
      </w:r>
    </w:p>
    <w:p w14:paraId="3135A57C" w14:textId="0E9C9C57" w:rsidR="009D0C2E" w:rsidRPr="00B364CB" w:rsidRDefault="009D0C2E" w:rsidP="009D0C2E">
      <w:pPr>
        <w:pStyle w:val="CommentText"/>
        <w:spacing w:after="120"/>
        <w:rPr>
          <w:rFonts w:cstheme="minorHAnsi"/>
          <w:iCs/>
          <w:color w:val="auto"/>
          <w:sz w:val="16"/>
          <w:szCs w:val="16"/>
        </w:rPr>
      </w:pPr>
      <w:r w:rsidRPr="00B364CB">
        <w:rPr>
          <w:rFonts w:cstheme="minorHAnsi"/>
          <w:iCs/>
          <w:color w:val="auto"/>
          <w:sz w:val="16"/>
          <w:szCs w:val="16"/>
        </w:rPr>
        <w:t xml:space="preserve">KPI-5: </w:t>
      </w:r>
      <w:r w:rsidR="007C571E">
        <w:rPr>
          <w:rFonts w:cstheme="minorHAnsi"/>
          <w:iCs/>
          <w:color w:val="auto"/>
          <w:sz w:val="16"/>
          <w:szCs w:val="16"/>
        </w:rPr>
        <w:t>G</w:t>
      </w:r>
      <w:r w:rsidRPr="00B364CB">
        <w:rPr>
          <w:rFonts w:cstheme="minorHAnsi"/>
          <w:iCs/>
          <w:color w:val="auto"/>
          <w:sz w:val="16"/>
          <w:szCs w:val="16"/>
        </w:rPr>
        <w:t>ravimetric efficiency of storage tank, mass of stored hydrogen divided by the mass of the system (included mass of hydrogen). The system is based on a vacuum double layers tank technology. The tank volume target is more than 1</w:t>
      </w:r>
      <w:r>
        <w:rPr>
          <w:rFonts w:cstheme="minorHAnsi"/>
          <w:iCs/>
          <w:color w:val="auto"/>
          <w:sz w:val="16"/>
          <w:szCs w:val="16"/>
        </w:rPr>
        <w:t xml:space="preserve"> ton </w:t>
      </w:r>
      <w:r w:rsidRPr="00B364CB">
        <w:rPr>
          <w:rFonts w:cstheme="minorHAnsi"/>
          <w:iCs/>
          <w:color w:val="auto"/>
          <w:sz w:val="16"/>
          <w:szCs w:val="16"/>
        </w:rPr>
        <w:t>of LH</w:t>
      </w:r>
      <w:r w:rsidRPr="00E4788A">
        <w:rPr>
          <w:rFonts w:cstheme="minorHAnsi"/>
          <w:iCs/>
          <w:color w:val="auto"/>
          <w:sz w:val="16"/>
          <w:szCs w:val="16"/>
          <w:vertAlign w:val="subscript"/>
        </w:rPr>
        <w:t>2</w:t>
      </w:r>
      <w:r w:rsidRPr="00B364CB">
        <w:rPr>
          <w:rFonts w:cstheme="minorHAnsi"/>
          <w:iCs/>
          <w:color w:val="auto"/>
          <w:sz w:val="16"/>
          <w:szCs w:val="16"/>
        </w:rPr>
        <w:t>, with minor boil-off after 2 days.</w:t>
      </w:r>
    </w:p>
    <w:p w14:paraId="679CC0EC" w14:textId="4787474F" w:rsidR="00D46C9B" w:rsidRDefault="009D0C2E" w:rsidP="001D12AA">
      <w:pPr>
        <w:pStyle w:val="CommentText"/>
        <w:spacing w:after="120"/>
        <w:rPr>
          <w:rStyle w:val="MAWPTitle"/>
          <w:b/>
          <w:bCs w:val="0"/>
          <w:lang w:val="en-GB"/>
        </w:rPr>
      </w:pPr>
      <w:r w:rsidRPr="00B364CB">
        <w:rPr>
          <w:rFonts w:cstheme="minorHAnsi"/>
          <w:iCs/>
          <w:color w:val="auto"/>
          <w:sz w:val="16"/>
          <w:szCs w:val="16"/>
        </w:rPr>
        <w:t xml:space="preserve">KPI-6: </w:t>
      </w:r>
      <w:r w:rsidRPr="004A1D1B">
        <w:rPr>
          <w:rFonts w:cstheme="minorHAnsi"/>
          <w:iCs/>
          <w:color w:val="auto"/>
          <w:sz w:val="16"/>
          <w:szCs w:val="16"/>
        </w:rPr>
        <w:t>Continuous fuel flow supplied to the system during peak power / climb (15 minutes) and conventional operation of the aircraft (cruise- few hours), defined in kg/hr. A similar KPI may be set for turbine aircraft, as soon as the exact configuration is defined within Clean Aviation</w:t>
      </w:r>
      <w:bookmarkStart w:id="319" w:name="_Toc70088069"/>
      <w:r w:rsidR="00D46C9B">
        <w:rPr>
          <w:rStyle w:val="MAWPTitle"/>
          <w:lang w:val="en-GB"/>
        </w:rPr>
        <w:br w:type="page"/>
      </w:r>
    </w:p>
    <w:p w14:paraId="78A3DBB8" w14:textId="1283DC07" w:rsidR="009D0C2E" w:rsidRPr="00B364CB" w:rsidRDefault="009D0C2E" w:rsidP="009D0C2E">
      <w:pPr>
        <w:pStyle w:val="Heading11"/>
        <w:keepNext/>
        <w:keepLines/>
        <w:shd w:val="clear" w:color="auto" w:fill="auto"/>
        <w:spacing w:line="276" w:lineRule="auto"/>
        <w:jc w:val="left"/>
        <w:rPr>
          <w:rStyle w:val="MAWPTitle"/>
          <w:lang w:val="en-GB"/>
        </w:rPr>
      </w:pPr>
      <w:bookmarkStart w:id="320" w:name="_Toc93907388"/>
      <w:r w:rsidRPr="00B364CB">
        <w:rPr>
          <w:rStyle w:val="MAWPTitle"/>
          <w:lang w:val="en-GB"/>
        </w:rPr>
        <w:lastRenderedPageBreak/>
        <w:t>Annex 5 - State-of-the-art and future targets – Hydrogen end use: stationary applications</w:t>
      </w:r>
      <w:bookmarkEnd w:id="319"/>
      <w:bookmarkEnd w:id="320"/>
    </w:p>
    <w:p w14:paraId="41312771" w14:textId="77777777" w:rsidR="009D0C2E" w:rsidRPr="00B364CB" w:rsidRDefault="009D0C2E" w:rsidP="009D0C2E">
      <w:pPr>
        <w:pStyle w:val="MAWP-Bodytext"/>
        <w:rPr>
          <w:highlight w:val="yellow"/>
          <w:lang w:bidi="sv-SE"/>
        </w:rPr>
      </w:pPr>
    </w:p>
    <w:p w14:paraId="15C2EECC" w14:textId="09C2F6A5" w:rsidR="009D0C2E" w:rsidRPr="00B364CB" w:rsidRDefault="009D0C2E" w:rsidP="009D0C2E">
      <w:pPr>
        <w:pStyle w:val="Caption"/>
        <w:rPr>
          <w:sz w:val="24"/>
        </w:rPr>
      </w:pPr>
      <w:bookmarkStart w:id="321" w:name="_Ref55477300"/>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20</w:t>
      </w:r>
      <w:r w:rsidRPr="00B364CB">
        <w:rPr>
          <w:sz w:val="24"/>
        </w:rPr>
        <w:fldChar w:fldCharType="end"/>
      </w:r>
      <w:bookmarkEnd w:id="321"/>
      <w:r w:rsidRPr="00B364CB">
        <w:rPr>
          <w:sz w:val="24"/>
        </w:rPr>
        <w:t>: KPIs for SO stationary fuel cells (SOFC)</w:t>
      </w:r>
    </w:p>
    <w:tbl>
      <w:tblPr>
        <w:tblpPr w:leftFromText="180" w:rightFromText="180" w:vertAnchor="text" w:tblpY="1"/>
        <w:tblOverlap w:val="never"/>
        <w:tblW w:w="5000" w:type="pct"/>
        <w:tblLayout w:type="fixed"/>
        <w:tblLook w:val="04A0" w:firstRow="1" w:lastRow="0" w:firstColumn="1" w:lastColumn="0" w:noHBand="0" w:noVBand="1"/>
      </w:tblPr>
      <w:tblGrid>
        <w:gridCol w:w="558"/>
        <w:gridCol w:w="1785"/>
        <w:gridCol w:w="7"/>
        <w:gridCol w:w="1464"/>
        <w:gridCol w:w="1704"/>
        <w:gridCol w:w="1235"/>
        <w:gridCol w:w="1176"/>
        <w:gridCol w:w="1176"/>
      </w:tblGrid>
      <w:tr w:rsidR="009D0C2E" w:rsidRPr="00B364CB" w14:paraId="5789C91A" w14:textId="77777777" w:rsidTr="001D12AA">
        <w:trPr>
          <w:trHeight w:val="345"/>
        </w:trPr>
        <w:tc>
          <w:tcPr>
            <w:tcW w:w="306" w:type="pct"/>
            <w:vMerge w:val="restart"/>
            <w:tcBorders>
              <w:top w:val="single" w:sz="4" w:space="0" w:color="auto"/>
              <w:left w:val="single" w:sz="8" w:space="0" w:color="000000"/>
              <w:right w:val="single" w:sz="8" w:space="0" w:color="000000"/>
            </w:tcBorders>
            <w:shd w:val="clear" w:color="auto" w:fill="BFBFBF" w:themeFill="background1" w:themeFillShade="BF"/>
            <w:vAlign w:val="center"/>
            <w:hideMark/>
          </w:tcPr>
          <w:p w14:paraId="724FCC4B"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No</w:t>
            </w:r>
          </w:p>
        </w:tc>
        <w:tc>
          <w:tcPr>
            <w:tcW w:w="1788" w:type="pct"/>
            <w:gridSpan w:val="3"/>
            <w:vMerge w:val="restart"/>
            <w:tcBorders>
              <w:top w:val="single" w:sz="4" w:space="0" w:color="auto"/>
              <w:left w:val="nil"/>
              <w:right w:val="single" w:sz="8" w:space="0" w:color="000000"/>
            </w:tcBorders>
            <w:shd w:val="clear" w:color="auto" w:fill="BFBFBF" w:themeFill="background1" w:themeFillShade="BF"/>
            <w:vAlign w:val="center"/>
            <w:hideMark/>
          </w:tcPr>
          <w:p w14:paraId="7A5D3E52"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Parameter</w:t>
            </w:r>
          </w:p>
        </w:tc>
        <w:tc>
          <w:tcPr>
            <w:tcW w:w="936" w:type="pct"/>
            <w:vMerge w:val="restart"/>
            <w:tcBorders>
              <w:top w:val="single" w:sz="4" w:space="0" w:color="auto"/>
              <w:left w:val="nil"/>
              <w:right w:val="single" w:sz="8" w:space="0" w:color="000000"/>
            </w:tcBorders>
            <w:shd w:val="clear" w:color="auto" w:fill="BFBFBF" w:themeFill="background1" w:themeFillShade="BF"/>
            <w:vAlign w:val="center"/>
            <w:hideMark/>
          </w:tcPr>
          <w:p w14:paraId="662CD157" w14:textId="77777777" w:rsidR="009D0C2E" w:rsidRPr="00B364CB" w:rsidRDefault="009D0C2E" w:rsidP="009D0C2E">
            <w:pPr>
              <w:widowControl/>
              <w:jc w:val="center"/>
              <w:rPr>
                <w:rFonts w:cs="Arial"/>
                <w:i/>
                <w:iCs/>
                <w:sz w:val="20"/>
                <w:szCs w:val="20"/>
                <w:lang w:eastAsia="en-GB" w:bidi="ar-SA"/>
              </w:rPr>
            </w:pPr>
            <w:r w:rsidRPr="00B364CB">
              <w:rPr>
                <w:rFonts w:cs="Arial"/>
                <w:b/>
                <w:bCs/>
                <w:sz w:val="20"/>
                <w:szCs w:val="20"/>
                <w:lang w:eastAsia="en-GB" w:bidi="ar-SA"/>
              </w:rPr>
              <w:t>Unit</w:t>
            </w:r>
          </w:p>
        </w:tc>
        <w:tc>
          <w:tcPr>
            <w:tcW w:w="678" w:type="pct"/>
            <w:tcBorders>
              <w:top w:val="single" w:sz="4" w:space="0" w:color="auto"/>
              <w:left w:val="nil"/>
              <w:bottom w:val="single" w:sz="8" w:space="0" w:color="000000"/>
              <w:right w:val="single" w:sz="8" w:space="0" w:color="000000"/>
            </w:tcBorders>
            <w:shd w:val="clear" w:color="auto" w:fill="BFBFBF" w:themeFill="background1" w:themeFillShade="BF"/>
            <w:vAlign w:val="center"/>
            <w:hideMark/>
          </w:tcPr>
          <w:p w14:paraId="6067D2B1"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291" w:type="pct"/>
            <w:gridSpan w:val="2"/>
            <w:tcBorders>
              <w:top w:val="single" w:sz="4" w:space="0" w:color="auto"/>
              <w:left w:val="nil"/>
              <w:bottom w:val="single" w:sz="8" w:space="0" w:color="000000"/>
              <w:right w:val="single" w:sz="12" w:space="0" w:color="auto"/>
            </w:tcBorders>
            <w:shd w:val="clear" w:color="auto" w:fill="BFBFBF" w:themeFill="background1" w:themeFillShade="BF"/>
            <w:vAlign w:val="center"/>
            <w:hideMark/>
          </w:tcPr>
          <w:p w14:paraId="0A0AB336"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33040C5D" w14:textId="77777777" w:rsidTr="001D12AA">
        <w:trPr>
          <w:trHeight w:val="449"/>
        </w:trPr>
        <w:tc>
          <w:tcPr>
            <w:tcW w:w="306" w:type="pct"/>
            <w:vMerge/>
            <w:tcBorders>
              <w:left w:val="single" w:sz="8" w:space="0" w:color="000000"/>
              <w:bottom w:val="single" w:sz="8" w:space="0" w:color="000000"/>
              <w:right w:val="single" w:sz="8" w:space="0" w:color="000000"/>
            </w:tcBorders>
            <w:shd w:val="clear" w:color="auto" w:fill="BFBFBF" w:themeFill="background1" w:themeFillShade="BF"/>
            <w:vAlign w:val="center"/>
            <w:hideMark/>
          </w:tcPr>
          <w:p w14:paraId="5BF4C3E9" w14:textId="77777777" w:rsidR="009D0C2E" w:rsidRPr="00B364CB" w:rsidRDefault="009D0C2E" w:rsidP="009D0C2E">
            <w:pPr>
              <w:widowControl/>
              <w:jc w:val="center"/>
              <w:rPr>
                <w:rFonts w:cs="Arial"/>
                <w:b/>
                <w:bCs/>
                <w:sz w:val="20"/>
                <w:szCs w:val="20"/>
                <w:lang w:eastAsia="en-GB" w:bidi="ar-SA"/>
              </w:rPr>
            </w:pPr>
          </w:p>
        </w:tc>
        <w:tc>
          <w:tcPr>
            <w:tcW w:w="1788" w:type="pct"/>
            <w:gridSpan w:val="3"/>
            <w:vMerge/>
            <w:tcBorders>
              <w:left w:val="nil"/>
              <w:bottom w:val="single" w:sz="8" w:space="0" w:color="000000"/>
              <w:right w:val="single" w:sz="8" w:space="0" w:color="000000"/>
            </w:tcBorders>
            <w:shd w:val="clear" w:color="auto" w:fill="BFBFBF" w:themeFill="background1" w:themeFillShade="BF"/>
            <w:vAlign w:val="center"/>
            <w:hideMark/>
          </w:tcPr>
          <w:p w14:paraId="580C96D6" w14:textId="77777777" w:rsidR="009D0C2E" w:rsidRPr="00B364CB" w:rsidRDefault="009D0C2E" w:rsidP="009D0C2E">
            <w:pPr>
              <w:widowControl/>
              <w:jc w:val="center"/>
              <w:rPr>
                <w:rFonts w:cs="Arial"/>
                <w:b/>
                <w:bCs/>
                <w:sz w:val="20"/>
                <w:szCs w:val="20"/>
                <w:lang w:eastAsia="en-GB" w:bidi="ar-SA"/>
              </w:rPr>
            </w:pPr>
          </w:p>
        </w:tc>
        <w:tc>
          <w:tcPr>
            <w:tcW w:w="936" w:type="pct"/>
            <w:vMerge/>
            <w:tcBorders>
              <w:left w:val="nil"/>
              <w:bottom w:val="single" w:sz="8" w:space="0" w:color="000000"/>
              <w:right w:val="single" w:sz="8" w:space="0" w:color="000000"/>
            </w:tcBorders>
            <w:shd w:val="clear" w:color="auto" w:fill="BFBFBF" w:themeFill="background1" w:themeFillShade="BF"/>
            <w:vAlign w:val="center"/>
            <w:hideMark/>
          </w:tcPr>
          <w:p w14:paraId="76037DBC" w14:textId="77777777" w:rsidR="009D0C2E" w:rsidRPr="00B364CB" w:rsidRDefault="009D0C2E" w:rsidP="009D0C2E">
            <w:pPr>
              <w:widowControl/>
              <w:jc w:val="center"/>
              <w:rPr>
                <w:rFonts w:cs="Arial"/>
                <w:b/>
                <w:bCs/>
                <w:sz w:val="20"/>
                <w:szCs w:val="20"/>
                <w:lang w:eastAsia="en-GB" w:bidi="ar-SA"/>
              </w:rPr>
            </w:pPr>
          </w:p>
        </w:tc>
        <w:tc>
          <w:tcPr>
            <w:tcW w:w="678" w:type="pct"/>
            <w:tcBorders>
              <w:top w:val="nil"/>
              <w:left w:val="nil"/>
              <w:bottom w:val="single" w:sz="8" w:space="0" w:color="000000"/>
              <w:right w:val="single" w:sz="8" w:space="0" w:color="000000"/>
            </w:tcBorders>
            <w:shd w:val="clear" w:color="auto" w:fill="BFBFBF" w:themeFill="background1" w:themeFillShade="BF"/>
            <w:vAlign w:val="center"/>
            <w:hideMark/>
          </w:tcPr>
          <w:p w14:paraId="7EFB8802"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646" w:type="pct"/>
            <w:tcBorders>
              <w:top w:val="nil"/>
              <w:left w:val="nil"/>
              <w:bottom w:val="single" w:sz="8" w:space="0" w:color="000000"/>
              <w:right w:val="single" w:sz="8" w:space="0" w:color="000000"/>
            </w:tcBorders>
            <w:shd w:val="clear" w:color="auto" w:fill="BFBFBF" w:themeFill="background1" w:themeFillShade="BF"/>
            <w:vAlign w:val="center"/>
            <w:hideMark/>
          </w:tcPr>
          <w:p w14:paraId="129DB887"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645" w:type="pct"/>
            <w:tcBorders>
              <w:top w:val="nil"/>
              <w:left w:val="nil"/>
              <w:bottom w:val="single" w:sz="8" w:space="0" w:color="000000"/>
              <w:right w:val="single" w:sz="8" w:space="0" w:color="000000"/>
            </w:tcBorders>
            <w:shd w:val="clear" w:color="auto" w:fill="BFBFBF" w:themeFill="background1" w:themeFillShade="BF"/>
            <w:vAlign w:val="center"/>
            <w:hideMark/>
          </w:tcPr>
          <w:p w14:paraId="47BCDA00"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6D1578EA" w14:textId="77777777" w:rsidTr="00120F40">
        <w:trPr>
          <w:trHeight w:val="44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D5B27DF" w14:textId="77777777" w:rsidR="009D0C2E" w:rsidRPr="00B364CB" w:rsidRDefault="009D0C2E" w:rsidP="009D0C2E">
            <w:pPr>
              <w:widowControl/>
              <w:jc w:val="center"/>
              <w:rPr>
                <w:rFonts w:cs="Arial"/>
                <w:b/>
                <w:sz w:val="20"/>
                <w:szCs w:val="20"/>
                <w:lang w:eastAsia="en-GB" w:bidi="ar-SA"/>
              </w:rPr>
            </w:pPr>
            <w:r w:rsidRPr="00B364CB">
              <w:rPr>
                <w:rFonts w:cs="Arial"/>
                <w:b/>
                <w:sz w:val="20"/>
                <w:szCs w:val="20"/>
                <w:lang w:eastAsia="en-GB" w:bidi="ar-SA"/>
              </w:rPr>
              <w:t>System</w:t>
            </w:r>
          </w:p>
        </w:tc>
      </w:tr>
      <w:tr w:rsidR="009D0C2E" w:rsidRPr="00B364CB" w14:paraId="1DBBBDB8" w14:textId="77777777" w:rsidTr="001D12AA">
        <w:trPr>
          <w:trHeight w:val="160"/>
        </w:trPr>
        <w:tc>
          <w:tcPr>
            <w:tcW w:w="306" w:type="pct"/>
            <w:vMerge w:val="restart"/>
            <w:tcBorders>
              <w:top w:val="single" w:sz="8" w:space="0" w:color="000000"/>
              <w:left w:val="single" w:sz="8" w:space="0" w:color="000000"/>
              <w:right w:val="single" w:sz="8" w:space="0" w:color="000000"/>
            </w:tcBorders>
            <w:shd w:val="clear" w:color="auto" w:fill="auto"/>
            <w:vAlign w:val="center"/>
            <w:hideMark/>
          </w:tcPr>
          <w:p w14:paraId="6BCCA037" w14:textId="77777777" w:rsidR="009D0C2E" w:rsidRPr="00B364CB" w:rsidRDefault="009D0C2E" w:rsidP="009D0C2E">
            <w:pPr>
              <w:widowControl/>
              <w:jc w:val="center"/>
              <w:rPr>
                <w:rFonts w:cs="Arial"/>
                <w:bCs/>
                <w:sz w:val="20"/>
                <w:szCs w:val="20"/>
                <w:lang w:eastAsia="en-GB" w:bidi="ar-SA"/>
              </w:rPr>
            </w:pPr>
            <w:r w:rsidRPr="00B364CB">
              <w:rPr>
                <w:rFonts w:cs="Arial"/>
                <w:sz w:val="20"/>
                <w:szCs w:val="20"/>
                <w:lang w:eastAsia="en-GB" w:bidi="ar-SA"/>
              </w:rPr>
              <w:t>1</w:t>
            </w:r>
          </w:p>
        </w:tc>
        <w:tc>
          <w:tcPr>
            <w:tcW w:w="980" w:type="pct"/>
            <w:vMerge w:val="restart"/>
            <w:tcBorders>
              <w:top w:val="single" w:sz="8" w:space="0" w:color="000000"/>
              <w:left w:val="nil"/>
              <w:right w:val="single" w:sz="8" w:space="0" w:color="000000"/>
            </w:tcBorders>
            <w:shd w:val="clear" w:color="auto" w:fill="auto"/>
            <w:vAlign w:val="center"/>
          </w:tcPr>
          <w:p w14:paraId="242B5DE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CAPEX</w:t>
            </w:r>
          </w:p>
        </w:tc>
        <w:tc>
          <w:tcPr>
            <w:tcW w:w="808" w:type="pct"/>
            <w:gridSpan w:val="2"/>
            <w:tcBorders>
              <w:top w:val="single" w:sz="8" w:space="0" w:color="000000"/>
              <w:left w:val="nil"/>
              <w:right w:val="single" w:sz="8" w:space="0" w:color="000000"/>
            </w:tcBorders>
            <w:shd w:val="clear" w:color="auto" w:fill="auto"/>
          </w:tcPr>
          <w:p w14:paraId="2EBD835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&lt;5 kWe</w:t>
            </w:r>
          </w:p>
        </w:tc>
        <w:tc>
          <w:tcPr>
            <w:tcW w:w="936" w:type="pct"/>
            <w:vMerge w:val="restart"/>
            <w:tcBorders>
              <w:top w:val="single" w:sz="8" w:space="0" w:color="000000"/>
              <w:left w:val="nil"/>
              <w:right w:val="single" w:sz="8" w:space="0" w:color="000000"/>
            </w:tcBorders>
            <w:shd w:val="clear" w:color="auto" w:fill="auto"/>
            <w:vAlign w:val="center"/>
          </w:tcPr>
          <w:p w14:paraId="37646B1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w:t>
            </w:r>
          </w:p>
        </w:tc>
        <w:tc>
          <w:tcPr>
            <w:tcW w:w="678" w:type="pct"/>
            <w:vMerge w:val="restart"/>
            <w:tcBorders>
              <w:top w:val="single" w:sz="8" w:space="0" w:color="000000"/>
              <w:left w:val="nil"/>
              <w:right w:val="single" w:sz="8" w:space="0" w:color="000000"/>
            </w:tcBorders>
            <w:shd w:val="clear" w:color="auto" w:fill="auto"/>
            <w:vAlign w:val="center"/>
          </w:tcPr>
          <w:p w14:paraId="226CF39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10,000</w:t>
            </w:r>
          </w:p>
          <w:p w14:paraId="48CA0EC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10,000</w:t>
            </w:r>
          </w:p>
          <w:p w14:paraId="0AA6764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10,000</w:t>
            </w:r>
          </w:p>
        </w:tc>
        <w:tc>
          <w:tcPr>
            <w:tcW w:w="646" w:type="pct"/>
            <w:tcBorders>
              <w:top w:val="single" w:sz="8" w:space="0" w:color="000000"/>
              <w:left w:val="nil"/>
              <w:right w:val="single" w:sz="8" w:space="0" w:color="000000"/>
            </w:tcBorders>
            <w:shd w:val="clear" w:color="auto" w:fill="auto"/>
            <w:vAlign w:val="center"/>
          </w:tcPr>
          <w:p w14:paraId="2F13AD20"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6,000</w:t>
            </w:r>
          </w:p>
        </w:tc>
        <w:tc>
          <w:tcPr>
            <w:tcW w:w="645" w:type="pct"/>
            <w:tcBorders>
              <w:top w:val="single" w:sz="8" w:space="0" w:color="000000"/>
              <w:left w:val="nil"/>
              <w:right w:val="single" w:sz="8" w:space="0" w:color="000000"/>
            </w:tcBorders>
            <w:shd w:val="clear" w:color="auto" w:fill="auto"/>
            <w:vAlign w:val="center"/>
          </w:tcPr>
          <w:p w14:paraId="20E574B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3,500</w:t>
            </w:r>
          </w:p>
        </w:tc>
      </w:tr>
      <w:tr w:rsidR="009D0C2E" w:rsidRPr="00B364CB" w14:paraId="1302E6FB" w14:textId="77777777" w:rsidTr="001D12AA">
        <w:trPr>
          <w:trHeight w:val="160"/>
        </w:trPr>
        <w:tc>
          <w:tcPr>
            <w:tcW w:w="306" w:type="pct"/>
            <w:vMerge/>
            <w:tcBorders>
              <w:left w:val="single" w:sz="8" w:space="0" w:color="000000"/>
              <w:right w:val="single" w:sz="8" w:space="0" w:color="000000"/>
            </w:tcBorders>
            <w:shd w:val="clear" w:color="auto" w:fill="auto"/>
            <w:vAlign w:val="center"/>
          </w:tcPr>
          <w:p w14:paraId="4669ED85" w14:textId="77777777" w:rsidR="009D0C2E" w:rsidRPr="00B364CB" w:rsidRDefault="009D0C2E" w:rsidP="009D0C2E">
            <w:pPr>
              <w:widowControl/>
              <w:jc w:val="center"/>
              <w:rPr>
                <w:rFonts w:cs="Arial"/>
                <w:sz w:val="20"/>
                <w:szCs w:val="20"/>
                <w:lang w:eastAsia="en-GB" w:bidi="ar-SA"/>
              </w:rPr>
            </w:pPr>
          </w:p>
        </w:tc>
        <w:tc>
          <w:tcPr>
            <w:tcW w:w="980" w:type="pct"/>
            <w:vMerge/>
            <w:tcBorders>
              <w:left w:val="nil"/>
              <w:right w:val="single" w:sz="8" w:space="0" w:color="000000"/>
            </w:tcBorders>
            <w:shd w:val="clear" w:color="auto" w:fill="auto"/>
            <w:vAlign w:val="center"/>
          </w:tcPr>
          <w:p w14:paraId="68C9F190" w14:textId="77777777" w:rsidR="009D0C2E" w:rsidRPr="00B364CB" w:rsidRDefault="009D0C2E" w:rsidP="009D0C2E">
            <w:pPr>
              <w:widowControl/>
              <w:jc w:val="center"/>
              <w:rPr>
                <w:rFonts w:cs="Arial"/>
                <w:sz w:val="20"/>
                <w:szCs w:val="20"/>
                <w:lang w:eastAsia="en-GB" w:bidi="ar-SA"/>
              </w:rPr>
            </w:pPr>
          </w:p>
        </w:tc>
        <w:tc>
          <w:tcPr>
            <w:tcW w:w="808" w:type="pct"/>
            <w:gridSpan w:val="2"/>
            <w:tcBorders>
              <w:top w:val="nil"/>
              <w:left w:val="nil"/>
              <w:right w:val="single" w:sz="8" w:space="0" w:color="000000"/>
            </w:tcBorders>
            <w:shd w:val="clear" w:color="auto" w:fill="auto"/>
          </w:tcPr>
          <w:p w14:paraId="264510E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5-50 kWe</w:t>
            </w:r>
          </w:p>
        </w:tc>
        <w:tc>
          <w:tcPr>
            <w:tcW w:w="936" w:type="pct"/>
            <w:vMerge/>
            <w:tcBorders>
              <w:left w:val="nil"/>
              <w:right w:val="single" w:sz="8" w:space="0" w:color="000000"/>
            </w:tcBorders>
            <w:shd w:val="clear" w:color="auto" w:fill="auto"/>
            <w:vAlign w:val="center"/>
          </w:tcPr>
          <w:p w14:paraId="42A57356" w14:textId="77777777" w:rsidR="009D0C2E" w:rsidRPr="00B364CB" w:rsidRDefault="009D0C2E" w:rsidP="009D0C2E">
            <w:pPr>
              <w:widowControl/>
              <w:jc w:val="center"/>
              <w:rPr>
                <w:rFonts w:cs="Arial"/>
                <w:sz w:val="20"/>
                <w:szCs w:val="20"/>
                <w:lang w:eastAsia="en-GB" w:bidi="ar-SA"/>
              </w:rPr>
            </w:pPr>
          </w:p>
        </w:tc>
        <w:tc>
          <w:tcPr>
            <w:tcW w:w="678" w:type="pct"/>
            <w:vMerge/>
            <w:tcBorders>
              <w:left w:val="nil"/>
              <w:right w:val="single" w:sz="8" w:space="0" w:color="000000"/>
            </w:tcBorders>
            <w:shd w:val="clear" w:color="auto" w:fill="auto"/>
            <w:vAlign w:val="center"/>
          </w:tcPr>
          <w:p w14:paraId="60467DC9" w14:textId="77777777" w:rsidR="009D0C2E" w:rsidRPr="00B364CB" w:rsidRDefault="009D0C2E" w:rsidP="009D0C2E">
            <w:pPr>
              <w:widowControl/>
              <w:jc w:val="center"/>
              <w:rPr>
                <w:rFonts w:cs="Arial"/>
                <w:sz w:val="20"/>
                <w:szCs w:val="20"/>
                <w:lang w:eastAsia="en-GB" w:bidi="ar-SA"/>
              </w:rPr>
            </w:pPr>
          </w:p>
        </w:tc>
        <w:tc>
          <w:tcPr>
            <w:tcW w:w="646" w:type="pct"/>
            <w:tcBorders>
              <w:top w:val="nil"/>
              <w:left w:val="nil"/>
              <w:right w:val="single" w:sz="8" w:space="0" w:color="000000"/>
            </w:tcBorders>
            <w:shd w:val="clear" w:color="auto" w:fill="auto"/>
            <w:vAlign w:val="center"/>
          </w:tcPr>
          <w:p w14:paraId="0B54762B"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5,000</w:t>
            </w:r>
          </w:p>
        </w:tc>
        <w:tc>
          <w:tcPr>
            <w:tcW w:w="645" w:type="pct"/>
            <w:tcBorders>
              <w:top w:val="nil"/>
              <w:left w:val="nil"/>
              <w:right w:val="single" w:sz="8" w:space="0" w:color="000000"/>
            </w:tcBorders>
            <w:shd w:val="clear" w:color="auto" w:fill="auto"/>
            <w:vAlign w:val="center"/>
          </w:tcPr>
          <w:p w14:paraId="4246038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2,500</w:t>
            </w:r>
          </w:p>
        </w:tc>
      </w:tr>
      <w:tr w:rsidR="009D0C2E" w:rsidRPr="00B364CB" w14:paraId="09EB008D" w14:textId="77777777" w:rsidTr="001D12AA">
        <w:trPr>
          <w:trHeight w:val="160"/>
        </w:trPr>
        <w:tc>
          <w:tcPr>
            <w:tcW w:w="306" w:type="pct"/>
            <w:vMerge/>
            <w:tcBorders>
              <w:left w:val="single" w:sz="8" w:space="0" w:color="000000"/>
              <w:bottom w:val="single" w:sz="8" w:space="0" w:color="000000"/>
              <w:right w:val="single" w:sz="8" w:space="0" w:color="000000"/>
            </w:tcBorders>
            <w:shd w:val="clear" w:color="auto" w:fill="auto"/>
            <w:vAlign w:val="center"/>
          </w:tcPr>
          <w:p w14:paraId="7163EBD8" w14:textId="77777777" w:rsidR="009D0C2E" w:rsidRPr="00B364CB" w:rsidRDefault="009D0C2E" w:rsidP="009D0C2E">
            <w:pPr>
              <w:widowControl/>
              <w:jc w:val="center"/>
              <w:rPr>
                <w:rFonts w:cs="Arial"/>
                <w:sz w:val="20"/>
                <w:szCs w:val="20"/>
                <w:lang w:eastAsia="en-GB" w:bidi="ar-SA"/>
              </w:rPr>
            </w:pPr>
          </w:p>
        </w:tc>
        <w:tc>
          <w:tcPr>
            <w:tcW w:w="980" w:type="pct"/>
            <w:vMerge/>
            <w:tcBorders>
              <w:left w:val="nil"/>
              <w:bottom w:val="single" w:sz="8" w:space="0" w:color="000000"/>
              <w:right w:val="single" w:sz="8" w:space="0" w:color="000000"/>
            </w:tcBorders>
            <w:shd w:val="clear" w:color="auto" w:fill="auto"/>
            <w:vAlign w:val="center"/>
          </w:tcPr>
          <w:p w14:paraId="215BB44F" w14:textId="77777777" w:rsidR="009D0C2E" w:rsidRPr="00B364CB" w:rsidRDefault="009D0C2E" w:rsidP="009D0C2E">
            <w:pPr>
              <w:widowControl/>
              <w:jc w:val="center"/>
              <w:rPr>
                <w:rFonts w:cs="Arial"/>
                <w:sz w:val="20"/>
                <w:szCs w:val="20"/>
                <w:lang w:eastAsia="en-GB" w:bidi="ar-SA"/>
              </w:rPr>
            </w:pPr>
          </w:p>
        </w:tc>
        <w:tc>
          <w:tcPr>
            <w:tcW w:w="808" w:type="pct"/>
            <w:gridSpan w:val="2"/>
            <w:tcBorders>
              <w:top w:val="nil"/>
              <w:left w:val="nil"/>
              <w:bottom w:val="single" w:sz="8" w:space="0" w:color="000000"/>
              <w:right w:val="single" w:sz="8" w:space="0" w:color="000000"/>
            </w:tcBorders>
            <w:shd w:val="clear" w:color="auto" w:fill="auto"/>
          </w:tcPr>
          <w:p w14:paraId="5620F17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51-500 kWe</w:t>
            </w:r>
          </w:p>
        </w:tc>
        <w:tc>
          <w:tcPr>
            <w:tcW w:w="936" w:type="pct"/>
            <w:vMerge/>
            <w:tcBorders>
              <w:left w:val="nil"/>
              <w:bottom w:val="single" w:sz="8" w:space="0" w:color="000000"/>
              <w:right w:val="single" w:sz="8" w:space="0" w:color="000000"/>
            </w:tcBorders>
            <w:shd w:val="clear" w:color="auto" w:fill="auto"/>
            <w:vAlign w:val="center"/>
          </w:tcPr>
          <w:p w14:paraId="48DC8054" w14:textId="77777777" w:rsidR="009D0C2E" w:rsidRPr="00B364CB" w:rsidRDefault="009D0C2E" w:rsidP="009D0C2E">
            <w:pPr>
              <w:widowControl/>
              <w:jc w:val="center"/>
              <w:rPr>
                <w:rFonts w:cs="Arial"/>
                <w:sz w:val="20"/>
                <w:szCs w:val="20"/>
                <w:lang w:eastAsia="en-GB" w:bidi="ar-SA"/>
              </w:rPr>
            </w:pPr>
          </w:p>
        </w:tc>
        <w:tc>
          <w:tcPr>
            <w:tcW w:w="678" w:type="pct"/>
            <w:vMerge/>
            <w:tcBorders>
              <w:left w:val="nil"/>
              <w:bottom w:val="single" w:sz="8" w:space="0" w:color="000000"/>
              <w:right w:val="single" w:sz="8" w:space="0" w:color="000000"/>
            </w:tcBorders>
            <w:shd w:val="clear" w:color="auto" w:fill="auto"/>
            <w:vAlign w:val="center"/>
          </w:tcPr>
          <w:p w14:paraId="4E33FA65" w14:textId="77777777" w:rsidR="009D0C2E" w:rsidRPr="00B364CB" w:rsidRDefault="009D0C2E" w:rsidP="009D0C2E">
            <w:pPr>
              <w:widowControl/>
              <w:jc w:val="center"/>
              <w:rPr>
                <w:rFonts w:cs="Arial"/>
                <w:sz w:val="20"/>
                <w:szCs w:val="20"/>
                <w:lang w:eastAsia="en-GB" w:bidi="ar-SA"/>
              </w:rPr>
            </w:pPr>
          </w:p>
        </w:tc>
        <w:tc>
          <w:tcPr>
            <w:tcW w:w="646" w:type="pct"/>
            <w:tcBorders>
              <w:top w:val="nil"/>
              <w:left w:val="nil"/>
              <w:bottom w:val="single" w:sz="8" w:space="0" w:color="000000"/>
              <w:right w:val="single" w:sz="8" w:space="0" w:color="000000"/>
            </w:tcBorders>
            <w:shd w:val="clear" w:color="auto" w:fill="auto"/>
            <w:vAlign w:val="center"/>
          </w:tcPr>
          <w:p w14:paraId="3B19D367" w14:textId="77777777" w:rsidR="009D0C2E" w:rsidRPr="00B364CB" w:rsidRDefault="009D0C2E" w:rsidP="009D0C2E">
            <w:pPr>
              <w:widowControl/>
              <w:jc w:val="center"/>
              <w:rPr>
                <w:rFonts w:cs="Arial"/>
                <w:sz w:val="20"/>
                <w:szCs w:val="20"/>
                <w:lang w:eastAsia="en-GB" w:bidi="ar-SA"/>
              </w:rPr>
            </w:pPr>
            <w:r>
              <w:rPr>
                <w:rFonts w:cs="Arial"/>
                <w:sz w:val="20"/>
                <w:szCs w:val="20"/>
                <w:lang w:eastAsia="en-GB" w:bidi="ar-SA"/>
              </w:rPr>
              <w:t>5,000</w:t>
            </w:r>
          </w:p>
        </w:tc>
        <w:tc>
          <w:tcPr>
            <w:tcW w:w="645" w:type="pct"/>
            <w:tcBorders>
              <w:top w:val="nil"/>
              <w:left w:val="nil"/>
              <w:bottom w:val="single" w:sz="8" w:space="0" w:color="000000"/>
              <w:right w:val="single" w:sz="8" w:space="0" w:color="000000"/>
            </w:tcBorders>
            <w:shd w:val="clear" w:color="auto" w:fill="auto"/>
            <w:vAlign w:val="center"/>
          </w:tcPr>
          <w:p w14:paraId="68CFE0A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2,000</w:t>
            </w:r>
          </w:p>
        </w:tc>
      </w:tr>
      <w:tr w:rsidR="009D0C2E" w:rsidRPr="00B364CB" w14:paraId="7B3740E5" w14:textId="77777777" w:rsidTr="001D12AA">
        <w:trPr>
          <w:trHeight w:val="160"/>
        </w:trPr>
        <w:tc>
          <w:tcPr>
            <w:tcW w:w="306" w:type="pct"/>
            <w:vMerge w:val="restart"/>
            <w:tcBorders>
              <w:top w:val="single" w:sz="8" w:space="0" w:color="000000"/>
              <w:left w:val="single" w:sz="8" w:space="0" w:color="000000"/>
              <w:right w:val="single" w:sz="8" w:space="0" w:color="000000"/>
            </w:tcBorders>
            <w:shd w:val="clear" w:color="auto" w:fill="auto"/>
            <w:vAlign w:val="center"/>
            <w:hideMark/>
          </w:tcPr>
          <w:p w14:paraId="1780E170" w14:textId="77777777" w:rsidR="009D0C2E" w:rsidRPr="00B364CB" w:rsidRDefault="009D0C2E" w:rsidP="009D0C2E">
            <w:pPr>
              <w:widowControl/>
              <w:jc w:val="center"/>
              <w:rPr>
                <w:rFonts w:cs="Arial"/>
                <w:bCs/>
                <w:sz w:val="20"/>
                <w:szCs w:val="20"/>
                <w:lang w:eastAsia="en-GB" w:bidi="ar-SA"/>
              </w:rPr>
            </w:pPr>
            <w:r w:rsidRPr="00B364CB">
              <w:rPr>
                <w:rFonts w:cs="Arial"/>
                <w:sz w:val="20"/>
                <w:szCs w:val="20"/>
                <w:lang w:eastAsia="en-GB" w:bidi="ar-SA"/>
              </w:rPr>
              <w:t>2</w:t>
            </w:r>
          </w:p>
        </w:tc>
        <w:tc>
          <w:tcPr>
            <w:tcW w:w="980" w:type="pct"/>
            <w:vMerge w:val="restart"/>
            <w:tcBorders>
              <w:top w:val="single" w:sz="8" w:space="0" w:color="000000"/>
              <w:left w:val="nil"/>
              <w:right w:val="single" w:sz="8" w:space="0" w:color="000000"/>
            </w:tcBorders>
            <w:shd w:val="clear" w:color="auto" w:fill="auto"/>
            <w:vAlign w:val="center"/>
          </w:tcPr>
          <w:p w14:paraId="465552B7"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 xml:space="preserve">O&amp;M cost </w:t>
            </w:r>
          </w:p>
        </w:tc>
        <w:tc>
          <w:tcPr>
            <w:tcW w:w="808" w:type="pct"/>
            <w:gridSpan w:val="2"/>
            <w:tcBorders>
              <w:top w:val="single" w:sz="8" w:space="0" w:color="000000"/>
              <w:left w:val="nil"/>
              <w:right w:val="single" w:sz="8" w:space="0" w:color="000000"/>
            </w:tcBorders>
            <w:shd w:val="clear" w:color="auto" w:fill="auto"/>
            <w:vAlign w:val="center"/>
          </w:tcPr>
          <w:p w14:paraId="525305D4"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&lt;5 kWe</w:t>
            </w:r>
          </w:p>
        </w:tc>
        <w:tc>
          <w:tcPr>
            <w:tcW w:w="936" w:type="pct"/>
            <w:vMerge w:val="restart"/>
            <w:tcBorders>
              <w:top w:val="single" w:sz="8" w:space="0" w:color="000000"/>
              <w:left w:val="nil"/>
              <w:right w:val="single" w:sz="8" w:space="0" w:color="000000"/>
            </w:tcBorders>
            <w:shd w:val="clear" w:color="auto" w:fill="auto"/>
            <w:vAlign w:val="center"/>
          </w:tcPr>
          <w:p w14:paraId="56137D91"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€ct/kWh</w:t>
            </w:r>
          </w:p>
        </w:tc>
        <w:tc>
          <w:tcPr>
            <w:tcW w:w="678" w:type="pct"/>
            <w:vMerge w:val="restart"/>
            <w:tcBorders>
              <w:top w:val="single" w:sz="8" w:space="0" w:color="000000"/>
              <w:left w:val="nil"/>
              <w:right w:val="single" w:sz="8" w:space="0" w:color="000000"/>
            </w:tcBorders>
            <w:shd w:val="clear" w:color="auto" w:fill="auto"/>
            <w:vAlign w:val="center"/>
          </w:tcPr>
          <w:p w14:paraId="44C4FE90"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10</w:t>
            </w:r>
          </w:p>
          <w:p w14:paraId="5466C0D0"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12</w:t>
            </w:r>
          </w:p>
          <w:p w14:paraId="04FFD7FD"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10</w:t>
            </w:r>
          </w:p>
        </w:tc>
        <w:tc>
          <w:tcPr>
            <w:tcW w:w="646" w:type="pct"/>
            <w:tcBorders>
              <w:top w:val="single" w:sz="8" w:space="0" w:color="000000"/>
              <w:left w:val="nil"/>
              <w:right w:val="single" w:sz="8" w:space="0" w:color="000000"/>
            </w:tcBorders>
            <w:shd w:val="clear" w:color="auto" w:fill="auto"/>
            <w:vAlign w:val="center"/>
          </w:tcPr>
          <w:p w14:paraId="660DB204"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8</w:t>
            </w:r>
          </w:p>
        </w:tc>
        <w:tc>
          <w:tcPr>
            <w:tcW w:w="645" w:type="pct"/>
            <w:tcBorders>
              <w:top w:val="single" w:sz="8" w:space="0" w:color="000000"/>
              <w:left w:val="nil"/>
              <w:right w:val="single" w:sz="8" w:space="0" w:color="000000"/>
            </w:tcBorders>
            <w:shd w:val="clear" w:color="auto" w:fill="auto"/>
          </w:tcPr>
          <w:p w14:paraId="36732AA1"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2,5</w:t>
            </w:r>
          </w:p>
        </w:tc>
      </w:tr>
      <w:tr w:rsidR="009D0C2E" w:rsidRPr="00B364CB" w14:paraId="751A1712" w14:textId="77777777" w:rsidTr="001D12AA">
        <w:trPr>
          <w:trHeight w:val="160"/>
        </w:trPr>
        <w:tc>
          <w:tcPr>
            <w:tcW w:w="306" w:type="pct"/>
            <w:vMerge/>
            <w:tcBorders>
              <w:left w:val="single" w:sz="8" w:space="0" w:color="000000"/>
              <w:right w:val="single" w:sz="8" w:space="0" w:color="000000"/>
            </w:tcBorders>
            <w:shd w:val="clear" w:color="auto" w:fill="auto"/>
            <w:vAlign w:val="center"/>
          </w:tcPr>
          <w:p w14:paraId="11C18C4D" w14:textId="77777777" w:rsidR="009D0C2E" w:rsidRPr="00B364CB" w:rsidRDefault="009D0C2E" w:rsidP="009D0C2E">
            <w:pPr>
              <w:widowControl/>
              <w:jc w:val="center"/>
              <w:rPr>
                <w:rFonts w:cs="Arial"/>
                <w:sz w:val="20"/>
                <w:szCs w:val="20"/>
                <w:lang w:eastAsia="en-GB" w:bidi="ar-SA"/>
              </w:rPr>
            </w:pPr>
          </w:p>
        </w:tc>
        <w:tc>
          <w:tcPr>
            <w:tcW w:w="980" w:type="pct"/>
            <w:vMerge/>
            <w:tcBorders>
              <w:left w:val="nil"/>
              <w:right w:val="single" w:sz="8" w:space="0" w:color="000000"/>
            </w:tcBorders>
            <w:shd w:val="clear" w:color="auto" w:fill="auto"/>
            <w:vAlign w:val="center"/>
          </w:tcPr>
          <w:p w14:paraId="49302A3B" w14:textId="77777777" w:rsidR="009D0C2E" w:rsidRPr="00B364CB" w:rsidRDefault="009D0C2E" w:rsidP="009D0C2E">
            <w:pPr>
              <w:widowControl/>
              <w:jc w:val="center"/>
              <w:rPr>
                <w:rFonts w:cs="Arial"/>
                <w:sz w:val="20"/>
                <w:szCs w:val="20"/>
                <w:lang w:eastAsia="en-GB" w:bidi="ar-SA"/>
              </w:rPr>
            </w:pPr>
          </w:p>
        </w:tc>
        <w:tc>
          <w:tcPr>
            <w:tcW w:w="808" w:type="pct"/>
            <w:gridSpan w:val="2"/>
            <w:tcBorders>
              <w:top w:val="nil"/>
              <w:left w:val="nil"/>
              <w:right w:val="single" w:sz="8" w:space="0" w:color="000000"/>
            </w:tcBorders>
            <w:shd w:val="clear" w:color="auto" w:fill="auto"/>
            <w:vAlign w:val="center"/>
          </w:tcPr>
          <w:p w14:paraId="57D1057B"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5-50 kWe</w:t>
            </w:r>
          </w:p>
        </w:tc>
        <w:tc>
          <w:tcPr>
            <w:tcW w:w="936" w:type="pct"/>
            <w:vMerge/>
            <w:tcBorders>
              <w:left w:val="nil"/>
              <w:right w:val="single" w:sz="8" w:space="0" w:color="000000"/>
            </w:tcBorders>
            <w:shd w:val="clear" w:color="auto" w:fill="auto"/>
            <w:vAlign w:val="center"/>
          </w:tcPr>
          <w:p w14:paraId="08CC16AE" w14:textId="77777777" w:rsidR="009D0C2E" w:rsidRPr="00B364CB" w:rsidRDefault="009D0C2E" w:rsidP="009D0C2E">
            <w:pPr>
              <w:widowControl/>
              <w:jc w:val="center"/>
              <w:rPr>
                <w:rFonts w:cs="Arial"/>
                <w:sz w:val="20"/>
                <w:szCs w:val="20"/>
                <w:lang w:eastAsia="en-GB" w:bidi="ar-SA"/>
              </w:rPr>
            </w:pPr>
          </w:p>
        </w:tc>
        <w:tc>
          <w:tcPr>
            <w:tcW w:w="678" w:type="pct"/>
            <w:vMerge/>
            <w:tcBorders>
              <w:left w:val="nil"/>
              <w:right w:val="single" w:sz="8" w:space="0" w:color="000000"/>
            </w:tcBorders>
            <w:shd w:val="clear" w:color="auto" w:fill="auto"/>
            <w:vAlign w:val="center"/>
          </w:tcPr>
          <w:p w14:paraId="188EC045" w14:textId="77777777" w:rsidR="009D0C2E" w:rsidRPr="00B364CB" w:rsidRDefault="009D0C2E" w:rsidP="009D0C2E">
            <w:pPr>
              <w:widowControl/>
              <w:jc w:val="center"/>
              <w:rPr>
                <w:rFonts w:cs="Arial"/>
                <w:sz w:val="20"/>
                <w:szCs w:val="20"/>
                <w:lang w:eastAsia="en-GB" w:bidi="ar-SA"/>
              </w:rPr>
            </w:pPr>
          </w:p>
        </w:tc>
        <w:tc>
          <w:tcPr>
            <w:tcW w:w="646" w:type="pct"/>
            <w:tcBorders>
              <w:top w:val="nil"/>
              <w:left w:val="nil"/>
              <w:right w:val="single" w:sz="8" w:space="0" w:color="000000"/>
            </w:tcBorders>
            <w:shd w:val="clear" w:color="auto" w:fill="auto"/>
            <w:vAlign w:val="center"/>
          </w:tcPr>
          <w:p w14:paraId="3772CD3E"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7</w:t>
            </w:r>
          </w:p>
        </w:tc>
        <w:tc>
          <w:tcPr>
            <w:tcW w:w="645" w:type="pct"/>
            <w:tcBorders>
              <w:top w:val="nil"/>
              <w:left w:val="nil"/>
              <w:right w:val="single" w:sz="8" w:space="0" w:color="000000"/>
            </w:tcBorders>
            <w:shd w:val="clear" w:color="auto" w:fill="auto"/>
          </w:tcPr>
          <w:p w14:paraId="4A388383"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2.0</w:t>
            </w:r>
          </w:p>
        </w:tc>
      </w:tr>
      <w:tr w:rsidR="009D0C2E" w:rsidRPr="00B364CB" w14:paraId="33BAD312" w14:textId="77777777" w:rsidTr="001D12AA">
        <w:trPr>
          <w:trHeight w:val="160"/>
        </w:trPr>
        <w:tc>
          <w:tcPr>
            <w:tcW w:w="306" w:type="pct"/>
            <w:vMerge/>
            <w:tcBorders>
              <w:left w:val="single" w:sz="8" w:space="0" w:color="000000"/>
              <w:bottom w:val="single" w:sz="8" w:space="0" w:color="000000"/>
              <w:right w:val="single" w:sz="8" w:space="0" w:color="000000"/>
            </w:tcBorders>
            <w:shd w:val="clear" w:color="auto" w:fill="auto"/>
            <w:vAlign w:val="center"/>
          </w:tcPr>
          <w:p w14:paraId="04F40F9E" w14:textId="77777777" w:rsidR="009D0C2E" w:rsidRPr="00B364CB" w:rsidRDefault="009D0C2E" w:rsidP="009D0C2E">
            <w:pPr>
              <w:widowControl/>
              <w:jc w:val="center"/>
              <w:rPr>
                <w:rFonts w:cs="Arial"/>
                <w:sz w:val="20"/>
                <w:szCs w:val="20"/>
                <w:lang w:eastAsia="en-GB" w:bidi="ar-SA"/>
              </w:rPr>
            </w:pPr>
          </w:p>
        </w:tc>
        <w:tc>
          <w:tcPr>
            <w:tcW w:w="980" w:type="pct"/>
            <w:vMerge/>
            <w:tcBorders>
              <w:left w:val="nil"/>
              <w:bottom w:val="single" w:sz="8" w:space="0" w:color="000000"/>
              <w:right w:val="single" w:sz="8" w:space="0" w:color="000000"/>
            </w:tcBorders>
            <w:shd w:val="clear" w:color="auto" w:fill="auto"/>
            <w:vAlign w:val="center"/>
          </w:tcPr>
          <w:p w14:paraId="2207E077" w14:textId="77777777" w:rsidR="009D0C2E" w:rsidRPr="00B364CB" w:rsidRDefault="009D0C2E" w:rsidP="009D0C2E">
            <w:pPr>
              <w:widowControl/>
              <w:jc w:val="center"/>
              <w:rPr>
                <w:rFonts w:cs="Arial"/>
                <w:sz w:val="20"/>
                <w:szCs w:val="20"/>
                <w:lang w:eastAsia="en-GB" w:bidi="ar-SA"/>
              </w:rPr>
            </w:pPr>
          </w:p>
        </w:tc>
        <w:tc>
          <w:tcPr>
            <w:tcW w:w="808" w:type="pct"/>
            <w:gridSpan w:val="2"/>
            <w:tcBorders>
              <w:top w:val="nil"/>
              <w:left w:val="nil"/>
              <w:bottom w:val="single" w:sz="8" w:space="0" w:color="000000"/>
              <w:right w:val="single" w:sz="8" w:space="0" w:color="000000"/>
            </w:tcBorders>
            <w:shd w:val="clear" w:color="auto" w:fill="auto"/>
            <w:vAlign w:val="center"/>
          </w:tcPr>
          <w:p w14:paraId="233AF452"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51-500 kWe</w:t>
            </w:r>
          </w:p>
        </w:tc>
        <w:tc>
          <w:tcPr>
            <w:tcW w:w="936" w:type="pct"/>
            <w:vMerge/>
            <w:tcBorders>
              <w:left w:val="nil"/>
              <w:bottom w:val="single" w:sz="8" w:space="0" w:color="000000"/>
              <w:right w:val="single" w:sz="8" w:space="0" w:color="000000"/>
            </w:tcBorders>
            <w:shd w:val="clear" w:color="auto" w:fill="auto"/>
            <w:vAlign w:val="center"/>
          </w:tcPr>
          <w:p w14:paraId="27BBC562" w14:textId="77777777" w:rsidR="009D0C2E" w:rsidRPr="00B364CB" w:rsidRDefault="009D0C2E" w:rsidP="009D0C2E">
            <w:pPr>
              <w:widowControl/>
              <w:jc w:val="center"/>
              <w:rPr>
                <w:rFonts w:cs="Arial"/>
                <w:sz w:val="20"/>
                <w:szCs w:val="20"/>
                <w:lang w:eastAsia="en-GB" w:bidi="ar-SA"/>
              </w:rPr>
            </w:pPr>
          </w:p>
        </w:tc>
        <w:tc>
          <w:tcPr>
            <w:tcW w:w="678" w:type="pct"/>
            <w:vMerge/>
            <w:tcBorders>
              <w:left w:val="nil"/>
              <w:bottom w:val="single" w:sz="8" w:space="0" w:color="000000"/>
              <w:right w:val="single" w:sz="8" w:space="0" w:color="000000"/>
            </w:tcBorders>
            <w:shd w:val="clear" w:color="auto" w:fill="auto"/>
            <w:vAlign w:val="center"/>
          </w:tcPr>
          <w:p w14:paraId="6990010A" w14:textId="77777777" w:rsidR="009D0C2E" w:rsidRPr="00B364CB" w:rsidRDefault="009D0C2E" w:rsidP="009D0C2E">
            <w:pPr>
              <w:widowControl/>
              <w:jc w:val="center"/>
              <w:rPr>
                <w:rFonts w:cs="Arial"/>
                <w:sz w:val="20"/>
                <w:szCs w:val="20"/>
                <w:lang w:eastAsia="en-GB" w:bidi="ar-SA"/>
              </w:rPr>
            </w:pPr>
          </w:p>
        </w:tc>
        <w:tc>
          <w:tcPr>
            <w:tcW w:w="646" w:type="pct"/>
            <w:tcBorders>
              <w:top w:val="nil"/>
              <w:left w:val="nil"/>
              <w:bottom w:val="single" w:sz="8" w:space="0" w:color="000000"/>
              <w:right w:val="single" w:sz="8" w:space="0" w:color="000000"/>
            </w:tcBorders>
            <w:shd w:val="clear" w:color="auto" w:fill="auto"/>
            <w:vAlign w:val="center"/>
          </w:tcPr>
          <w:p w14:paraId="5484BE90"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w:t>
            </w:r>
          </w:p>
        </w:tc>
        <w:tc>
          <w:tcPr>
            <w:tcW w:w="645" w:type="pct"/>
            <w:tcBorders>
              <w:top w:val="nil"/>
              <w:left w:val="nil"/>
              <w:bottom w:val="single" w:sz="8" w:space="0" w:color="000000"/>
              <w:right w:val="single" w:sz="8" w:space="0" w:color="000000"/>
            </w:tcBorders>
            <w:shd w:val="clear" w:color="auto" w:fill="auto"/>
          </w:tcPr>
          <w:p w14:paraId="038F83AA"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1,5</w:t>
            </w:r>
          </w:p>
        </w:tc>
      </w:tr>
      <w:tr w:rsidR="001D12AA" w:rsidRPr="00B364CB" w14:paraId="2657CCA7" w14:textId="77777777" w:rsidTr="001D12AA">
        <w:trPr>
          <w:trHeight w:val="1078"/>
        </w:trPr>
        <w:tc>
          <w:tcPr>
            <w:tcW w:w="306" w:type="pct"/>
            <w:tcBorders>
              <w:top w:val="single" w:sz="8" w:space="0" w:color="000000"/>
              <w:left w:val="single" w:sz="8" w:space="0" w:color="000000"/>
              <w:right w:val="single" w:sz="8" w:space="0" w:color="000000"/>
            </w:tcBorders>
            <w:shd w:val="clear" w:color="auto" w:fill="auto"/>
            <w:vAlign w:val="center"/>
            <w:hideMark/>
          </w:tcPr>
          <w:p w14:paraId="214029DD" w14:textId="77777777" w:rsidR="001D12AA" w:rsidRPr="00B364CB" w:rsidRDefault="001D12AA" w:rsidP="001D12AA">
            <w:pPr>
              <w:widowControl/>
              <w:jc w:val="center"/>
              <w:rPr>
                <w:rFonts w:cs="Arial"/>
                <w:bCs/>
                <w:sz w:val="20"/>
                <w:szCs w:val="20"/>
                <w:lang w:eastAsia="en-GB" w:bidi="ar-SA"/>
              </w:rPr>
            </w:pPr>
            <w:r w:rsidRPr="00B364CB">
              <w:rPr>
                <w:rFonts w:cs="Arial"/>
                <w:sz w:val="20"/>
                <w:szCs w:val="20"/>
                <w:lang w:eastAsia="en-GB" w:bidi="ar-SA"/>
              </w:rPr>
              <w:t>3.1</w:t>
            </w:r>
          </w:p>
        </w:tc>
        <w:tc>
          <w:tcPr>
            <w:tcW w:w="980" w:type="pct"/>
            <w:tcBorders>
              <w:top w:val="single" w:sz="8" w:space="0" w:color="000000"/>
              <w:left w:val="nil"/>
              <w:right w:val="single" w:sz="8" w:space="0" w:color="000000"/>
            </w:tcBorders>
            <w:shd w:val="clear" w:color="auto" w:fill="auto"/>
            <w:vAlign w:val="center"/>
          </w:tcPr>
          <w:p w14:paraId="3592D256" w14:textId="77777777" w:rsidR="001D12AA" w:rsidRPr="00B364CB" w:rsidRDefault="001D12AA" w:rsidP="001D12AA">
            <w:pPr>
              <w:widowControl/>
              <w:jc w:val="center"/>
              <w:rPr>
                <w:rFonts w:cs="Arial"/>
                <w:sz w:val="20"/>
                <w:szCs w:val="20"/>
                <w:lang w:eastAsia="en-GB" w:bidi="ar-SA"/>
              </w:rPr>
            </w:pPr>
            <w:r w:rsidRPr="00B364CB">
              <w:rPr>
                <w:rFonts w:cs="Arial"/>
                <w:sz w:val="20"/>
                <w:szCs w:val="20"/>
                <w:lang w:eastAsia="en-GB" w:bidi="ar-SA"/>
              </w:rPr>
              <w:t>Electrical Efficiency η</w:t>
            </w:r>
            <w:r w:rsidRPr="00B364CB">
              <w:rPr>
                <w:rFonts w:cs="Arial"/>
                <w:sz w:val="20"/>
                <w:szCs w:val="20"/>
                <w:vertAlign w:val="subscript"/>
                <w:lang w:eastAsia="en-GB" w:bidi="ar-SA"/>
              </w:rPr>
              <w:t>el</w:t>
            </w:r>
          </w:p>
        </w:tc>
        <w:tc>
          <w:tcPr>
            <w:tcW w:w="808" w:type="pct"/>
            <w:gridSpan w:val="2"/>
            <w:tcBorders>
              <w:top w:val="single" w:sz="8" w:space="0" w:color="000000"/>
              <w:left w:val="nil"/>
              <w:right w:val="single" w:sz="8" w:space="0" w:color="000000"/>
            </w:tcBorders>
            <w:shd w:val="clear" w:color="auto" w:fill="auto"/>
            <w:vAlign w:val="center"/>
          </w:tcPr>
          <w:p w14:paraId="5C9BF8EB" w14:textId="77777777" w:rsidR="001D12AA" w:rsidRPr="00B364CB" w:rsidRDefault="001D12AA" w:rsidP="001D12AA">
            <w:pPr>
              <w:widowControl/>
              <w:jc w:val="center"/>
              <w:rPr>
                <w:rFonts w:cs="Arial"/>
                <w:sz w:val="20"/>
                <w:szCs w:val="20"/>
              </w:rPr>
            </w:pPr>
            <w:r w:rsidRPr="00B364CB">
              <w:rPr>
                <w:rFonts w:cs="Arial"/>
                <w:sz w:val="20"/>
                <w:szCs w:val="20"/>
              </w:rPr>
              <w:t>&lt;5 kWe</w:t>
            </w:r>
          </w:p>
          <w:p w14:paraId="66A93ABE" w14:textId="77777777" w:rsidR="001D12AA" w:rsidRPr="00B364CB" w:rsidRDefault="001D12AA" w:rsidP="001D12AA">
            <w:pPr>
              <w:widowControl/>
              <w:jc w:val="center"/>
              <w:rPr>
                <w:rFonts w:cs="Arial"/>
                <w:sz w:val="20"/>
                <w:szCs w:val="20"/>
              </w:rPr>
            </w:pPr>
            <w:r w:rsidRPr="00B364CB">
              <w:rPr>
                <w:rFonts w:cs="Arial"/>
                <w:sz w:val="20"/>
                <w:szCs w:val="20"/>
              </w:rPr>
              <w:t>5-50 kWe</w:t>
            </w:r>
          </w:p>
          <w:p w14:paraId="053F7008" w14:textId="77777777" w:rsidR="001D12AA" w:rsidRPr="00B364CB" w:rsidRDefault="001D12AA" w:rsidP="001D12AA">
            <w:pPr>
              <w:widowControl/>
              <w:jc w:val="center"/>
              <w:rPr>
                <w:rFonts w:cs="Arial"/>
                <w:sz w:val="20"/>
                <w:szCs w:val="20"/>
                <w:lang w:eastAsia="en-GB" w:bidi="ar-SA"/>
              </w:rPr>
            </w:pPr>
            <w:r w:rsidRPr="00B364CB">
              <w:rPr>
                <w:rFonts w:cs="Arial"/>
                <w:sz w:val="20"/>
                <w:szCs w:val="20"/>
              </w:rPr>
              <w:t>51-500 kWe</w:t>
            </w:r>
          </w:p>
        </w:tc>
        <w:tc>
          <w:tcPr>
            <w:tcW w:w="936" w:type="pct"/>
            <w:tcBorders>
              <w:top w:val="single" w:sz="8" w:space="0" w:color="000000"/>
              <w:left w:val="nil"/>
              <w:right w:val="single" w:sz="8" w:space="0" w:color="000000"/>
            </w:tcBorders>
            <w:shd w:val="clear" w:color="auto" w:fill="auto"/>
            <w:vAlign w:val="center"/>
          </w:tcPr>
          <w:p w14:paraId="6DB990AF" w14:textId="77777777" w:rsidR="001D12AA" w:rsidRPr="00B364CB" w:rsidRDefault="001D12AA" w:rsidP="001D12AA">
            <w:pPr>
              <w:widowControl/>
              <w:jc w:val="center"/>
              <w:rPr>
                <w:rFonts w:cs="Arial"/>
                <w:sz w:val="20"/>
                <w:szCs w:val="20"/>
                <w:lang w:eastAsia="en-GB" w:bidi="ar-SA"/>
              </w:rPr>
            </w:pPr>
            <w:r w:rsidRPr="00B364CB">
              <w:rPr>
                <w:rFonts w:cs="Arial"/>
                <w:sz w:val="20"/>
                <w:szCs w:val="20"/>
                <w:lang w:eastAsia="en-GB" w:bidi="ar-SA"/>
              </w:rPr>
              <w:t>% LHV CH</w:t>
            </w:r>
            <w:r w:rsidRPr="00B364CB">
              <w:rPr>
                <w:rFonts w:cs="Arial"/>
                <w:sz w:val="20"/>
                <w:szCs w:val="20"/>
                <w:vertAlign w:val="subscript"/>
                <w:lang w:eastAsia="en-GB" w:bidi="ar-SA"/>
              </w:rPr>
              <w:t>4</w:t>
            </w:r>
            <w:r w:rsidRPr="00B364CB">
              <w:rPr>
                <w:rFonts w:cs="Arial"/>
                <w:sz w:val="20"/>
                <w:szCs w:val="20"/>
                <w:lang w:eastAsia="en-GB" w:bidi="ar-SA"/>
              </w:rPr>
              <w:t xml:space="preserve"> </w:t>
            </w:r>
          </w:p>
          <w:p w14:paraId="02F0891B" w14:textId="77777777" w:rsidR="001D12AA" w:rsidRPr="00B364CB" w:rsidRDefault="001D12AA" w:rsidP="001D12AA">
            <w:pPr>
              <w:widowControl/>
              <w:jc w:val="center"/>
              <w:rPr>
                <w:rFonts w:cs="Arial"/>
                <w:sz w:val="20"/>
                <w:szCs w:val="20"/>
                <w:lang w:eastAsia="en-GB" w:bidi="ar-SA"/>
              </w:rPr>
            </w:pPr>
          </w:p>
        </w:tc>
        <w:tc>
          <w:tcPr>
            <w:tcW w:w="678" w:type="pct"/>
            <w:tcBorders>
              <w:top w:val="single" w:sz="8" w:space="0" w:color="000000"/>
              <w:left w:val="nil"/>
              <w:right w:val="single" w:sz="8" w:space="0" w:color="000000"/>
            </w:tcBorders>
            <w:shd w:val="clear" w:color="auto" w:fill="auto"/>
            <w:vAlign w:val="center"/>
          </w:tcPr>
          <w:p w14:paraId="4D6B7BE6" w14:textId="77777777" w:rsidR="001D12AA" w:rsidRPr="00B364CB" w:rsidRDefault="001D12AA" w:rsidP="001D12AA">
            <w:pPr>
              <w:widowControl/>
              <w:jc w:val="center"/>
              <w:rPr>
                <w:rFonts w:cs="Arial"/>
                <w:sz w:val="20"/>
                <w:szCs w:val="20"/>
                <w:lang w:eastAsia="en-GB" w:bidi="ar-SA"/>
              </w:rPr>
            </w:pPr>
            <w:r w:rsidRPr="00B364CB">
              <w:rPr>
                <w:rFonts w:cs="Arial"/>
                <w:sz w:val="20"/>
                <w:szCs w:val="20"/>
              </w:rPr>
              <w:t>35-55</w:t>
            </w:r>
            <w:r>
              <w:rPr>
                <w:rFonts w:cs="Arial"/>
                <w:sz w:val="20"/>
                <w:szCs w:val="20"/>
              </w:rPr>
              <w:t xml:space="preserve"> (90)</w:t>
            </w:r>
          </w:p>
          <w:p w14:paraId="2F7D062A" w14:textId="77777777" w:rsidR="001D12AA" w:rsidRPr="00B364CB" w:rsidRDefault="001D12AA" w:rsidP="001D12AA">
            <w:pPr>
              <w:widowControl/>
              <w:jc w:val="center"/>
              <w:rPr>
                <w:rFonts w:cs="Arial"/>
                <w:sz w:val="20"/>
                <w:szCs w:val="20"/>
                <w:lang w:eastAsia="en-GB" w:bidi="ar-SA"/>
              </w:rPr>
            </w:pPr>
            <w:r w:rsidRPr="00B364CB">
              <w:rPr>
                <w:rFonts w:cs="Arial"/>
                <w:sz w:val="20"/>
                <w:szCs w:val="20"/>
              </w:rPr>
              <w:t>55</w:t>
            </w:r>
            <w:r>
              <w:rPr>
                <w:rFonts w:cs="Arial"/>
                <w:sz w:val="20"/>
                <w:szCs w:val="20"/>
              </w:rPr>
              <w:t xml:space="preserve"> (85)</w:t>
            </w:r>
          </w:p>
          <w:p w14:paraId="72667D72" w14:textId="4A33B8B1" w:rsidR="001D12AA" w:rsidRPr="00B364CB" w:rsidRDefault="001D12AA" w:rsidP="001D12AA">
            <w:pPr>
              <w:widowControl/>
              <w:jc w:val="center"/>
              <w:rPr>
                <w:rFonts w:cs="Arial"/>
                <w:sz w:val="20"/>
                <w:szCs w:val="20"/>
                <w:lang w:eastAsia="en-GB" w:bidi="ar-SA"/>
              </w:rPr>
            </w:pPr>
            <w:r w:rsidRPr="00B364CB">
              <w:rPr>
                <w:rFonts w:cs="Arial"/>
                <w:sz w:val="20"/>
                <w:szCs w:val="20"/>
              </w:rPr>
              <w:t>55</w:t>
            </w:r>
            <w:r>
              <w:rPr>
                <w:rFonts w:cs="Arial"/>
                <w:sz w:val="20"/>
                <w:szCs w:val="20"/>
              </w:rPr>
              <w:t xml:space="preserve"> (85)</w:t>
            </w:r>
          </w:p>
        </w:tc>
        <w:tc>
          <w:tcPr>
            <w:tcW w:w="646" w:type="pct"/>
            <w:tcBorders>
              <w:top w:val="single" w:sz="8" w:space="0" w:color="000000"/>
              <w:left w:val="nil"/>
              <w:right w:val="single" w:sz="8" w:space="0" w:color="000000"/>
            </w:tcBorders>
            <w:shd w:val="clear" w:color="auto" w:fill="auto"/>
            <w:vAlign w:val="center"/>
          </w:tcPr>
          <w:p w14:paraId="458763C5" w14:textId="77777777" w:rsidR="001D12AA" w:rsidRPr="00B364CB" w:rsidRDefault="001D12AA" w:rsidP="001D12AA">
            <w:pPr>
              <w:widowControl/>
              <w:jc w:val="center"/>
              <w:rPr>
                <w:rFonts w:cs="Arial"/>
                <w:sz w:val="20"/>
                <w:szCs w:val="20"/>
                <w:lang w:eastAsia="en-GB" w:bidi="ar-SA"/>
              </w:rPr>
            </w:pPr>
            <w:r w:rsidRPr="00B364CB">
              <w:rPr>
                <w:rFonts w:cs="Arial"/>
                <w:sz w:val="20"/>
                <w:szCs w:val="20"/>
              </w:rPr>
              <w:t>55</w:t>
            </w:r>
            <w:r>
              <w:rPr>
                <w:rFonts w:cs="Arial"/>
                <w:sz w:val="20"/>
                <w:szCs w:val="20"/>
              </w:rPr>
              <w:t xml:space="preserve"> (90)</w:t>
            </w:r>
          </w:p>
          <w:p w14:paraId="760B5A60" w14:textId="77777777" w:rsidR="001D12AA" w:rsidRPr="00B364CB" w:rsidRDefault="001D12AA" w:rsidP="001D12AA">
            <w:pPr>
              <w:widowControl/>
              <w:jc w:val="center"/>
              <w:rPr>
                <w:rFonts w:cs="Arial"/>
                <w:sz w:val="20"/>
                <w:szCs w:val="20"/>
                <w:lang w:eastAsia="en-GB" w:bidi="ar-SA"/>
              </w:rPr>
            </w:pPr>
            <w:r w:rsidRPr="00B364CB">
              <w:rPr>
                <w:rFonts w:cs="Arial"/>
                <w:sz w:val="20"/>
                <w:szCs w:val="20"/>
              </w:rPr>
              <w:t>58</w:t>
            </w:r>
            <w:r>
              <w:rPr>
                <w:rFonts w:cs="Arial"/>
                <w:sz w:val="20"/>
                <w:szCs w:val="20"/>
              </w:rPr>
              <w:t xml:space="preserve"> (85)</w:t>
            </w:r>
          </w:p>
          <w:p w14:paraId="3F3DFF39" w14:textId="62748FB4" w:rsidR="001D12AA" w:rsidRPr="00B364CB" w:rsidRDefault="001D12AA" w:rsidP="001D12AA">
            <w:pPr>
              <w:widowControl/>
              <w:jc w:val="center"/>
              <w:rPr>
                <w:rFonts w:cs="Arial"/>
                <w:sz w:val="20"/>
                <w:szCs w:val="20"/>
                <w:lang w:eastAsia="en-GB" w:bidi="ar-SA"/>
              </w:rPr>
            </w:pPr>
            <w:r w:rsidRPr="00B364CB">
              <w:rPr>
                <w:rFonts w:cs="Arial"/>
                <w:sz w:val="20"/>
                <w:szCs w:val="20"/>
              </w:rPr>
              <w:t>60</w:t>
            </w:r>
            <w:r>
              <w:rPr>
                <w:rFonts w:cs="Arial"/>
                <w:sz w:val="20"/>
                <w:szCs w:val="20"/>
              </w:rPr>
              <w:t xml:space="preserve"> (85)</w:t>
            </w:r>
          </w:p>
        </w:tc>
        <w:tc>
          <w:tcPr>
            <w:tcW w:w="645" w:type="pct"/>
            <w:tcBorders>
              <w:top w:val="single" w:sz="8" w:space="0" w:color="000000"/>
              <w:left w:val="nil"/>
              <w:bottom w:val="single" w:sz="8" w:space="0" w:color="000000"/>
              <w:right w:val="single" w:sz="8" w:space="0" w:color="000000"/>
            </w:tcBorders>
            <w:shd w:val="clear" w:color="auto" w:fill="auto"/>
            <w:vAlign w:val="center"/>
          </w:tcPr>
          <w:p w14:paraId="70FE4793" w14:textId="77777777" w:rsidR="001D12AA" w:rsidRPr="00B364CB" w:rsidRDefault="001D12AA" w:rsidP="001D12AA">
            <w:pPr>
              <w:widowControl/>
              <w:jc w:val="center"/>
              <w:rPr>
                <w:rFonts w:cs="Arial"/>
                <w:sz w:val="20"/>
                <w:szCs w:val="20"/>
                <w:lang w:eastAsia="en-GB" w:bidi="ar-SA"/>
              </w:rPr>
            </w:pPr>
            <w:r w:rsidRPr="00B364CB">
              <w:rPr>
                <w:rFonts w:cs="Arial"/>
                <w:sz w:val="20"/>
                <w:szCs w:val="20"/>
              </w:rPr>
              <w:t>55</w:t>
            </w:r>
            <w:r>
              <w:rPr>
                <w:rFonts w:cs="Arial"/>
                <w:sz w:val="20"/>
                <w:szCs w:val="20"/>
              </w:rPr>
              <w:t xml:space="preserve"> (90)</w:t>
            </w:r>
          </w:p>
          <w:p w14:paraId="660CC69D" w14:textId="77777777" w:rsidR="001D12AA" w:rsidRPr="00B364CB" w:rsidRDefault="001D12AA" w:rsidP="001D12AA">
            <w:pPr>
              <w:widowControl/>
              <w:jc w:val="center"/>
              <w:rPr>
                <w:rFonts w:cs="Arial"/>
                <w:sz w:val="20"/>
                <w:szCs w:val="20"/>
                <w:lang w:eastAsia="en-GB" w:bidi="ar-SA"/>
              </w:rPr>
            </w:pPr>
            <w:r w:rsidRPr="00B364CB">
              <w:rPr>
                <w:rFonts w:cs="Arial"/>
                <w:sz w:val="20"/>
                <w:szCs w:val="20"/>
              </w:rPr>
              <w:t>62</w:t>
            </w:r>
            <w:r>
              <w:rPr>
                <w:rFonts w:cs="Arial"/>
                <w:sz w:val="20"/>
                <w:szCs w:val="20"/>
              </w:rPr>
              <w:t xml:space="preserve"> (85)</w:t>
            </w:r>
          </w:p>
          <w:p w14:paraId="0DAFA4F4" w14:textId="78FD0A05" w:rsidR="001D12AA" w:rsidRPr="00B364CB" w:rsidRDefault="001D12AA" w:rsidP="001D12AA">
            <w:pPr>
              <w:widowControl/>
              <w:jc w:val="center"/>
              <w:rPr>
                <w:rFonts w:cs="Arial"/>
                <w:sz w:val="20"/>
                <w:szCs w:val="20"/>
                <w:lang w:eastAsia="en-GB" w:bidi="ar-SA"/>
              </w:rPr>
            </w:pPr>
            <w:r w:rsidRPr="00B364CB">
              <w:rPr>
                <w:rFonts w:cs="Arial"/>
                <w:sz w:val="20"/>
                <w:szCs w:val="20"/>
              </w:rPr>
              <w:t>65</w:t>
            </w:r>
            <w:r w:rsidRPr="00B364CB">
              <w:rPr>
                <w:rFonts w:cs="Arial"/>
                <w:sz w:val="20"/>
                <w:szCs w:val="20"/>
                <w:lang w:eastAsia="en-GB" w:bidi="ar-SA"/>
              </w:rPr>
              <w:t xml:space="preserve"> </w:t>
            </w:r>
            <w:r>
              <w:rPr>
                <w:rFonts w:cs="Arial"/>
                <w:sz w:val="20"/>
                <w:szCs w:val="20"/>
                <w:lang w:eastAsia="en-GB" w:bidi="ar-SA"/>
              </w:rPr>
              <w:t>(85)</w:t>
            </w:r>
          </w:p>
        </w:tc>
      </w:tr>
      <w:tr w:rsidR="001D12AA" w:rsidRPr="00B364CB" w14:paraId="1E17B582" w14:textId="77777777" w:rsidTr="001D12AA">
        <w:trPr>
          <w:trHeight w:val="1078"/>
        </w:trPr>
        <w:tc>
          <w:tcPr>
            <w:tcW w:w="306" w:type="pct"/>
            <w:tcBorders>
              <w:top w:val="single" w:sz="8" w:space="0" w:color="000000"/>
              <w:left w:val="single" w:sz="8" w:space="0" w:color="000000"/>
              <w:right w:val="single" w:sz="8" w:space="0" w:color="000000"/>
            </w:tcBorders>
            <w:shd w:val="clear" w:color="auto" w:fill="auto"/>
            <w:vAlign w:val="center"/>
          </w:tcPr>
          <w:p w14:paraId="1152FC5C" w14:textId="77777777" w:rsidR="001D12AA" w:rsidRPr="00B364CB" w:rsidRDefault="001D12AA" w:rsidP="001D12AA">
            <w:pPr>
              <w:widowControl/>
              <w:jc w:val="center"/>
              <w:rPr>
                <w:rFonts w:cs="Arial"/>
                <w:sz w:val="20"/>
                <w:szCs w:val="20"/>
                <w:lang w:eastAsia="en-GB" w:bidi="ar-SA"/>
              </w:rPr>
            </w:pPr>
            <w:r w:rsidRPr="00B364CB">
              <w:rPr>
                <w:rFonts w:cs="Arial"/>
                <w:sz w:val="20"/>
                <w:szCs w:val="20"/>
                <w:lang w:eastAsia="en-GB" w:bidi="ar-SA"/>
              </w:rPr>
              <w:t>3.2</w:t>
            </w:r>
          </w:p>
        </w:tc>
        <w:tc>
          <w:tcPr>
            <w:tcW w:w="980" w:type="pct"/>
            <w:tcBorders>
              <w:top w:val="single" w:sz="8" w:space="0" w:color="000000"/>
              <w:left w:val="nil"/>
              <w:right w:val="single" w:sz="8" w:space="0" w:color="000000"/>
            </w:tcBorders>
            <w:shd w:val="clear" w:color="auto" w:fill="auto"/>
            <w:vAlign w:val="center"/>
          </w:tcPr>
          <w:p w14:paraId="37A81928" w14:textId="77777777" w:rsidR="001D12AA" w:rsidRPr="00B364CB" w:rsidRDefault="001D12AA" w:rsidP="001D12AA">
            <w:pPr>
              <w:widowControl/>
              <w:jc w:val="center"/>
              <w:rPr>
                <w:rFonts w:cs="Arial"/>
                <w:sz w:val="20"/>
                <w:szCs w:val="20"/>
                <w:lang w:eastAsia="en-GB" w:bidi="ar-SA"/>
              </w:rPr>
            </w:pPr>
            <w:r w:rsidRPr="00B364CB">
              <w:rPr>
                <w:rFonts w:cs="Arial"/>
                <w:sz w:val="20"/>
                <w:szCs w:val="20"/>
                <w:lang w:eastAsia="en-GB" w:bidi="ar-SA"/>
              </w:rPr>
              <w:t>Electrical Efficiency η</w:t>
            </w:r>
            <w:r w:rsidRPr="00B364CB">
              <w:rPr>
                <w:rFonts w:cs="Arial"/>
                <w:sz w:val="20"/>
                <w:szCs w:val="20"/>
                <w:vertAlign w:val="subscript"/>
                <w:lang w:eastAsia="en-GB" w:bidi="ar-SA"/>
              </w:rPr>
              <w:t>el</w:t>
            </w:r>
          </w:p>
        </w:tc>
        <w:tc>
          <w:tcPr>
            <w:tcW w:w="808" w:type="pct"/>
            <w:gridSpan w:val="2"/>
            <w:tcBorders>
              <w:top w:val="single" w:sz="8" w:space="0" w:color="000000"/>
              <w:left w:val="nil"/>
              <w:right w:val="single" w:sz="8" w:space="0" w:color="000000"/>
            </w:tcBorders>
            <w:shd w:val="clear" w:color="auto" w:fill="auto"/>
            <w:vAlign w:val="center"/>
          </w:tcPr>
          <w:p w14:paraId="46D9F52A" w14:textId="77777777" w:rsidR="001D12AA" w:rsidRPr="00B364CB" w:rsidRDefault="001D12AA" w:rsidP="001D12AA">
            <w:pPr>
              <w:widowControl/>
              <w:jc w:val="center"/>
              <w:rPr>
                <w:rFonts w:cs="Arial"/>
                <w:sz w:val="20"/>
                <w:szCs w:val="20"/>
              </w:rPr>
            </w:pPr>
            <w:r w:rsidRPr="00B364CB">
              <w:rPr>
                <w:rFonts w:cs="Arial"/>
                <w:sz w:val="20"/>
                <w:szCs w:val="20"/>
              </w:rPr>
              <w:t>&lt;5 kWe</w:t>
            </w:r>
          </w:p>
          <w:p w14:paraId="329F19BC" w14:textId="77777777" w:rsidR="001D12AA" w:rsidRPr="00B364CB" w:rsidRDefault="001D12AA" w:rsidP="001D12AA">
            <w:pPr>
              <w:widowControl/>
              <w:jc w:val="center"/>
              <w:rPr>
                <w:rFonts w:cs="Arial"/>
                <w:sz w:val="20"/>
                <w:szCs w:val="20"/>
              </w:rPr>
            </w:pPr>
            <w:r w:rsidRPr="00B364CB">
              <w:rPr>
                <w:rFonts w:cs="Arial"/>
                <w:sz w:val="20"/>
                <w:szCs w:val="20"/>
              </w:rPr>
              <w:t>5-50 kWe</w:t>
            </w:r>
          </w:p>
          <w:p w14:paraId="1CAB1418" w14:textId="77777777" w:rsidR="001D12AA" w:rsidRPr="00B364CB" w:rsidRDefault="001D12AA" w:rsidP="001D12AA">
            <w:pPr>
              <w:widowControl/>
              <w:jc w:val="center"/>
              <w:rPr>
                <w:rFonts w:cs="Arial"/>
                <w:sz w:val="20"/>
                <w:szCs w:val="20"/>
              </w:rPr>
            </w:pPr>
            <w:r w:rsidRPr="00B364CB">
              <w:rPr>
                <w:rFonts w:cs="Arial"/>
                <w:sz w:val="20"/>
                <w:szCs w:val="20"/>
              </w:rPr>
              <w:t>51-500 kWe</w:t>
            </w:r>
          </w:p>
        </w:tc>
        <w:tc>
          <w:tcPr>
            <w:tcW w:w="936" w:type="pct"/>
            <w:tcBorders>
              <w:top w:val="single" w:sz="8" w:space="0" w:color="000000"/>
              <w:left w:val="nil"/>
              <w:right w:val="single" w:sz="8" w:space="0" w:color="000000"/>
            </w:tcBorders>
            <w:shd w:val="clear" w:color="auto" w:fill="auto"/>
            <w:vAlign w:val="center"/>
          </w:tcPr>
          <w:p w14:paraId="6A2EAB8B" w14:textId="77777777" w:rsidR="001D12AA" w:rsidRPr="00B364CB" w:rsidRDefault="001D12AA" w:rsidP="001D12AA">
            <w:pPr>
              <w:widowControl/>
              <w:jc w:val="center"/>
              <w:rPr>
                <w:rFonts w:cs="Arial"/>
                <w:sz w:val="20"/>
                <w:szCs w:val="20"/>
                <w:lang w:eastAsia="en-GB" w:bidi="ar-SA"/>
              </w:rPr>
            </w:pPr>
          </w:p>
          <w:p w14:paraId="1B77D0A2" w14:textId="77777777" w:rsidR="001D12AA" w:rsidRPr="00B364CB" w:rsidRDefault="001D12AA" w:rsidP="001D12AA">
            <w:pPr>
              <w:widowControl/>
              <w:jc w:val="center"/>
              <w:rPr>
                <w:rFonts w:cs="Arial"/>
                <w:sz w:val="20"/>
                <w:szCs w:val="20"/>
                <w:lang w:eastAsia="en-GB" w:bidi="ar-SA"/>
              </w:rPr>
            </w:pPr>
            <w:r w:rsidRPr="00B364CB">
              <w:rPr>
                <w:rFonts w:cs="Arial"/>
                <w:sz w:val="20"/>
                <w:szCs w:val="20"/>
                <w:lang w:eastAsia="en-GB" w:bidi="ar-SA"/>
              </w:rPr>
              <w:t>% LHV H</w:t>
            </w:r>
            <w:r w:rsidRPr="00B364CB">
              <w:rPr>
                <w:rFonts w:cs="Arial"/>
                <w:sz w:val="20"/>
                <w:szCs w:val="20"/>
                <w:vertAlign w:val="subscript"/>
                <w:lang w:eastAsia="en-GB" w:bidi="ar-SA"/>
              </w:rPr>
              <w:t>2</w:t>
            </w:r>
            <w:r w:rsidRPr="00B364CB">
              <w:rPr>
                <w:rFonts w:cs="Arial"/>
                <w:sz w:val="20"/>
                <w:szCs w:val="20"/>
                <w:lang w:eastAsia="en-GB" w:bidi="ar-SA"/>
              </w:rPr>
              <w:t xml:space="preserve"> </w:t>
            </w:r>
          </w:p>
          <w:p w14:paraId="5E8BA839" w14:textId="77777777" w:rsidR="001D12AA" w:rsidRPr="00B364CB" w:rsidRDefault="001D12AA" w:rsidP="001D12AA">
            <w:pPr>
              <w:widowControl/>
              <w:jc w:val="center"/>
              <w:rPr>
                <w:rFonts w:cs="Arial"/>
                <w:sz w:val="20"/>
                <w:szCs w:val="20"/>
                <w:lang w:eastAsia="en-GB" w:bidi="ar-SA"/>
              </w:rPr>
            </w:pPr>
          </w:p>
        </w:tc>
        <w:tc>
          <w:tcPr>
            <w:tcW w:w="678" w:type="pct"/>
            <w:tcBorders>
              <w:top w:val="single" w:sz="8" w:space="0" w:color="000000"/>
              <w:left w:val="nil"/>
              <w:right w:val="single" w:sz="8" w:space="0" w:color="000000"/>
            </w:tcBorders>
            <w:shd w:val="clear" w:color="auto" w:fill="auto"/>
            <w:vAlign w:val="center"/>
          </w:tcPr>
          <w:p w14:paraId="2EC17696" w14:textId="5C6746B4" w:rsidR="001D12AA" w:rsidRPr="00B364CB" w:rsidRDefault="001D12AA" w:rsidP="001D12AA">
            <w:pPr>
              <w:widowControl/>
              <w:jc w:val="center"/>
              <w:rPr>
                <w:rFonts w:cs="Arial"/>
                <w:sz w:val="20"/>
                <w:szCs w:val="20"/>
              </w:rPr>
            </w:pPr>
            <w:r w:rsidRPr="00B364CB">
              <w:rPr>
                <w:rFonts w:cs="Arial"/>
                <w:sz w:val="20"/>
                <w:szCs w:val="20"/>
              </w:rPr>
              <w:t>47</w:t>
            </w:r>
            <w:r>
              <w:rPr>
                <w:rFonts w:cs="Arial"/>
                <w:sz w:val="20"/>
                <w:szCs w:val="20"/>
              </w:rPr>
              <w:t xml:space="preserve"> (85)</w:t>
            </w:r>
          </w:p>
        </w:tc>
        <w:tc>
          <w:tcPr>
            <w:tcW w:w="646" w:type="pct"/>
            <w:tcBorders>
              <w:top w:val="single" w:sz="8" w:space="0" w:color="000000"/>
              <w:left w:val="nil"/>
              <w:right w:val="single" w:sz="8" w:space="0" w:color="000000"/>
            </w:tcBorders>
            <w:shd w:val="clear" w:color="auto" w:fill="auto"/>
            <w:vAlign w:val="center"/>
          </w:tcPr>
          <w:p w14:paraId="4EEF3733" w14:textId="29201D78" w:rsidR="001D12AA" w:rsidRPr="00B364CB" w:rsidRDefault="001D12AA" w:rsidP="001D12AA">
            <w:pPr>
              <w:widowControl/>
              <w:jc w:val="center"/>
              <w:rPr>
                <w:rFonts w:cs="Arial"/>
                <w:sz w:val="20"/>
                <w:szCs w:val="20"/>
              </w:rPr>
            </w:pPr>
            <w:r w:rsidRPr="00B364CB">
              <w:rPr>
                <w:rFonts w:cs="Arial"/>
                <w:sz w:val="20"/>
                <w:szCs w:val="20"/>
              </w:rPr>
              <w:t>52</w:t>
            </w:r>
            <w:r>
              <w:rPr>
                <w:rFonts w:cs="Arial"/>
                <w:sz w:val="20"/>
                <w:szCs w:val="20"/>
              </w:rPr>
              <w:t xml:space="preserve"> (90)</w:t>
            </w:r>
          </w:p>
        </w:tc>
        <w:tc>
          <w:tcPr>
            <w:tcW w:w="645" w:type="pct"/>
            <w:tcBorders>
              <w:top w:val="single" w:sz="8" w:space="0" w:color="000000"/>
              <w:left w:val="nil"/>
              <w:bottom w:val="single" w:sz="8" w:space="0" w:color="000000"/>
              <w:right w:val="single" w:sz="8" w:space="0" w:color="000000"/>
            </w:tcBorders>
            <w:shd w:val="clear" w:color="auto" w:fill="auto"/>
            <w:vAlign w:val="center"/>
          </w:tcPr>
          <w:p w14:paraId="4A259025" w14:textId="5B01EE75" w:rsidR="001D12AA" w:rsidRPr="00B364CB" w:rsidRDefault="001D12AA" w:rsidP="001D12AA">
            <w:pPr>
              <w:widowControl/>
              <w:jc w:val="center"/>
              <w:rPr>
                <w:rFonts w:cs="Arial"/>
                <w:sz w:val="20"/>
                <w:szCs w:val="20"/>
              </w:rPr>
            </w:pPr>
            <w:r w:rsidRPr="00B364CB">
              <w:rPr>
                <w:rFonts w:cs="Arial"/>
                <w:sz w:val="20"/>
                <w:szCs w:val="20"/>
              </w:rPr>
              <w:t>57</w:t>
            </w:r>
            <w:r w:rsidRPr="00B364CB">
              <w:rPr>
                <w:rFonts w:cs="Arial"/>
                <w:sz w:val="20"/>
                <w:szCs w:val="20"/>
                <w:lang w:eastAsia="en-GB" w:bidi="ar-SA"/>
              </w:rPr>
              <w:t xml:space="preserve"> </w:t>
            </w:r>
            <w:r>
              <w:rPr>
                <w:rFonts w:cs="Arial"/>
                <w:sz w:val="20"/>
                <w:szCs w:val="20"/>
                <w:lang w:eastAsia="en-GB" w:bidi="ar-SA"/>
              </w:rPr>
              <w:t>(95)</w:t>
            </w:r>
          </w:p>
        </w:tc>
      </w:tr>
      <w:tr w:rsidR="009D0C2E" w:rsidRPr="00B364CB" w14:paraId="3BABB214" w14:textId="77777777" w:rsidTr="001D12AA">
        <w:trPr>
          <w:trHeight w:val="754"/>
        </w:trPr>
        <w:tc>
          <w:tcPr>
            <w:tcW w:w="306" w:type="pct"/>
            <w:tcBorders>
              <w:top w:val="single" w:sz="8" w:space="0" w:color="auto"/>
              <w:left w:val="single" w:sz="8" w:space="0" w:color="auto"/>
              <w:bottom w:val="single" w:sz="8" w:space="0" w:color="auto"/>
              <w:right w:val="single" w:sz="8" w:space="0" w:color="auto"/>
            </w:tcBorders>
            <w:shd w:val="clear" w:color="auto" w:fill="auto"/>
            <w:vAlign w:val="center"/>
          </w:tcPr>
          <w:p w14:paraId="0E9AFC72" w14:textId="77777777" w:rsidR="009D0C2E" w:rsidRPr="00B364CB" w:rsidRDefault="009D0C2E" w:rsidP="009D0C2E">
            <w:pPr>
              <w:widowControl/>
              <w:jc w:val="center"/>
              <w:rPr>
                <w:rFonts w:cs="Arial"/>
                <w:bCs/>
                <w:sz w:val="20"/>
                <w:szCs w:val="20"/>
                <w:lang w:eastAsia="en-GB" w:bidi="ar-SA"/>
              </w:rPr>
            </w:pPr>
            <w:r w:rsidRPr="00B364CB">
              <w:rPr>
                <w:rFonts w:cs="Arial"/>
                <w:bCs/>
                <w:sz w:val="20"/>
                <w:szCs w:val="20"/>
                <w:lang w:eastAsia="en-GB" w:bidi="ar-SA"/>
              </w:rPr>
              <w:t>4</w:t>
            </w:r>
          </w:p>
        </w:tc>
        <w:tc>
          <w:tcPr>
            <w:tcW w:w="98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14:paraId="6AD34813" w14:textId="77777777" w:rsidR="009D0C2E" w:rsidRPr="00B364CB" w:rsidRDefault="009D0C2E" w:rsidP="009D0C2E">
            <w:pPr>
              <w:widowControl/>
              <w:jc w:val="center"/>
              <w:rPr>
                <w:rFonts w:cs="Arial"/>
                <w:sz w:val="20"/>
                <w:szCs w:val="20"/>
              </w:rPr>
            </w:pPr>
          </w:p>
          <w:p w14:paraId="4680F69D" w14:textId="77777777" w:rsidR="009D0C2E" w:rsidRPr="00B364CB" w:rsidRDefault="009D0C2E" w:rsidP="009D0C2E">
            <w:pPr>
              <w:widowControl/>
              <w:jc w:val="center"/>
              <w:rPr>
                <w:rFonts w:cs="Arial"/>
                <w:sz w:val="20"/>
                <w:szCs w:val="20"/>
              </w:rPr>
            </w:pPr>
            <w:r w:rsidRPr="00B364CB">
              <w:rPr>
                <w:rFonts w:cs="Arial"/>
                <w:sz w:val="20"/>
                <w:szCs w:val="20"/>
              </w:rPr>
              <w:t xml:space="preserve">                         </w:t>
            </w:r>
          </w:p>
          <w:p w14:paraId="5C81CCA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Availability           </w:t>
            </w:r>
          </w:p>
          <w:p w14:paraId="7A95513F"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 xml:space="preserve">                              </w:t>
            </w:r>
          </w:p>
          <w:p w14:paraId="4D5AE6A1" w14:textId="77777777" w:rsidR="009D0C2E" w:rsidRPr="00B364CB" w:rsidRDefault="009D0C2E" w:rsidP="009D0C2E">
            <w:pPr>
              <w:widowControl/>
              <w:jc w:val="center"/>
              <w:rPr>
                <w:rFonts w:cs="Arial"/>
                <w:sz w:val="20"/>
                <w:szCs w:val="20"/>
                <w:lang w:eastAsia="en-GB" w:bidi="ar-SA"/>
              </w:rPr>
            </w:pPr>
          </w:p>
        </w:tc>
        <w:tc>
          <w:tcPr>
            <w:tcW w:w="804" w:type="pct"/>
            <w:tcBorders>
              <w:top w:val="single" w:sz="8" w:space="0" w:color="auto"/>
              <w:left w:val="single" w:sz="4" w:space="0" w:color="auto"/>
              <w:bottom w:val="single" w:sz="8" w:space="0" w:color="auto"/>
              <w:right w:val="single" w:sz="8" w:space="0" w:color="auto"/>
            </w:tcBorders>
            <w:shd w:val="clear" w:color="auto" w:fill="auto"/>
            <w:vAlign w:val="center"/>
          </w:tcPr>
          <w:p w14:paraId="334E9B5C"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5-50 kWe</w:t>
            </w:r>
          </w:p>
        </w:tc>
        <w:tc>
          <w:tcPr>
            <w:tcW w:w="936" w:type="pct"/>
            <w:tcBorders>
              <w:top w:val="single" w:sz="8" w:space="0" w:color="auto"/>
              <w:left w:val="single" w:sz="8" w:space="0" w:color="auto"/>
              <w:bottom w:val="single" w:sz="8" w:space="0" w:color="auto"/>
              <w:right w:val="single" w:sz="8" w:space="0" w:color="auto"/>
            </w:tcBorders>
            <w:shd w:val="clear" w:color="auto" w:fill="auto"/>
            <w:vAlign w:val="center"/>
          </w:tcPr>
          <w:p w14:paraId="69AAEF5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678" w:type="pct"/>
            <w:tcBorders>
              <w:top w:val="single" w:sz="8" w:space="0" w:color="auto"/>
              <w:left w:val="single" w:sz="8" w:space="0" w:color="auto"/>
              <w:bottom w:val="single" w:sz="8" w:space="0" w:color="auto"/>
              <w:right w:val="single" w:sz="8" w:space="0" w:color="auto"/>
            </w:tcBorders>
            <w:shd w:val="clear" w:color="auto" w:fill="auto"/>
            <w:vAlign w:val="center"/>
          </w:tcPr>
          <w:p w14:paraId="5DACAB0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99</w:t>
            </w:r>
          </w:p>
          <w:p w14:paraId="442B18B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98</w:t>
            </w:r>
          </w:p>
          <w:p w14:paraId="4461170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98</w:t>
            </w:r>
          </w:p>
        </w:tc>
        <w:tc>
          <w:tcPr>
            <w:tcW w:w="646" w:type="pct"/>
            <w:tcBorders>
              <w:top w:val="single" w:sz="8" w:space="0" w:color="auto"/>
              <w:left w:val="single" w:sz="8" w:space="0" w:color="auto"/>
              <w:bottom w:val="single" w:sz="8" w:space="0" w:color="auto"/>
              <w:right w:val="single" w:sz="8" w:space="0" w:color="auto"/>
            </w:tcBorders>
            <w:shd w:val="clear" w:color="auto" w:fill="auto"/>
            <w:vAlign w:val="center"/>
          </w:tcPr>
          <w:p w14:paraId="5BBC3D01" w14:textId="77777777" w:rsidR="009D0C2E" w:rsidRPr="00B364CB" w:rsidRDefault="009D0C2E" w:rsidP="009D0C2E">
            <w:pPr>
              <w:widowControl/>
              <w:jc w:val="center"/>
              <w:rPr>
                <w:rFonts w:cs="Arial"/>
                <w:color w:val="000000" w:themeColor="text1"/>
                <w:sz w:val="20"/>
                <w:szCs w:val="20"/>
              </w:rPr>
            </w:pPr>
            <w:r w:rsidRPr="00B364CB">
              <w:rPr>
                <w:rFonts w:cs="Arial"/>
                <w:color w:val="000000" w:themeColor="text1"/>
                <w:sz w:val="20"/>
                <w:szCs w:val="20"/>
              </w:rPr>
              <w:t>99</w:t>
            </w:r>
          </w:p>
          <w:p w14:paraId="5F7D3FAE" w14:textId="77777777" w:rsidR="009D0C2E" w:rsidRPr="00B364CB" w:rsidRDefault="009D0C2E" w:rsidP="009D0C2E">
            <w:pPr>
              <w:widowControl/>
              <w:jc w:val="center"/>
              <w:rPr>
                <w:rFonts w:cs="Arial"/>
                <w:color w:val="000000" w:themeColor="text1"/>
                <w:sz w:val="20"/>
                <w:szCs w:val="20"/>
              </w:rPr>
            </w:pPr>
            <w:r w:rsidRPr="00B364CB">
              <w:rPr>
                <w:rFonts w:cs="Arial"/>
                <w:color w:val="000000" w:themeColor="text1"/>
                <w:sz w:val="20"/>
                <w:szCs w:val="20"/>
              </w:rPr>
              <w:t>99</w:t>
            </w:r>
          </w:p>
          <w:p w14:paraId="6300DAC3"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99</w:t>
            </w:r>
          </w:p>
        </w:tc>
        <w:tc>
          <w:tcPr>
            <w:tcW w:w="645" w:type="pct"/>
            <w:tcBorders>
              <w:top w:val="single" w:sz="8" w:space="0" w:color="000000"/>
              <w:left w:val="single" w:sz="8" w:space="0" w:color="auto"/>
              <w:bottom w:val="single" w:sz="8" w:space="0" w:color="auto"/>
              <w:right w:val="single" w:sz="8" w:space="0" w:color="auto"/>
            </w:tcBorders>
            <w:shd w:val="clear" w:color="auto" w:fill="auto"/>
            <w:vAlign w:val="center"/>
          </w:tcPr>
          <w:p w14:paraId="32D561E7" w14:textId="77777777" w:rsidR="009D0C2E" w:rsidRPr="00B364CB" w:rsidRDefault="009D0C2E" w:rsidP="009D0C2E">
            <w:pPr>
              <w:widowControl/>
              <w:jc w:val="center"/>
              <w:rPr>
                <w:rFonts w:cs="Arial"/>
                <w:color w:val="000000" w:themeColor="text1"/>
                <w:sz w:val="20"/>
                <w:szCs w:val="20"/>
              </w:rPr>
            </w:pPr>
            <w:r w:rsidRPr="00B364CB">
              <w:rPr>
                <w:rFonts w:cs="Arial"/>
                <w:color w:val="000000" w:themeColor="text1"/>
                <w:sz w:val="20"/>
                <w:szCs w:val="20"/>
              </w:rPr>
              <w:t>99</w:t>
            </w:r>
          </w:p>
          <w:p w14:paraId="3F19A672" w14:textId="77777777" w:rsidR="009D0C2E" w:rsidRPr="00B364CB" w:rsidRDefault="009D0C2E" w:rsidP="009D0C2E">
            <w:pPr>
              <w:widowControl/>
              <w:jc w:val="center"/>
              <w:rPr>
                <w:rFonts w:cs="Arial"/>
                <w:color w:val="000000" w:themeColor="text1"/>
                <w:sz w:val="20"/>
                <w:szCs w:val="20"/>
              </w:rPr>
            </w:pPr>
            <w:r w:rsidRPr="00B364CB">
              <w:rPr>
                <w:rFonts w:cs="Arial"/>
                <w:color w:val="000000" w:themeColor="text1"/>
                <w:sz w:val="20"/>
                <w:szCs w:val="20"/>
              </w:rPr>
              <w:t>99</w:t>
            </w:r>
          </w:p>
          <w:p w14:paraId="561340D9"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99</w:t>
            </w:r>
          </w:p>
        </w:tc>
      </w:tr>
      <w:tr w:rsidR="009D0C2E" w:rsidRPr="00B364CB" w14:paraId="07D7389A" w14:textId="77777777" w:rsidTr="001D12AA">
        <w:trPr>
          <w:trHeight w:val="356"/>
        </w:trPr>
        <w:tc>
          <w:tcPr>
            <w:tcW w:w="306" w:type="pct"/>
            <w:tcBorders>
              <w:top w:val="single" w:sz="8" w:space="0" w:color="auto"/>
              <w:left w:val="single" w:sz="8" w:space="0" w:color="000000"/>
              <w:bottom w:val="single" w:sz="8" w:space="0" w:color="000000"/>
              <w:right w:val="single" w:sz="8" w:space="0" w:color="000000"/>
            </w:tcBorders>
            <w:shd w:val="clear" w:color="auto" w:fill="auto"/>
            <w:vAlign w:val="center"/>
            <w:hideMark/>
          </w:tcPr>
          <w:p w14:paraId="44DB7CA9" w14:textId="77777777" w:rsidR="009D0C2E" w:rsidRPr="00B364CB" w:rsidRDefault="009D0C2E" w:rsidP="009D0C2E">
            <w:pPr>
              <w:widowControl/>
              <w:jc w:val="center"/>
              <w:rPr>
                <w:rFonts w:cs="Arial"/>
                <w:sz w:val="20"/>
                <w:szCs w:val="20"/>
                <w:lang w:eastAsia="en-GB" w:bidi="ar-SA"/>
              </w:rPr>
            </w:pPr>
            <w:r w:rsidRPr="00B364CB">
              <w:rPr>
                <w:rFonts w:cs="Arial"/>
                <w:bCs/>
                <w:sz w:val="20"/>
                <w:szCs w:val="20"/>
                <w:lang w:eastAsia="en-GB" w:bidi="ar-SA"/>
              </w:rPr>
              <w:t>5</w:t>
            </w:r>
          </w:p>
        </w:tc>
        <w:tc>
          <w:tcPr>
            <w:tcW w:w="1788" w:type="pct"/>
            <w:gridSpan w:val="3"/>
            <w:tcBorders>
              <w:top w:val="single" w:sz="8" w:space="0" w:color="auto"/>
              <w:left w:val="nil"/>
              <w:bottom w:val="single" w:sz="8" w:space="0" w:color="000000"/>
              <w:right w:val="single" w:sz="8" w:space="0" w:color="000000"/>
            </w:tcBorders>
            <w:shd w:val="clear" w:color="auto" w:fill="auto"/>
            <w:vAlign w:val="center"/>
          </w:tcPr>
          <w:p w14:paraId="334A3F9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Warm start time</w:t>
            </w:r>
          </w:p>
        </w:tc>
        <w:tc>
          <w:tcPr>
            <w:tcW w:w="936" w:type="pct"/>
            <w:tcBorders>
              <w:top w:val="single" w:sz="8" w:space="0" w:color="auto"/>
              <w:left w:val="nil"/>
              <w:bottom w:val="single" w:sz="8" w:space="0" w:color="000000"/>
              <w:right w:val="single" w:sz="8" w:space="0" w:color="000000"/>
            </w:tcBorders>
            <w:shd w:val="clear" w:color="auto" w:fill="auto"/>
            <w:vAlign w:val="center"/>
          </w:tcPr>
          <w:p w14:paraId="4276D97A"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min</w:t>
            </w:r>
          </w:p>
        </w:tc>
        <w:tc>
          <w:tcPr>
            <w:tcW w:w="678" w:type="pct"/>
            <w:tcBorders>
              <w:top w:val="single" w:sz="8" w:space="0" w:color="auto"/>
              <w:left w:val="nil"/>
              <w:bottom w:val="single" w:sz="8" w:space="0" w:color="000000"/>
              <w:right w:val="single" w:sz="8" w:space="0" w:color="000000"/>
            </w:tcBorders>
            <w:shd w:val="clear" w:color="auto" w:fill="auto"/>
            <w:vAlign w:val="center"/>
          </w:tcPr>
          <w:p w14:paraId="6481F1B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15</w:t>
            </w:r>
          </w:p>
        </w:tc>
        <w:tc>
          <w:tcPr>
            <w:tcW w:w="646" w:type="pct"/>
            <w:tcBorders>
              <w:top w:val="single" w:sz="8" w:space="0" w:color="auto"/>
              <w:left w:val="nil"/>
              <w:bottom w:val="single" w:sz="8" w:space="0" w:color="000000"/>
              <w:right w:val="single" w:sz="8" w:space="0" w:color="000000"/>
            </w:tcBorders>
            <w:shd w:val="clear" w:color="auto" w:fill="auto"/>
            <w:vAlign w:val="center"/>
          </w:tcPr>
          <w:p w14:paraId="6821DB0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w:t>
            </w:r>
          </w:p>
        </w:tc>
        <w:tc>
          <w:tcPr>
            <w:tcW w:w="645" w:type="pct"/>
            <w:tcBorders>
              <w:top w:val="single" w:sz="8" w:space="0" w:color="auto"/>
              <w:left w:val="nil"/>
              <w:bottom w:val="single" w:sz="8" w:space="0" w:color="000000"/>
              <w:right w:val="single" w:sz="8" w:space="0" w:color="000000"/>
            </w:tcBorders>
            <w:shd w:val="clear" w:color="auto" w:fill="auto"/>
            <w:vAlign w:val="center"/>
          </w:tcPr>
          <w:p w14:paraId="75DBAF0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r>
      <w:tr w:rsidR="009D0C2E" w:rsidRPr="00B364CB" w14:paraId="1CE7ADAA" w14:textId="77777777" w:rsidTr="00120F40">
        <w:trPr>
          <w:trHeight w:val="44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6A32C4F" w14:textId="77777777" w:rsidR="009D0C2E" w:rsidRPr="00B364CB" w:rsidRDefault="009D0C2E" w:rsidP="009D0C2E">
            <w:pPr>
              <w:widowControl/>
              <w:jc w:val="center"/>
              <w:rPr>
                <w:rFonts w:cs="Arial"/>
                <w:b/>
                <w:sz w:val="20"/>
                <w:szCs w:val="20"/>
                <w:lang w:eastAsia="en-GB" w:bidi="ar-SA"/>
              </w:rPr>
            </w:pPr>
            <w:r w:rsidRPr="00B364CB">
              <w:rPr>
                <w:rFonts w:cs="Arial"/>
                <w:b/>
                <w:sz w:val="20"/>
                <w:szCs w:val="20"/>
                <w:lang w:eastAsia="en-GB" w:bidi="ar-SA"/>
              </w:rPr>
              <w:t>Stack</w:t>
            </w:r>
          </w:p>
        </w:tc>
      </w:tr>
      <w:tr w:rsidR="009D0C2E" w:rsidRPr="00B364CB" w14:paraId="7F675CC6" w14:textId="77777777" w:rsidTr="001D12AA">
        <w:trPr>
          <w:trHeight w:val="356"/>
        </w:trPr>
        <w:tc>
          <w:tcPr>
            <w:tcW w:w="306" w:type="pct"/>
            <w:tcBorders>
              <w:top w:val="nil"/>
              <w:left w:val="single" w:sz="8" w:space="0" w:color="000000"/>
              <w:bottom w:val="single" w:sz="8" w:space="0" w:color="000000"/>
              <w:right w:val="single" w:sz="8" w:space="0" w:color="000000"/>
            </w:tcBorders>
            <w:shd w:val="clear" w:color="auto" w:fill="auto"/>
            <w:vAlign w:val="center"/>
            <w:hideMark/>
          </w:tcPr>
          <w:p w14:paraId="7EFE19DC" w14:textId="77777777" w:rsidR="009D0C2E" w:rsidRPr="00B364CB" w:rsidRDefault="009D0C2E" w:rsidP="009D0C2E">
            <w:pPr>
              <w:widowControl/>
              <w:jc w:val="center"/>
              <w:rPr>
                <w:rFonts w:cs="Arial"/>
                <w:sz w:val="20"/>
                <w:szCs w:val="20"/>
                <w:lang w:eastAsia="en-GB" w:bidi="ar-SA"/>
              </w:rPr>
            </w:pPr>
            <w:r w:rsidRPr="00B364CB">
              <w:rPr>
                <w:rFonts w:cs="Arial"/>
                <w:bCs/>
                <w:sz w:val="20"/>
                <w:szCs w:val="20"/>
                <w:lang w:eastAsia="en-GB" w:bidi="ar-SA"/>
              </w:rPr>
              <w:t>6</w:t>
            </w:r>
          </w:p>
        </w:tc>
        <w:tc>
          <w:tcPr>
            <w:tcW w:w="1788" w:type="pct"/>
            <w:gridSpan w:val="3"/>
            <w:tcBorders>
              <w:top w:val="nil"/>
              <w:left w:val="nil"/>
              <w:bottom w:val="single" w:sz="8" w:space="0" w:color="000000"/>
              <w:right w:val="single" w:sz="8" w:space="0" w:color="000000"/>
            </w:tcBorders>
            <w:shd w:val="clear" w:color="auto" w:fill="auto"/>
            <w:vAlign w:val="center"/>
          </w:tcPr>
          <w:p w14:paraId="75331B9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Degradation @ CI &amp; FU=75%</w:t>
            </w:r>
          </w:p>
        </w:tc>
        <w:tc>
          <w:tcPr>
            <w:tcW w:w="936" w:type="pct"/>
            <w:tcBorders>
              <w:top w:val="nil"/>
              <w:left w:val="nil"/>
              <w:bottom w:val="single" w:sz="8" w:space="0" w:color="000000"/>
              <w:right w:val="single" w:sz="8" w:space="0" w:color="000000"/>
            </w:tcBorders>
            <w:shd w:val="clear" w:color="auto" w:fill="auto"/>
            <w:vAlign w:val="center"/>
          </w:tcPr>
          <w:p w14:paraId="44B61D5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%/1,000h</w:t>
            </w:r>
          </w:p>
        </w:tc>
        <w:tc>
          <w:tcPr>
            <w:tcW w:w="678" w:type="pct"/>
            <w:tcBorders>
              <w:top w:val="nil"/>
              <w:left w:val="nil"/>
              <w:bottom w:val="single" w:sz="8" w:space="0" w:color="000000"/>
              <w:right w:val="single" w:sz="8" w:space="0" w:color="000000"/>
            </w:tcBorders>
            <w:shd w:val="clear" w:color="auto" w:fill="auto"/>
            <w:vAlign w:val="center"/>
          </w:tcPr>
          <w:p w14:paraId="19904FF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0.6</w:t>
            </w:r>
          </w:p>
        </w:tc>
        <w:tc>
          <w:tcPr>
            <w:tcW w:w="646" w:type="pct"/>
            <w:tcBorders>
              <w:top w:val="nil"/>
              <w:left w:val="nil"/>
              <w:bottom w:val="single" w:sz="8" w:space="0" w:color="000000"/>
              <w:right w:val="single" w:sz="8" w:space="0" w:color="000000"/>
            </w:tcBorders>
            <w:shd w:val="clear" w:color="auto" w:fill="auto"/>
            <w:vAlign w:val="center"/>
          </w:tcPr>
          <w:p w14:paraId="5058D43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0.4</w:t>
            </w:r>
          </w:p>
        </w:tc>
        <w:tc>
          <w:tcPr>
            <w:tcW w:w="645" w:type="pct"/>
            <w:tcBorders>
              <w:top w:val="nil"/>
              <w:left w:val="nil"/>
              <w:bottom w:val="single" w:sz="8" w:space="0" w:color="000000"/>
              <w:right w:val="single" w:sz="8" w:space="0" w:color="000000"/>
            </w:tcBorders>
            <w:shd w:val="clear" w:color="auto" w:fill="auto"/>
            <w:vAlign w:val="center"/>
          </w:tcPr>
          <w:p w14:paraId="7AD2ADE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0.2</w:t>
            </w:r>
          </w:p>
        </w:tc>
      </w:tr>
      <w:tr w:rsidR="009D0C2E" w:rsidRPr="00B364CB" w14:paraId="57F4A10F" w14:textId="77777777" w:rsidTr="001D12AA">
        <w:trPr>
          <w:trHeight w:val="356"/>
        </w:trPr>
        <w:tc>
          <w:tcPr>
            <w:tcW w:w="306" w:type="pct"/>
            <w:tcBorders>
              <w:top w:val="nil"/>
              <w:left w:val="single" w:sz="8" w:space="0" w:color="000000"/>
              <w:bottom w:val="single" w:sz="8" w:space="0" w:color="000000"/>
              <w:right w:val="single" w:sz="8" w:space="0" w:color="000000"/>
            </w:tcBorders>
            <w:shd w:val="clear" w:color="auto" w:fill="auto"/>
            <w:vAlign w:val="center"/>
            <w:hideMark/>
          </w:tcPr>
          <w:p w14:paraId="3B5F058D" w14:textId="77777777" w:rsidR="009D0C2E" w:rsidRPr="00B364CB" w:rsidRDefault="009D0C2E" w:rsidP="009D0C2E">
            <w:pPr>
              <w:widowControl/>
              <w:jc w:val="center"/>
              <w:rPr>
                <w:rFonts w:cs="Arial"/>
                <w:sz w:val="20"/>
                <w:szCs w:val="20"/>
                <w:lang w:eastAsia="en-GB" w:bidi="ar-SA"/>
              </w:rPr>
            </w:pPr>
            <w:r w:rsidRPr="00B364CB">
              <w:rPr>
                <w:rFonts w:cs="Arial"/>
                <w:bCs/>
                <w:sz w:val="20"/>
                <w:szCs w:val="20"/>
                <w:lang w:eastAsia="en-GB" w:bidi="ar-SA"/>
              </w:rPr>
              <w:t>7</w:t>
            </w:r>
          </w:p>
        </w:tc>
        <w:tc>
          <w:tcPr>
            <w:tcW w:w="1788" w:type="pct"/>
            <w:gridSpan w:val="3"/>
            <w:tcBorders>
              <w:top w:val="nil"/>
              <w:left w:val="nil"/>
              <w:bottom w:val="single" w:sz="8" w:space="0" w:color="000000"/>
              <w:right w:val="single" w:sz="8" w:space="0" w:color="000000"/>
            </w:tcBorders>
            <w:shd w:val="clear" w:color="auto" w:fill="auto"/>
            <w:vAlign w:val="center"/>
          </w:tcPr>
          <w:p w14:paraId="4764C22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Stack production cost</w:t>
            </w:r>
          </w:p>
        </w:tc>
        <w:tc>
          <w:tcPr>
            <w:tcW w:w="936" w:type="pct"/>
            <w:tcBorders>
              <w:top w:val="nil"/>
              <w:left w:val="nil"/>
              <w:bottom w:val="single" w:sz="8" w:space="0" w:color="000000"/>
              <w:right w:val="single" w:sz="8" w:space="0" w:color="000000"/>
            </w:tcBorders>
            <w:shd w:val="clear" w:color="auto" w:fill="auto"/>
            <w:vAlign w:val="center"/>
          </w:tcPr>
          <w:p w14:paraId="7F79E48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€/kWe</w:t>
            </w:r>
          </w:p>
        </w:tc>
        <w:tc>
          <w:tcPr>
            <w:tcW w:w="678" w:type="pct"/>
            <w:tcBorders>
              <w:top w:val="nil"/>
              <w:left w:val="nil"/>
              <w:bottom w:val="single" w:sz="8" w:space="0" w:color="000000"/>
              <w:right w:val="single" w:sz="8" w:space="0" w:color="000000"/>
            </w:tcBorders>
            <w:shd w:val="clear" w:color="auto" w:fill="auto"/>
            <w:vAlign w:val="center"/>
          </w:tcPr>
          <w:p w14:paraId="0241FBDF"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4,000</w:t>
            </w:r>
          </w:p>
        </w:tc>
        <w:tc>
          <w:tcPr>
            <w:tcW w:w="646" w:type="pct"/>
            <w:tcBorders>
              <w:top w:val="nil"/>
              <w:left w:val="nil"/>
              <w:bottom w:val="single" w:sz="8" w:space="0" w:color="000000"/>
              <w:right w:val="single" w:sz="8" w:space="0" w:color="000000"/>
            </w:tcBorders>
            <w:shd w:val="clear" w:color="auto" w:fill="auto"/>
            <w:vAlign w:val="center"/>
          </w:tcPr>
          <w:p w14:paraId="38685D3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2,000</w:t>
            </w:r>
          </w:p>
        </w:tc>
        <w:tc>
          <w:tcPr>
            <w:tcW w:w="645" w:type="pct"/>
            <w:tcBorders>
              <w:top w:val="nil"/>
              <w:left w:val="nil"/>
              <w:bottom w:val="single" w:sz="8" w:space="0" w:color="000000"/>
              <w:right w:val="single" w:sz="8" w:space="0" w:color="000000"/>
            </w:tcBorders>
            <w:shd w:val="clear" w:color="auto" w:fill="auto"/>
            <w:vAlign w:val="center"/>
          </w:tcPr>
          <w:p w14:paraId="16CD2AE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≤800</w:t>
            </w:r>
          </w:p>
        </w:tc>
      </w:tr>
      <w:tr w:rsidR="009D0C2E" w:rsidRPr="00B364CB" w14:paraId="792A84AB" w14:textId="77777777" w:rsidTr="00120F40">
        <w:trPr>
          <w:trHeight w:val="44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ED3A9EB" w14:textId="77777777" w:rsidR="009D0C2E" w:rsidRPr="00B364CB" w:rsidRDefault="009D0C2E" w:rsidP="009D0C2E">
            <w:pPr>
              <w:widowControl/>
              <w:jc w:val="center"/>
              <w:rPr>
                <w:rFonts w:cs="Arial"/>
                <w:b/>
                <w:sz w:val="20"/>
                <w:szCs w:val="20"/>
                <w:lang w:eastAsia="en-GB" w:bidi="ar-SA"/>
              </w:rPr>
            </w:pPr>
            <w:r w:rsidRPr="00B364CB">
              <w:rPr>
                <w:rFonts w:cs="Arial"/>
                <w:b/>
                <w:sz w:val="20"/>
                <w:szCs w:val="20"/>
                <w:lang w:eastAsia="en-GB" w:bidi="ar-SA"/>
              </w:rPr>
              <w:t>Technology Related</w:t>
            </w:r>
          </w:p>
        </w:tc>
      </w:tr>
      <w:tr w:rsidR="009D0C2E" w:rsidRPr="00B364CB" w14:paraId="0BBF0DBD" w14:textId="77777777" w:rsidTr="001D12AA">
        <w:trPr>
          <w:trHeight w:val="356"/>
        </w:trPr>
        <w:tc>
          <w:tcPr>
            <w:tcW w:w="306" w:type="pct"/>
            <w:tcBorders>
              <w:top w:val="nil"/>
              <w:left w:val="single" w:sz="8" w:space="0" w:color="000000"/>
              <w:bottom w:val="single" w:sz="8" w:space="0" w:color="000000"/>
              <w:right w:val="single" w:sz="8" w:space="0" w:color="000000"/>
            </w:tcBorders>
            <w:shd w:val="clear" w:color="auto" w:fill="auto"/>
            <w:vAlign w:val="center"/>
            <w:hideMark/>
          </w:tcPr>
          <w:p w14:paraId="6F308E54" w14:textId="77777777" w:rsidR="009D0C2E" w:rsidRPr="00B364CB" w:rsidRDefault="009D0C2E" w:rsidP="009D0C2E">
            <w:pPr>
              <w:widowControl/>
              <w:jc w:val="center"/>
              <w:rPr>
                <w:rFonts w:cs="Arial"/>
                <w:sz w:val="20"/>
                <w:szCs w:val="20"/>
                <w:lang w:eastAsia="en-GB" w:bidi="ar-SA"/>
              </w:rPr>
            </w:pPr>
            <w:r w:rsidRPr="00B364CB">
              <w:rPr>
                <w:rFonts w:cs="Arial"/>
                <w:bCs/>
                <w:sz w:val="20"/>
                <w:szCs w:val="20"/>
                <w:lang w:eastAsia="en-GB" w:bidi="ar-SA"/>
              </w:rPr>
              <w:t>8</w:t>
            </w:r>
            <w:r w:rsidRPr="00B364CB">
              <w:rPr>
                <w:rFonts w:cs="Arial"/>
                <w:i/>
                <w:iCs/>
                <w:sz w:val="20"/>
                <w:szCs w:val="20"/>
                <w:lang w:eastAsia="en-GB" w:bidi="ar-SA"/>
              </w:rPr>
              <w:t> </w:t>
            </w:r>
          </w:p>
        </w:tc>
        <w:tc>
          <w:tcPr>
            <w:tcW w:w="1788" w:type="pct"/>
            <w:gridSpan w:val="3"/>
            <w:tcBorders>
              <w:top w:val="nil"/>
              <w:left w:val="nil"/>
              <w:bottom w:val="single" w:sz="8" w:space="0" w:color="000000"/>
              <w:right w:val="single" w:sz="8" w:space="0" w:color="000000"/>
            </w:tcBorders>
            <w:shd w:val="clear" w:color="auto" w:fill="auto"/>
            <w:vAlign w:val="center"/>
          </w:tcPr>
          <w:p w14:paraId="34D1103F"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System roundtrip electrical efficiency in reversible operation</w:t>
            </w:r>
          </w:p>
        </w:tc>
        <w:tc>
          <w:tcPr>
            <w:tcW w:w="936" w:type="pct"/>
            <w:tcBorders>
              <w:top w:val="nil"/>
              <w:left w:val="nil"/>
              <w:bottom w:val="single" w:sz="8" w:space="0" w:color="000000"/>
              <w:right w:val="single" w:sz="8" w:space="0" w:color="000000"/>
            </w:tcBorders>
            <w:shd w:val="clear" w:color="auto" w:fill="auto"/>
            <w:vAlign w:val="center"/>
          </w:tcPr>
          <w:p w14:paraId="536911B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678" w:type="pct"/>
            <w:tcBorders>
              <w:top w:val="nil"/>
              <w:left w:val="nil"/>
              <w:bottom w:val="single" w:sz="8" w:space="0" w:color="000000"/>
              <w:right w:val="single" w:sz="8" w:space="0" w:color="000000"/>
            </w:tcBorders>
            <w:shd w:val="clear" w:color="auto" w:fill="auto"/>
            <w:vAlign w:val="center"/>
          </w:tcPr>
          <w:p w14:paraId="00DA32C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32</w:t>
            </w:r>
          </w:p>
        </w:tc>
        <w:tc>
          <w:tcPr>
            <w:tcW w:w="646" w:type="pct"/>
            <w:tcBorders>
              <w:top w:val="nil"/>
              <w:left w:val="nil"/>
              <w:bottom w:val="single" w:sz="8" w:space="0" w:color="000000"/>
              <w:right w:val="single" w:sz="8" w:space="0" w:color="000000"/>
            </w:tcBorders>
            <w:shd w:val="clear" w:color="auto" w:fill="auto"/>
            <w:vAlign w:val="center"/>
          </w:tcPr>
          <w:p w14:paraId="4DDA380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38</w:t>
            </w:r>
          </w:p>
        </w:tc>
        <w:tc>
          <w:tcPr>
            <w:tcW w:w="645" w:type="pct"/>
            <w:tcBorders>
              <w:top w:val="nil"/>
              <w:left w:val="nil"/>
              <w:bottom w:val="single" w:sz="8" w:space="0" w:color="000000"/>
              <w:right w:val="single" w:sz="8" w:space="0" w:color="000000"/>
            </w:tcBorders>
            <w:shd w:val="clear" w:color="auto" w:fill="auto"/>
            <w:vAlign w:val="center"/>
          </w:tcPr>
          <w:p w14:paraId="47A478E7"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50</w:t>
            </w:r>
          </w:p>
        </w:tc>
      </w:tr>
    </w:tbl>
    <w:p w14:paraId="3B7EBAA4" w14:textId="77777777" w:rsidR="009D0C2E" w:rsidRPr="00B364CB" w:rsidRDefault="009D0C2E" w:rsidP="009D0C2E">
      <w:pPr>
        <w:tabs>
          <w:tab w:val="left" w:pos="1805"/>
        </w:tabs>
        <w:spacing w:after="120"/>
        <w:jc w:val="both"/>
        <w:rPr>
          <w:rFonts w:cstheme="minorHAnsi"/>
          <w:b/>
          <w:iCs/>
          <w:color w:val="auto"/>
          <w:sz w:val="16"/>
          <w:szCs w:val="16"/>
          <w:u w:val="single"/>
        </w:rPr>
      </w:pPr>
    </w:p>
    <w:p w14:paraId="07CAFB26"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1111A4EB" w14:textId="605BA197" w:rsidR="009D0C2E" w:rsidRPr="00B364CB" w:rsidRDefault="009D0C2E" w:rsidP="009D0C2E">
      <w:pPr>
        <w:tabs>
          <w:tab w:val="left" w:pos="1805"/>
        </w:tabs>
        <w:spacing w:after="120"/>
        <w:jc w:val="both"/>
        <w:rPr>
          <w:rFonts w:cstheme="minorHAnsi"/>
          <w:iCs/>
          <w:color w:val="auto"/>
          <w:sz w:val="16"/>
          <w:szCs w:val="16"/>
        </w:rPr>
      </w:pPr>
      <w:r w:rsidRPr="001D12AA">
        <w:rPr>
          <w:rFonts w:cstheme="minorHAnsi"/>
          <w:bCs/>
          <w:iCs/>
          <w:color w:val="auto"/>
          <w:sz w:val="16"/>
          <w:szCs w:val="16"/>
        </w:rPr>
        <w:t>Standard boundary conditions that apply to all SOFC system KPIs: Input</w:t>
      </w:r>
      <w:r w:rsidRPr="00B364CB">
        <w:rPr>
          <w:rFonts w:cstheme="minorHAnsi"/>
          <w:iCs/>
          <w:color w:val="auto"/>
          <w:sz w:val="16"/>
          <w:szCs w:val="16"/>
        </w:rPr>
        <w:t xml:space="preserve"> of bio-methane, tap water (if necessary) and ambient air; output of electrical power and heat. Correction factors may be applied if different fuel is used. For KPI – 3.2 Input of hydrogen from pipeline (above 99%), tap water (if necessary) and ambient air; output of electrical power and heat. The selected power range exclude larger fuel cells at MW scale. Multi-MW scale fuels cells will consist of FC system modules of max 500 kWe. For reversible fuel cells running in electrolyser mode the KPIs defined under the hydrogen pillar for high temperature electrolysers can be used.</w:t>
      </w:r>
    </w:p>
    <w:p w14:paraId="6CF0831E"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 xml:space="preserve">KPI-1: Capital cost are based on 100 MW/annum production volume for a single company and on a 10-year system lifetime running in steady state operation, whereby </w:t>
      </w:r>
      <w:r>
        <w:rPr>
          <w:rFonts w:cstheme="minorHAnsi"/>
          <w:iCs/>
          <w:color w:val="auto"/>
          <w:sz w:val="16"/>
          <w:szCs w:val="16"/>
        </w:rPr>
        <w:t>end of life</w:t>
      </w:r>
      <w:r w:rsidRPr="00B364CB">
        <w:rPr>
          <w:rFonts w:cstheme="minorHAnsi"/>
          <w:iCs/>
          <w:color w:val="auto"/>
          <w:sz w:val="16"/>
          <w:szCs w:val="16"/>
        </w:rPr>
        <w:t xml:space="preserve"> is defined as 20% loss in nominal rated power. Stack replacements are not included in capital cost. Cost are for installation on a prepared site (fundament/building and necessary connections are available). Balance of plant components are to be included in the capital cost. Capital costs doesn’t include margins, distribution and marketing costs. </w:t>
      </w:r>
    </w:p>
    <w:p w14:paraId="61E2F521"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 xml:space="preserve">KPI-2: Operation and maintenance cost averaged over the first 10 years of the system. Potential stack replacements are included in O&amp;M cost. Fuel costs are not included in O&amp;M cost. </w:t>
      </w:r>
    </w:p>
    <w:p w14:paraId="5AE2EE18" w14:textId="77777777" w:rsidR="009D0C2E" w:rsidRPr="00B364CB" w:rsidRDefault="009D0C2E" w:rsidP="009D0C2E">
      <w:pPr>
        <w:pStyle w:val="NoSpacing"/>
        <w:rPr>
          <w:rFonts w:ascii="Arial" w:hAnsi="Arial" w:cstheme="minorHAnsi"/>
          <w:iCs/>
          <w:color w:val="auto"/>
          <w:sz w:val="16"/>
          <w:szCs w:val="16"/>
          <w:lang w:val="en-GB"/>
        </w:rPr>
      </w:pPr>
      <w:r w:rsidRPr="00B364CB">
        <w:rPr>
          <w:rFonts w:ascii="Arial" w:hAnsi="Arial" w:cstheme="minorHAnsi"/>
          <w:iCs/>
          <w:color w:val="auto"/>
          <w:sz w:val="16"/>
          <w:szCs w:val="16"/>
          <w:lang w:val="en-GB"/>
        </w:rPr>
        <w:t xml:space="preserve">KPI-3: Electrical efficiency is ratio of the net electric AC power (IEV 485-14-03) produced by a fuel cell power system (IEV 485-1818 09-01) to the total enthalpy flow (fuel LHV) supplied to the fuel cell power system. Heat recovery efficiency is ratio of recovered heat flow of a fuel cell power system (IEV 485-09-01) to the total enthalpy flow (fuel LHV) supplied to the fuel cell </w:t>
      </w:r>
      <w:r w:rsidRPr="00B364CB">
        <w:rPr>
          <w:rFonts w:ascii="Arial" w:hAnsi="Arial" w:cstheme="minorHAnsi"/>
          <w:iCs/>
          <w:color w:val="auto"/>
          <w:sz w:val="16"/>
          <w:szCs w:val="16"/>
          <w:lang w:val="en-GB"/>
        </w:rPr>
        <w:lastRenderedPageBreak/>
        <w:t xml:space="preserve">power system. Total efficiency of fuel cell power system (ηtot) is a sum of electrical efficiency and heat efficiency. </w:t>
      </w:r>
    </w:p>
    <w:p w14:paraId="4ED4F944" w14:textId="77777777" w:rsidR="009D0C2E" w:rsidRPr="00B364CB" w:rsidRDefault="009D0C2E" w:rsidP="009D0C2E">
      <w:pPr>
        <w:pStyle w:val="NoSpacing"/>
        <w:rPr>
          <w:rFonts w:ascii="Arial" w:hAnsi="Arial" w:cstheme="minorHAnsi"/>
          <w:iCs/>
          <w:color w:val="auto"/>
          <w:sz w:val="16"/>
          <w:szCs w:val="16"/>
          <w:lang w:val="en-GB"/>
        </w:rPr>
      </w:pPr>
    </w:p>
    <w:p w14:paraId="5B6B8AC8"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KPI-4: The time a system was expected to operate minus the downtime, divided by the time a unit was expected to operate, expressed as a percentage. For micro-CHP demonstration, a minimum of ten units should be considered. For mid-scale or large-scale single units should be reported.</w:t>
      </w:r>
      <w:r w:rsidRPr="00B364CB">
        <w:t xml:space="preserve"> </w:t>
      </w:r>
      <w:r w:rsidRPr="00B364CB">
        <w:rPr>
          <w:rFonts w:cstheme="minorHAnsi"/>
          <w:iCs/>
          <w:color w:val="auto"/>
          <w:sz w:val="16"/>
          <w:szCs w:val="16"/>
        </w:rPr>
        <w:t>Linked to O&amp;M Cost (KPI-2): if maintenance interval is increased, then the availability of in base load running units will be also increased (i.e. 1 week in two years for maintenance).</w:t>
      </w:r>
    </w:p>
    <w:p w14:paraId="154C7887" w14:textId="365304BC" w:rsidR="001D12AA" w:rsidRDefault="001D12AA" w:rsidP="001D12AA">
      <w:pPr>
        <w:spacing w:after="120"/>
        <w:jc w:val="both"/>
        <w:rPr>
          <w:rFonts w:cstheme="minorHAnsi"/>
          <w:iCs/>
          <w:color w:val="auto"/>
          <w:sz w:val="16"/>
          <w:szCs w:val="16"/>
        </w:rPr>
      </w:pPr>
      <w:r w:rsidRPr="00B364CB">
        <w:rPr>
          <w:rFonts w:cstheme="minorHAnsi"/>
          <w:iCs/>
          <w:color w:val="auto"/>
          <w:sz w:val="16"/>
          <w:szCs w:val="16"/>
        </w:rPr>
        <w:t xml:space="preserve">KPI-5: </w:t>
      </w:r>
      <w:r w:rsidRPr="00E116FA">
        <w:rPr>
          <w:rFonts w:cstheme="minorHAnsi"/>
          <w:iCs/>
          <w:color w:val="auto"/>
          <w:sz w:val="16"/>
          <w:szCs w:val="16"/>
        </w:rPr>
        <w:t>Warm Start Time is equal to hot idling condition, when system is electrically disconnected and the connection will be restored again. This condition should cover grid disconnection events</w:t>
      </w:r>
      <w:r>
        <w:rPr>
          <w:rFonts w:cstheme="minorHAnsi"/>
          <w:iCs/>
          <w:color w:val="auto"/>
          <w:sz w:val="16"/>
          <w:szCs w:val="16"/>
        </w:rPr>
        <w:t>.</w:t>
      </w:r>
    </w:p>
    <w:p w14:paraId="775C5B9B"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 xml:space="preserve">KPI-6: Stack degradation defined as percentage power loss when run starting at nominal rated power at BoL for fuel composition specified by stack manufacturer at constant current </w:t>
      </w:r>
      <w:r>
        <w:rPr>
          <w:rFonts w:cstheme="minorHAnsi"/>
          <w:iCs/>
          <w:color w:val="auto"/>
          <w:sz w:val="16"/>
          <w:szCs w:val="16"/>
        </w:rPr>
        <w:t>intensity (CI)</w:t>
      </w:r>
      <w:r w:rsidRPr="00B364CB">
        <w:rPr>
          <w:rFonts w:cstheme="minorHAnsi"/>
          <w:iCs/>
          <w:color w:val="auto"/>
          <w:sz w:val="16"/>
          <w:szCs w:val="16"/>
        </w:rPr>
        <w:t xml:space="preserve"> and fuel utilisation</w:t>
      </w:r>
      <w:r>
        <w:rPr>
          <w:rFonts w:cstheme="minorHAnsi"/>
          <w:iCs/>
          <w:color w:val="auto"/>
          <w:sz w:val="16"/>
          <w:szCs w:val="16"/>
        </w:rPr>
        <w:t xml:space="preserve"> (FU)</w:t>
      </w:r>
      <w:r w:rsidRPr="00B364CB">
        <w:rPr>
          <w:rFonts w:cstheme="minorHAnsi"/>
          <w:iCs/>
          <w:color w:val="auto"/>
          <w:sz w:val="16"/>
          <w:szCs w:val="16"/>
        </w:rPr>
        <w:t xml:space="preserve"> of 75%. For example, 0.125%/1,000h results in 10% power loss over a 10-year lifespan with 8,000 operating hours per annum. Values are for steady state operation. Minimum test time = 3,000 hours.</w:t>
      </w:r>
    </w:p>
    <w:p w14:paraId="2D334FBB"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 xml:space="preserve">KPI-7: Stack production cost are based on 100 MW/annum production volume for a single company. Stack production costs doesn’t include margins, distribution and marketing costs. </w:t>
      </w:r>
    </w:p>
    <w:p w14:paraId="24868DAE" w14:textId="77777777" w:rsidR="009D0C2E" w:rsidRPr="00120F40" w:rsidRDefault="009D0C2E" w:rsidP="009D0C2E">
      <w:pPr>
        <w:spacing w:after="120"/>
        <w:jc w:val="both"/>
        <w:rPr>
          <w:rFonts w:cstheme="minorHAnsi"/>
          <w:iCs/>
          <w:color w:val="auto"/>
          <w:sz w:val="16"/>
          <w:szCs w:val="16"/>
        </w:rPr>
      </w:pPr>
      <w:r w:rsidRPr="00B364CB">
        <w:rPr>
          <w:rFonts w:cstheme="minorHAnsi"/>
          <w:iCs/>
          <w:color w:val="auto"/>
          <w:sz w:val="16"/>
          <w:szCs w:val="16"/>
        </w:rPr>
        <w:t xml:space="preserve">KPI-8: Roundtrip electrical efficiency is energy discharged measured on </w:t>
      </w:r>
      <w:r w:rsidRPr="00120F40">
        <w:rPr>
          <w:rFonts w:cstheme="minorHAnsi"/>
          <w:iCs/>
          <w:color w:val="auto"/>
          <w:sz w:val="16"/>
          <w:szCs w:val="16"/>
        </w:rPr>
        <w:t>the primary point of connection (POC) divided by the electric energy absorbed, measured on all the POC (primary and auxiliary), over one electrical energy storage system standard charging/discharging cycle in specified operating conditions. Only valid for rSOC systems.</w:t>
      </w:r>
    </w:p>
    <w:p w14:paraId="58F61065" w14:textId="77777777" w:rsidR="009D0C2E" w:rsidRPr="00120F40" w:rsidRDefault="009D0C2E" w:rsidP="009D0C2E">
      <w:pPr>
        <w:spacing w:after="120"/>
        <w:jc w:val="both"/>
        <w:rPr>
          <w:rFonts w:cstheme="minorHAnsi"/>
          <w:iCs/>
          <w:color w:val="auto"/>
          <w:sz w:val="16"/>
          <w:szCs w:val="16"/>
        </w:rPr>
      </w:pPr>
    </w:p>
    <w:p w14:paraId="72DFD7C4" w14:textId="13D9D7B3" w:rsidR="009D0C2E" w:rsidRPr="00120F40" w:rsidRDefault="009D0C2E" w:rsidP="009D0C2E">
      <w:pPr>
        <w:pStyle w:val="Caption"/>
        <w:rPr>
          <w:sz w:val="24"/>
        </w:rPr>
      </w:pPr>
      <w:bookmarkStart w:id="322" w:name="_Ref55478582"/>
      <w:r w:rsidRPr="00120F40">
        <w:rPr>
          <w:sz w:val="24"/>
        </w:rPr>
        <w:t xml:space="preserve">Table </w:t>
      </w:r>
      <w:r w:rsidRPr="00120F40">
        <w:rPr>
          <w:sz w:val="24"/>
        </w:rPr>
        <w:fldChar w:fldCharType="begin"/>
      </w:r>
      <w:r w:rsidRPr="00120F40">
        <w:rPr>
          <w:sz w:val="24"/>
        </w:rPr>
        <w:instrText xml:space="preserve"> SEQ Table \* ARABIC </w:instrText>
      </w:r>
      <w:r w:rsidRPr="00120F40">
        <w:rPr>
          <w:sz w:val="24"/>
        </w:rPr>
        <w:fldChar w:fldCharType="separate"/>
      </w:r>
      <w:r w:rsidR="00797920">
        <w:rPr>
          <w:noProof/>
          <w:sz w:val="24"/>
        </w:rPr>
        <w:t>21</w:t>
      </w:r>
      <w:r w:rsidRPr="00120F40">
        <w:rPr>
          <w:sz w:val="24"/>
        </w:rPr>
        <w:fldChar w:fldCharType="end"/>
      </w:r>
      <w:bookmarkEnd w:id="322"/>
      <w:r w:rsidRPr="00120F40">
        <w:rPr>
          <w:sz w:val="24"/>
        </w:rPr>
        <w:t>: KPIs for low temperature PEM stationary fuel cells (PEMFC)</w:t>
      </w:r>
    </w:p>
    <w:tbl>
      <w:tblPr>
        <w:tblpPr w:leftFromText="180" w:rightFromText="180" w:vertAnchor="text" w:tblpY="1"/>
        <w:tblOverlap w:val="never"/>
        <w:tblW w:w="5000" w:type="pct"/>
        <w:tblLayout w:type="fixed"/>
        <w:tblLook w:val="04A0" w:firstRow="1" w:lastRow="0" w:firstColumn="1" w:lastColumn="0" w:noHBand="0" w:noVBand="1"/>
      </w:tblPr>
      <w:tblGrid>
        <w:gridCol w:w="558"/>
        <w:gridCol w:w="1519"/>
        <w:gridCol w:w="1735"/>
        <w:gridCol w:w="1176"/>
        <w:gridCol w:w="1617"/>
        <w:gridCol w:w="1176"/>
        <w:gridCol w:w="1324"/>
      </w:tblGrid>
      <w:tr w:rsidR="009D0C2E" w:rsidRPr="00120F40" w14:paraId="7AAD18B1" w14:textId="77777777" w:rsidTr="00120F40">
        <w:trPr>
          <w:trHeight w:val="345"/>
        </w:trPr>
        <w:tc>
          <w:tcPr>
            <w:tcW w:w="306" w:type="pct"/>
            <w:vMerge w:val="restart"/>
            <w:tcBorders>
              <w:top w:val="single" w:sz="4" w:space="0" w:color="auto"/>
              <w:left w:val="single" w:sz="8" w:space="0" w:color="000000"/>
              <w:right w:val="single" w:sz="8" w:space="0" w:color="000000"/>
            </w:tcBorders>
            <w:shd w:val="clear" w:color="auto" w:fill="BFBFBF" w:themeFill="background1" w:themeFillShade="BF"/>
            <w:vAlign w:val="center"/>
            <w:hideMark/>
          </w:tcPr>
          <w:p w14:paraId="10657BAF" w14:textId="77777777" w:rsidR="009D0C2E" w:rsidRPr="00120F40" w:rsidRDefault="009D0C2E" w:rsidP="009D0C2E">
            <w:pPr>
              <w:widowControl/>
              <w:jc w:val="center"/>
              <w:rPr>
                <w:rFonts w:cs="Arial"/>
                <w:i/>
                <w:iCs/>
                <w:sz w:val="20"/>
                <w:szCs w:val="20"/>
                <w:lang w:eastAsia="en-GB" w:bidi="ar-SA"/>
              </w:rPr>
            </w:pPr>
            <w:r w:rsidRPr="00120F40">
              <w:rPr>
                <w:rFonts w:cs="Arial"/>
                <w:b/>
                <w:bCs/>
                <w:sz w:val="20"/>
                <w:szCs w:val="20"/>
                <w:lang w:eastAsia="en-GB" w:bidi="ar-SA"/>
              </w:rPr>
              <w:t>No</w:t>
            </w:r>
          </w:p>
        </w:tc>
        <w:tc>
          <w:tcPr>
            <w:tcW w:w="1787" w:type="pct"/>
            <w:gridSpan w:val="2"/>
            <w:vMerge w:val="restart"/>
            <w:tcBorders>
              <w:top w:val="single" w:sz="4" w:space="0" w:color="auto"/>
              <w:left w:val="nil"/>
              <w:right w:val="single" w:sz="8" w:space="0" w:color="000000"/>
            </w:tcBorders>
            <w:shd w:val="clear" w:color="auto" w:fill="BFBFBF" w:themeFill="background1" w:themeFillShade="BF"/>
            <w:vAlign w:val="center"/>
            <w:hideMark/>
          </w:tcPr>
          <w:p w14:paraId="20469742" w14:textId="77777777" w:rsidR="009D0C2E" w:rsidRPr="00120F40" w:rsidRDefault="009D0C2E" w:rsidP="009D0C2E">
            <w:pPr>
              <w:widowControl/>
              <w:jc w:val="center"/>
              <w:rPr>
                <w:rFonts w:cs="Arial"/>
                <w:i/>
                <w:iCs/>
                <w:sz w:val="20"/>
                <w:szCs w:val="20"/>
                <w:lang w:eastAsia="en-GB" w:bidi="ar-SA"/>
              </w:rPr>
            </w:pPr>
            <w:r w:rsidRPr="00120F40">
              <w:rPr>
                <w:rFonts w:cs="Arial"/>
                <w:b/>
                <w:bCs/>
                <w:sz w:val="20"/>
                <w:szCs w:val="20"/>
                <w:lang w:eastAsia="en-GB" w:bidi="ar-SA"/>
              </w:rPr>
              <w:t>Parameter</w:t>
            </w:r>
          </w:p>
        </w:tc>
        <w:tc>
          <w:tcPr>
            <w:tcW w:w="646" w:type="pct"/>
            <w:vMerge w:val="restart"/>
            <w:tcBorders>
              <w:top w:val="single" w:sz="4" w:space="0" w:color="auto"/>
              <w:left w:val="nil"/>
              <w:right w:val="single" w:sz="8" w:space="0" w:color="000000"/>
            </w:tcBorders>
            <w:shd w:val="clear" w:color="auto" w:fill="BFBFBF" w:themeFill="background1" w:themeFillShade="BF"/>
            <w:vAlign w:val="center"/>
            <w:hideMark/>
          </w:tcPr>
          <w:p w14:paraId="4F2578AC" w14:textId="77777777" w:rsidR="009D0C2E" w:rsidRPr="00120F40" w:rsidRDefault="009D0C2E" w:rsidP="009D0C2E">
            <w:pPr>
              <w:widowControl/>
              <w:jc w:val="center"/>
              <w:rPr>
                <w:rFonts w:cs="Arial"/>
                <w:i/>
                <w:iCs/>
                <w:sz w:val="20"/>
                <w:szCs w:val="20"/>
                <w:lang w:eastAsia="en-GB" w:bidi="ar-SA"/>
              </w:rPr>
            </w:pPr>
            <w:r w:rsidRPr="00120F40">
              <w:rPr>
                <w:rFonts w:cs="Arial"/>
                <w:b/>
                <w:bCs/>
                <w:sz w:val="20"/>
                <w:szCs w:val="20"/>
                <w:lang w:eastAsia="en-GB" w:bidi="ar-SA"/>
              </w:rPr>
              <w:t>Unit</w:t>
            </w:r>
          </w:p>
        </w:tc>
        <w:tc>
          <w:tcPr>
            <w:tcW w:w="888" w:type="pct"/>
            <w:tcBorders>
              <w:top w:val="single" w:sz="4" w:space="0" w:color="auto"/>
              <w:left w:val="nil"/>
              <w:bottom w:val="single" w:sz="8" w:space="0" w:color="000000"/>
              <w:right w:val="single" w:sz="8" w:space="0" w:color="000000"/>
            </w:tcBorders>
            <w:shd w:val="clear" w:color="auto" w:fill="BFBFBF" w:themeFill="background1" w:themeFillShade="BF"/>
            <w:vAlign w:val="center"/>
            <w:hideMark/>
          </w:tcPr>
          <w:p w14:paraId="6B933313" w14:textId="77777777" w:rsidR="009D0C2E" w:rsidRPr="00120F40" w:rsidRDefault="009D0C2E" w:rsidP="009D0C2E">
            <w:pPr>
              <w:widowControl/>
              <w:jc w:val="center"/>
              <w:rPr>
                <w:rFonts w:cs="Arial"/>
                <w:b/>
                <w:bCs/>
                <w:sz w:val="20"/>
                <w:szCs w:val="20"/>
                <w:lang w:eastAsia="en-GB" w:bidi="ar-SA"/>
              </w:rPr>
            </w:pPr>
            <w:r w:rsidRPr="00120F40">
              <w:rPr>
                <w:rFonts w:cs="Arial"/>
                <w:b/>
                <w:bCs/>
                <w:sz w:val="20"/>
                <w:szCs w:val="20"/>
                <w:lang w:eastAsia="en-GB" w:bidi="ar-SA"/>
              </w:rPr>
              <w:t>SoA</w:t>
            </w:r>
          </w:p>
        </w:tc>
        <w:tc>
          <w:tcPr>
            <w:tcW w:w="1373" w:type="pct"/>
            <w:gridSpan w:val="2"/>
            <w:tcBorders>
              <w:top w:val="single" w:sz="4" w:space="0" w:color="auto"/>
              <w:left w:val="nil"/>
              <w:bottom w:val="single" w:sz="8" w:space="0" w:color="000000"/>
              <w:right w:val="single" w:sz="12" w:space="0" w:color="auto"/>
            </w:tcBorders>
            <w:shd w:val="clear" w:color="auto" w:fill="BFBFBF" w:themeFill="background1" w:themeFillShade="BF"/>
            <w:vAlign w:val="center"/>
            <w:hideMark/>
          </w:tcPr>
          <w:p w14:paraId="091B62E1" w14:textId="77777777" w:rsidR="009D0C2E" w:rsidRPr="00120F40" w:rsidRDefault="009D0C2E" w:rsidP="009D0C2E">
            <w:pPr>
              <w:widowControl/>
              <w:jc w:val="center"/>
              <w:rPr>
                <w:rFonts w:cs="Arial"/>
                <w:b/>
                <w:bCs/>
                <w:sz w:val="20"/>
                <w:szCs w:val="20"/>
                <w:lang w:eastAsia="en-GB" w:bidi="ar-SA"/>
              </w:rPr>
            </w:pPr>
            <w:r w:rsidRPr="00120F40">
              <w:rPr>
                <w:rFonts w:cs="Arial"/>
                <w:b/>
                <w:bCs/>
                <w:sz w:val="20"/>
                <w:szCs w:val="20"/>
                <w:lang w:eastAsia="en-GB" w:bidi="ar-SA"/>
              </w:rPr>
              <w:t>Targets</w:t>
            </w:r>
          </w:p>
        </w:tc>
      </w:tr>
      <w:tr w:rsidR="009D0C2E" w:rsidRPr="00120F40" w14:paraId="05F5B9BE" w14:textId="77777777" w:rsidTr="00120F40">
        <w:trPr>
          <w:trHeight w:val="449"/>
        </w:trPr>
        <w:tc>
          <w:tcPr>
            <w:tcW w:w="306" w:type="pct"/>
            <w:vMerge/>
            <w:tcBorders>
              <w:left w:val="single" w:sz="8" w:space="0" w:color="000000"/>
              <w:bottom w:val="single" w:sz="8" w:space="0" w:color="000000"/>
              <w:right w:val="single" w:sz="8" w:space="0" w:color="000000"/>
            </w:tcBorders>
            <w:shd w:val="clear" w:color="auto" w:fill="BFBFBF" w:themeFill="background1" w:themeFillShade="BF"/>
            <w:vAlign w:val="center"/>
            <w:hideMark/>
          </w:tcPr>
          <w:p w14:paraId="5D993F07" w14:textId="77777777" w:rsidR="009D0C2E" w:rsidRPr="00120F40" w:rsidRDefault="009D0C2E" w:rsidP="009D0C2E">
            <w:pPr>
              <w:widowControl/>
              <w:jc w:val="center"/>
              <w:rPr>
                <w:rFonts w:cs="Arial"/>
                <w:b/>
                <w:bCs/>
                <w:sz w:val="20"/>
                <w:szCs w:val="20"/>
                <w:lang w:eastAsia="en-GB" w:bidi="ar-SA"/>
              </w:rPr>
            </w:pPr>
          </w:p>
        </w:tc>
        <w:tc>
          <w:tcPr>
            <w:tcW w:w="1787" w:type="pct"/>
            <w:gridSpan w:val="2"/>
            <w:vMerge/>
            <w:tcBorders>
              <w:left w:val="nil"/>
              <w:bottom w:val="single" w:sz="8" w:space="0" w:color="000000"/>
              <w:right w:val="single" w:sz="8" w:space="0" w:color="000000"/>
            </w:tcBorders>
            <w:shd w:val="clear" w:color="auto" w:fill="BFBFBF" w:themeFill="background1" w:themeFillShade="BF"/>
            <w:vAlign w:val="center"/>
            <w:hideMark/>
          </w:tcPr>
          <w:p w14:paraId="5B13CBC7" w14:textId="77777777" w:rsidR="009D0C2E" w:rsidRPr="00120F40" w:rsidRDefault="009D0C2E" w:rsidP="009D0C2E">
            <w:pPr>
              <w:widowControl/>
              <w:jc w:val="center"/>
              <w:rPr>
                <w:rFonts w:cs="Arial"/>
                <w:b/>
                <w:bCs/>
                <w:sz w:val="20"/>
                <w:szCs w:val="20"/>
                <w:lang w:eastAsia="en-GB" w:bidi="ar-SA"/>
              </w:rPr>
            </w:pPr>
          </w:p>
        </w:tc>
        <w:tc>
          <w:tcPr>
            <w:tcW w:w="646" w:type="pct"/>
            <w:vMerge/>
            <w:tcBorders>
              <w:left w:val="nil"/>
              <w:bottom w:val="single" w:sz="8" w:space="0" w:color="000000"/>
              <w:right w:val="single" w:sz="8" w:space="0" w:color="000000"/>
            </w:tcBorders>
            <w:shd w:val="clear" w:color="auto" w:fill="BFBFBF" w:themeFill="background1" w:themeFillShade="BF"/>
            <w:vAlign w:val="center"/>
            <w:hideMark/>
          </w:tcPr>
          <w:p w14:paraId="217D8223" w14:textId="77777777" w:rsidR="009D0C2E" w:rsidRPr="00120F40" w:rsidRDefault="009D0C2E" w:rsidP="009D0C2E">
            <w:pPr>
              <w:widowControl/>
              <w:jc w:val="center"/>
              <w:rPr>
                <w:rFonts w:cs="Arial"/>
                <w:b/>
                <w:bCs/>
                <w:sz w:val="20"/>
                <w:szCs w:val="20"/>
                <w:lang w:eastAsia="en-GB" w:bidi="ar-SA"/>
              </w:rPr>
            </w:pPr>
          </w:p>
        </w:tc>
        <w:tc>
          <w:tcPr>
            <w:tcW w:w="888" w:type="pct"/>
            <w:tcBorders>
              <w:top w:val="nil"/>
              <w:left w:val="nil"/>
              <w:bottom w:val="single" w:sz="8" w:space="0" w:color="000000"/>
              <w:right w:val="single" w:sz="8" w:space="0" w:color="000000"/>
            </w:tcBorders>
            <w:shd w:val="clear" w:color="auto" w:fill="BFBFBF" w:themeFill="background1" w:themeFillShade="BF"/>
            <w:vAlign w:val="center"/>
            <w:hideMark/>
          </w:tcPr>
          <w:p w14:paraId="66F64151" w14:textId="77777777" w:rsidR="009D0C2E" w:rsidRPr="00120F40" w:rsidRDefault="009D0C2E" w:rsidP="009D0C2E">
            <w:pPr>
              <w:widowControl/>
              <w:jc w:val="center"/>
              <w:rPr>
                <w:rFonts w:cs="Arial"/>
                <w:b/>
                <w:bCs/>
                <w:sz w:val="20"/>
                <w:szCs w:val="20"/>
                <w:lang w:eastAsia="en-GB" w:bidi="ar-SA"/>
              </w:rPr>
            </w:pPr>
            <w:r w:rsidRPr="00120F40">
              <w:rPr>
                <w:rFonts w:cs="Arial"/>
                <w:b/>
                <w:bCs/>
                <w:sz w:val="20"/>
                <w:szCs w:val="20"/>
                <w:lang w:eastAsia="en-GB" w:bidi="ar-SA"/>
              </w:rPr>
              <w:t>2020</w:t>
            </w:r>
          </w:p>
        </w:tc>
        <w:tc>
          <w:tcPr>
            <w:tcW w:w="646" w:type="pct"/>
            <w:tcBorders>
              <w:top w:val="nil"/>
              <w:left w:val="nil"/>
              <w:bottom w:val="single" w:sz="8" w:space="0" w:color="000000"/>
              <w:right w:val="single" w:sz="8" w:space="0" w:color="000000"/>
            </w:tcBorders>
            <w:shd w:val="clear" w:color="auto" w:fill="BFBFBF" w:themeFill="background1" w:themeFillShade="BF"/>
            <w:vAlign w:val="center"/>
            <w:hideMark/>
          </w:tcPr>
          <w:p w14:paraId="1034C102" w14:textId="77777777" w:rsidR="009D0C2E" w:rsidRPr="00120F40" w:rsidRDefault="009D0C2E" w:rsidP="009D0C2E">
            <w:pPr>
              <w:widowControl/>
              <w:jc w:val="center"/>
              <w:rPr>
                <w:rFonts w:cs="Arial"/>
                <w:b/>
                <w:bCs/>
                <w:sz w:val="20"/>
                <w:szCs w:val="20"/>
                <w:lang w:eastAsia="en-GB" w:bidi="ar-SA"/>
              </w:rPr>
            </w:pPr>
            <w:r w:rsidRPr="00120F40">
              <w:rPr>
                <w:rFonts w:cs="Arial"/>
                <w:b/>
                <w:bCs/>
                <w:sz w:val="20"/>
                <w:szCs w:val="20"/>
                <w:lang w:eastAsia="en-GB" w:bidi="ar-SA"/>
              </w:rPr>
              <w:t>2024</w:t>
            </w:r>
          </w:p>
        </w:tc>
        <w:tc>
          <w:tcPr>
            <w:tcW w:w="727" w:type="pct"/>
            <w:tcBorders>
              <w:top w:val="nil"/>
              <w:left w:val="nil"/>
              <w:bottom w:val="single" w:sz="8" w:space="0" w:color="000000"/>
              <w:right w:val="single" w:sz="8" w:space="0" w:color="000000"/>
            </w:tcBorders>
            <w:shd w:val="clear" w:color="auto" w:fill="BFBFBF" w:themeFill="background1" w:themeFillShade="BF"/>
            <w:vAlign w:val="center"/>
            <w:hideMark/>
          </w:tcPr>
          <w:p w14:paraId="52DD1183" w14:textId="77777777" w:rsidR="009D0C2E" w:rsidRPr="00120F40" w:rsidRDefault="009D0C2E" w:rsidP="009D0C2E">
            <w:pPr>
              <w:widowControl/>
              <w:jc w:val="center"/>
              <w:rPr>
                <w:rFonts w:cs="Arial"/>
                <w:b/>
                <w:bCs/>
                <w:sz w:val="20"/>
                <w:szCs w:val="20"/>
                <w:lang w:eastAsia="en-GB" w:bidi="ar-SA"/>
              </w:rPr>
            </w:pPr>
            <w:r w:rsidRPr="00120F40">
              <w:rPr>
                <w:rFonts w:cs="Arial"/>
                <w:b/>
                <w:bCs/>
                <w:sz w:val="20"/>
                <w:szCs w:val="20"/>
                <w:lang w:eastAsia="en-GB" w:bidi="ar-SA"/>
              </w:rPr>
              <w:t>2030</w:t>
            </w:r>
          </w:p>
        </w:tc>
      </w:tr>
      <w:tr w:rsidR="009D0C2E" w:rsidRPr="00B364CB" w14:paraId="32AA8DFC" w14:textId="77777777" w:rsidTr="00120F40">
        <w:trPr>
          <w:trHeight w:val="44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EE357C2" w14:textId="77777777" w:rsidR="009D0C2E" w:rsidRPr="00B364CB" w:rsidRDefault="009D0C2E" w:rsidP="009D0C2E">
            <w:pPr>
              <w:widowControl/>
              <w:jc w:val="center"/>
              <w:rPr>
                <w:rFonts w:cs="Arial"/>
                <w:b/>
                <w:sz w:val="20"/>
                <w:szCs w:val="20"/>
                <w:lang w:eastAsia="en-GB" w:bidi="ar-SA"/>
              </w:rPr>
            </w:pPr>
            <w:r w:rsidRPr="00120F40">
              <w:rPr>
                <w:rFonts w:cs="Arial"/>
                <w:b/>
                <w:sz w:val="20"/>
                <w:szCs w:val="20"/>
                <w:lang w:eastAsia="en-GB" w:bidi="ar-SA"/>
              </w:rPr>
              <w:t>System</w:t>
            </w:r>
          </w:p>
        </w:tc>
      </w:tr>
      <w:tr w:rsidR="009D0C2E" w:rsidRPr="00B364CB" w14:paraId="62F89FAE" w14:textId="77777777" w:rsidTr="00120F40">
        <w:trPr>
          <w:trHeight w:val="160"/>
        </w:trPr>
        <w:tc>
          <w:tcPr>
            <w:tcW w:w="306" w:type="pct"/>
            <w:vMerge w:val="restart"/>
            <w:tcBorders>
              <w:top w:val="single" w:sz="8" w:space="0" w:color="000000"/>
              <w:left w:val="single" w:sz="8" w:space="0" w:color="000000"/>
              <w:right w:val="single" w:sz="8" w:space="0" w:color="000000"/>
            </w:tcBorders>
            <w:shd w:val="clear" w:color="auto" w:fill="auto"/>
            <w:vAlign w:val="center"/>
            <w:hideMark/>
          </w:tcPr>
          <w:p w14:paraId="5415D496" w14:textId="77777777" w:rsidR="009D0C2E" w:rsidRPr="00B364CB" w:rsidRDefault="009D0C2E" w:rsidP="009D0C2E">
            <w:pPr>
              <w:widowControl/>
              <w:jc w:val="center"/>
              <w:rPr>
                <w:rFonts w:cs="Arial"/>
                <w:bCs/>
                <w:sz w:val="20"/>
                <w:szCs w:val="20"/>
                <w:lang w:eastAsia="en-GB" w:bidi="ar-SA"/>
              </w:rPr>
            </w:pPr>
            <w:r w:rsidRPr="00B364CB">
              <w:rPr>
                <w:rFonts w:cs="Arial"/>
                <w:sz w:val="20"/>
                <w:szCs w:val="20"/>
                <w:lang w:eastAsia="en-GB" w:bidi="ar-SA"/>
              </w:rPr>
              <w:t>1</w:t>
            </w:r>
          </w:p>
        </w:tc>
        <w:tc>
          <w:tcPr>
            <w:tcW w:w="834" w:type="pct"/>
            <w:vMerge w:val="restart"/>
            <w:tcBorders>
              <w:top w:val="single" w:sz="8" w:space="0" w:color="000000"/>
              <w:left w:val="nil"/>
              <w:right w:val="single" w:sz="8" w:space="0" w:color="000000"/>
            </w:tcBorders>
            <w:shd w:val="clear" w:color="auto" w:fill="auto"/>
            <w:vAlign w:val="center"/>
          </w:tcPr>
          <w:p w14:paraId="648968B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CAPEX</w:t>
            </w:r>
          </w:p>
        </w:tc>
        <w:tc>
          <w:tcPr>
            <w:tcW w:w="953" w:type="pct"/>
            <w:tcBorders>
              <w:top w:val="single" w:sz="8" w:space="0" w:color="000000"/>
              <w:left w:val="nil"/>
              <w:right w:val="single" w:sz="8" w:space="0" w:color="000000"/>
            </w:tcBorders>
            <w:shd w:val="clear" w:color="auto" w:fill="auto"/>
          </w:tcPr>
          <w:p w14:paraId="06840A3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&lt;5 kWe</w:t>
            </w:r>
          </w:p>
        </w:tc>
        <w:tc>
          <w:tcPr>
            <w:tcW w:w="646" w:type="pct"/>
            <w:vMerge w:val="restart"/>
            <w:tcBorders>
              <w:top w:val="single" w:sz="8" w:space="0" w:color="000000"/>
              <w:left w:val="nil"/>
              <w:right w:val="single" w:sz="8" w:space="0" w:color="000000"/>
            </w:tcBorders>
            <w:shd w:val="clear" w:color="auto" w:fill="auto"/>
            <w:vAlign w:val="center"/>
          </w:tcPr>
          <w:p w14:paraId="12893EA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w:t>
            </w:r>
          </w:p>
        </w:tc>
        <w:tc>
          <w:tcPr>
            <w:tcW w:w="888" w:type="pct"/>
            <w:vMerge w:val="restart"/>
            <w:tcBorders>
              <w:top w:val="single" w:sz="8" w:space="0" w:color="000000"/>
              <w:left w:val="nil"/>
              <w:right w:val="single" w:sz="8" w:space="0" w:color="000000"/>
            </w:tcBorders>
            <w:shd w:val="clear" w:color="auto" w:fill="auto"/>
          </w:tcPr>
          <w:p w14:paraId="3635F9AB"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6,000</w:t>
            </w:r>
          </w:p>
          <w:p w14:paraId="4FB7DCE7"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2,500</w:t>
            </w:r>
          </w:p>
          <w:p w14:paraId="5BA26435"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1,900</w:t>
            </w:r>
          </w:p>
        </w:tc>
        <w:tc>
          <w:tcPr>
            <w:tcW w:w="646" w:type="pct"/>
            <w:tcBorders>
              <w:top w:val="single" w:sz="8" w:space="0" w:color="000000"/>
              <w:left w:val="nil"/>
              <w:right w:val="single" w:sz="8" w:space="0" w:color="000000"/>
            </w:tcBorders>
            <w:shd w:val="clear" w:color="auto" w:fill="auto"/>
          </w:tcPr>
          <w:p w14:paraId="7FEB1A5E"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5,000</w:t>
            </w:r>
          </w:p>
        </w:tc>
        <w:tc>
          <w:tcPr>
            <w:tcW w:w="727" w:type="pct"/>
            <w:tcBorders>
              <w:top w:val="single" w:sz="8" w:space="0" w:color="000000"/>
              <w:left w:val="nil"/>
              <w:right w:val="single" w:sz="8" w:space="0" w:color="000000"/>
            </w:tcBorders>
            <w:shd w:val="clear" w:color="auto" w:fill="auto"/>
          </w:tcPr>
          <w:p w14:paraId="795F9589"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4,000</w:t>
            </w:r>
          </w:p>
        </w:tc>
      </w:tr>
      <w:tr w:rsidR="009D0C2E" w:rsidRPr="00B364CB" w14:paraId="6F6D04D3" w14:textId="77777777" w:rsidTr="00120F40">
        <w:trPr>
          <w:trHeight w:val="160"/>
        </w:trPr>
        <w:tc>
          <w:tcPr>
            <w:tcW w:w="306" w:type="pct"/>
            <w:vMerge/>
            <w:tcBorders>
              <w:left w:val="single" w:sz="8" w:space="0" w:color="000000"/>
              <w:right w:val="single" w:sz="8" w:space="0" w:color="000000"/>
            </w:tcBorders>
            <w:shd w:val="clear" w:color="auto" w:fill="auto"/>
            <w:vAlign w:val="center"/>
          </w:tcPr>
          <w:p w14:paraId="7712BA3D" w14:textId="77777777" w:rsidR="009D0C2E" w:rsidRPr="00B364CB" w:rsidRDefault="009D0C2E" w:rsidP="009D0C2E">
            <w:pPr>
              <w:widowControl/>
              <w:jc w:val="center"/>
              <w:rPr>
                <w:rFonts w:cs="Arial"/>
                <w:sz w:val="20"/>
                <w:szCs w:val="20"/>
                <w:lang w:eastAsia="en-GB" w:bidi="ar-SA"/>
              </w:rPr>
            </w:pPr>
          </w:p>
        </w:tc>
        <w:tc>
          <w:tcPr>
            <w:tcW w:w="834" w:type="pct"/>
            <w:vMerge/>
            <w:tcBorders>
              <w:left w:val="nil"/>
              <w:right w:val="single" w:sz="8" w:space="0" w:color="000000"/>
            </w:tcBorders>
            <w:shd w:val="clear" w:color="auto" w:fill="auto"/>
            <w:vAlign w:val="center"/>
          </w:tcPr>
          <w:p w14:paraId="247FA2CF" w14:textId="77777777" w:rsidR="009D0C2E" w:rsidRPr="00B364CB" w:rsidRDefault="009D0C2E" w:rsidP="009D0C2E">
            <w:pPr>
              <w:widowControl/>
              <w:jc w:val="center"/>
              <w:rPr>
                <w:rFonts w:cs="Arial"/>
                <w:sz w:val="20"/>
                <w:szCs w:val="20"/>
                <w:lang w:eastAsia="en-GB" w:bidi="ar-SA"/>
              </w:rPr>
            </w:pPr>
          </w:p>
        </w:tc>
        <w:tc>
          <w:tcPr>
            <w:tcW w:w="953" w:type="pct"/>
            <w:tcBorders>
              <w:top w:val="nil"/>
              <w:left w:val="nil"/>
              <w:right w:val="single" w:sz="8" w:space="0" w:color="000000"/>
            </w:tcBorders>
            <w:shd w:val="clear" w:color="auto" w:fill="auto"/>
          </w:tcPr>
          <w:p w14:paraId="4F95A15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5-50 kWe</w:t>
            </w:r>
          </w:p>
        </w:tc>
        <w:tc>
          <w:tcPr>
            <w:tcW w:w="646" w:type="pct"/>
            <w:vMerge/>
            <w:tcBorders>
              <w:left w:val="nil"/>
              <w:right w:val="single" w:sz="8" w:space="0" w:color="000000"/>
            </w:tcBorders>
            <w:shd w:val="clear" w:color="auto" w:fill="auto"/>
            <w:vAlign w:val="center"/>
          </w:tcPr>
          <w:p w14:paraId="3A5C2F2C" w14:textId="77777777" w:rsidR="009D0C2E" w:rsidRPr="00B364CB" w:rsidRDefault="009D0C2E" w:rsidP="009D0C2E">
            <w:pPr>
              <w:widowControl/>
              <w:jc w:val="center"/>
              <w:rPr>
                <w:rFonts w:cs="Arial"/>
                <w:sz w:val="20"/>
                <w:szCs w:val="20"/>
                <w:lang w:eastAsia="en-GB" w:bidi="ar-SA"/>
              </w:rPr>
            </w:pPr>
          </w:p>
        </w:tc>
        <w:tc>
          <w:tcPr>
            <w:tcW w:w="888" w:type="pct"/>
            <w:vMerge/>
            <w:tcBorders>
              <w:left w:val="nil"/>
              <w:right w:val="single" w:sz="8" w:space="0" w:color="000000"/>
            </w:tcBorders>
            <w:shd w:val="clear" w:color="auto" w:fill="auto"/>
          </w:tcPr>
          <w:p w14:paraId="7D8A8246" w14:textId="77777777" w:rsidR="009D0C2E" w:rsidRPr="00B364CB" w:rsidRDefault="009D0C2E" w:rsidP="009D0C2E">
            <w:pPr>
              <w:widowControl/>
              <w:jc w:val="center"/>
              <w:rPr>
                <w:rFonts w:cs="Arial"/>
                <w:sz w:val="20"/>
                <w:szCs w:val="20"/>
                <w:lang w:eastAsia="en-GB" w:bidi="ar-SA"/>
              </w:rPr>
            </w:pPr>
          </w:p>
        </w:tc>
        <w:tc>
          <w:tcPr>
            <w:tcW w:w="646" w:type="pct"/>
            <w:tcBorders>
              <w:top w:val="nil"/>
              <w:left w:val="nil"/>
              <w:right w:val="single" w:sz="8" w:space="0" w:color="000000"/>
            </w:tcBorders>
            <w:shd w:val="clear" w:color="auto" w:fill="auto"/>
          </w:tcPr>
          <w:p w14:paraId="45B4A8B9"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1,800</w:t>
            </w:r>
          </w:p>
        </w:tc>
        <w:tc>
          <w:tcPr>
            <w:tcW w:w="727" w:type="pct"/>
            <w:tcBorders>
              <w:top w:val="nil"/>
              <w:left w:val="nil"/>
              <w:right w:val="single" w:sz="8" w:space="0" w:color="000000"/>
            </w:tcBorders>
            <w:shd w:val="clear" w:color="auto" w:fill="auto"/>
          </w:tcPr>
          <w:p w14:paraId="3EB98D42"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1,200</w:t>
            </w:r>
          </w:p>
        </w:tc>
      </w:tr>
      <w:tr w:rsidR="009D0C2E" w:rsidRPr="00B364CB" w14:paraId="566BF237" w14:textId="77777777" w:rsidTr="00120F40">
        <w:trPr>
          <w:trHeight w:val="160"/>
        </w:trPr>
        <w:tc>
          <w:tcPr>
            <w:tcW w:w="306" w:type="pct"/>
            <w:vMerge/>
            <w:tcBorders>
              <w:left w:val="single" w:sz="8" w:space="0" w:color="000000"/>
              <w:bottom w:val="single" w:sz="8" w:space="0" w:color="000000"/>
              <w:right w:val="single" w:sz="8" w:space="0" w:color="000000"/>
            </w:tcBorders>
            <w:shd w:val="clear" w:color="auto" w:fill="auto"/>
            <w:vAlign w:val="center"/>
          </w:tcPr>
          <w:p w14:paraId="445F096A" w14:textId="77777777" w:rsidR="009D0C2E" w:rsidRPr="00B364CB" w:rsidRDefault="009D0C2E" w:rsidP="009D0C2E">
            <w:pPr>
              <w:widowControl/>
              <w:jc w:val="center"/>
              <w:rPr>
                <w:rFonts w:cs="Arial"/>
                <w:sz w:val="20"/>
                <w:szCs w:val="20"/>
                <w:lang w:eastAsia="en-GB" w:bidi="ar-SA"/>
              </w:rPr>
            </w:pPr>
          </w:p>
        </w:tc>
        <w:tc>
          <w:tcPr>
            <w:tcW w:w="834" w:type="pct"/>
            <w:vMerge/>
            <w:tcBorders>
              <w:left w:val="nil"/>
              <w:bottom w:val="single" w:sz="8" w:space="0" w:color="000000"/>
              <w:right w:val="single" w:sz="8" w:space="0" w:color="000000"/>
            </w:tcBorders>
            <w:shd w:val="clear" w:color="auto" w:fill="auto"/>
            <w:vAlign w:val="center"/>
          </w:tcPr>
          <w:p w14:paraId="0CF8FD9B" w14:textId="77777777" w:rsidR="009D0C2E" w:rsidRPr="00B364CB" w:rsidRDefault="009D0C2E" w:rsidP="009D0C2E">
            <w:pPr>
              <w:widowControl/>
              <w:jc w:val="center"/>
              <w:rPr>
                <w:rFonts w:cs="Arial"/>
                <w:sz w:val="20"/>
                <w:szCs w:val="20"/>
                <w:lang w:eastAsia="en-GB" w:bidi="ar-SA"/>
              </w:rPr>
            </w:pPr>
          </w:p>
        </w:tc>
        <w:tc>
          <w:tcPr>
            <w:tcW w:w="953" w:type="pct"/>
            <w:tcBorders>
              <w:top w:val="nil"/>
              <w:left w:val="nil"/>
              <w:bottom w:val="single" w:sz="8" w:space="0" w:color="000000"/>
              <w:right w:val="single" w:sz="8" w:space="0" w:color="000000"/>
            </w:tcBorders>
            <w:shd w:val="clear" w:color="auto" w:fill="auto"/>
          </w:tcPr>
          <w:p w14:paraId="4725CB7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51-500 kWe</w:t>
            </w:r>
          </w:p>
        </w:tc>
        <w:tc>
          <w:tcPr>
            <w:tcW w:w="646" w:type="pct"/>
            <w:vMerge/>
            <w:tcBorders>
              <w:left w:val="nil"/>
              <w:bottom w:val="single" w:sz="8" w:space="0" w:color="000000"/>
              <w:right w:val="single" w:sz="8" w:space="0" w:color="000000"/>
            </w:tcBorders>
            <w:shd w:val="clear" w:color="auto" w:fill="auto"/>
            <w:vAlign w:val="center"/>
          </w:tcPr>
          <w:p w14:paraId="0FFBA239" w14:textId="77777777" w:rsidR="009D0C2E" w:rsidRPr="00B364CB" w:rsidRDefault="009D0C2E" w:rsidP="009D0C2E">
            <w:pPr>
              <w:widowControl/>
              <w:jc w:val="center"/>
              <w:rPr>
                <w:rFonts w:cs="Arial"/>
                <w:sz w:val="20"/>
                <w:szCs w:val="20"/>
                <w:lang w:eastAsia="en-GB" w:bidi="ar-SA"/>
              </w:rPr>
            </w:pPr>
          </w:p>
        </w:tc>
        <w:tc>
          <w:tcPr>
            <w:tcW w:w="888" w:type="pct"/>
            <w:vMerge/>
            <w:tcBorders>
              <w:left w:val="nil"/>
              <w:bottom w:val="single" w:sz="8" w:space="0" w:color="000000"/>
              <w:right w:val="single" w:sz="8" w:space="0" w:color="000000"/>
            </w:tcBorders>
            <w:shd w:val="clear" w:color="auto" w:fill="auto"/>
          </w:tcPr>
          <w:p w14:paraId="438B2033" w14:textId="77777777" w:rsidR="009D0C2E" w:rsidRPr="00B364CB" w:rsidRDefault="009D0C2E" w:rsidP="009D0C2E">
            <w:pPr>
              <w:widowControl/>
              <w:jc w:val="center"/>
              <w:rPr>
                <w:rFonts w:cs="Arial"/>
                <w:sz w:val="20"/>
                <w:szCs w:val="20"/>
                <w:lang w:eastAsia="en-GB" w:bidi="ar-SA"/>
              </w:rPr>
            </w:pPr>
          </w:p>
        </w:tc>
        <w:tc>
          <w:tcPr>
            <w:tcW w:w="646" w:type="pct"/>
            <w:tcBorders>
              <w:top w:val="nil"/>
              <w:left w:val="nil"/>
              <w:bottom w:val="single" w:sz="8" w:space="0" w:color="000000"/>
              <w:right w:val="single" w:sz="8" w:space="0" w:color="000000"/>
            </w:tcBorders>
            <w:shd w:val="clear" w:color="auto" w:fill="auto"/>
          </w:tcPr>
          <w:p w14:paraId="4B5F26E8"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1,200</w:t>
            </w:r>
          </w:p>
        </w:tc>
        <w:tc>
          <w:tcPr>
            <w:tcW w:w="727" w:type="pct"/>
            <w:tcBorders>
              <w:top w:val="nil"/>
              <w:left w:val="nil"/>
              <w:bottom w:val="single" w:sz="8" w:space="0" w:color="000000"/>
              <w:right w:val="single" w:sz="8" w:space="0" w:color="000000"/>
            </w:tcBorders>
            <w:shd w:val="clear" w:color="auto" w:fill="auto"/>
          </w:tcPr>
          <w:p w14:paraId="1C647F14"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900</w:t>
            </w:r>
          </w:p>
        </w:tc>
      </w:tr>
      <w:tr w:rsidR="009D0C2E" w:rsidRPr="00B364CB" w14:paraId="15CC4DF9" w14:textId="77777777" w:rsidTr="00120F40">
        <w:trPr>
          <w:trHeight w:val="160"/>
        </w:trPr>
        <w:tc>
          <w:tcPr>
            <w:tcW w:w="306" w:type="pct"/>
            <w:vMerge w:val="restart"/>
            <w:tcBorders>
              <w:top w:val="single" w:sz="8" w:space="0" w:color="000000"/>
              <w:left w:val="single" w:sz="8" w:space="0" w:color="000000"/>
              <w:right w:val="single" w:sz="8" w:space="0" w:color="000000"/>
            </w:tcBorders>
            <w:shd w:val="clear" w:color="auto" w:fill="auto"/>
            <w:vAlign w:val="center"/>
            <w:hideMark/>
          </w:tcPr>
          <w:p w14:paraId="0637FA8E" w14:textId="77777777" w:rsidR="009D0C2E" w:rsidRPr="00B364CB" w:rsidRDefault="009D0C2E" w:rsidP="009D0C2E">
            <w:pPr>
              <w:widowControl/>
              <w:jc w:val="center"/>
              <w:rPr>
                <w:rFonts w:cs="Arial"/>
                <w:bCs/>
                <w:sz w:val="20"/>
                <w:szCs w:val="20"/>
                <w:lang w:eastAsia="en-GB" w:bidi="ar-SA"/>
              </w:rPr>
            </w:pPr>
            <w:r w:rsidRPr="00B364CB">
              <w:rPr>
                <w:rFonts w:cs="Arial"/>
                <w:sz w:val="20"/>
                <w:szCs w:val="20"/>
                <w:lang w:eastAsia="en-GB" w:bidi="ar-SA"/>
              </w:rPr>
              <w:t>2</w:t>
            </w:r>
          </w:p>
        </w:tc>
        <w:tc>
          <w:tcPr>
            <w:tcW w:w="834" w:type="pct"/>
            <w:vMerge w:val="restart"/>
            <w:tcBorders>
              <w:top w:val="single" w:sz="8" w:space="0" w:color="000000"/>
              <w:left w:val="nil"/>
              <w:right w:val="single" w:sz="8" w:space="0" w:color="000000"/>
            </w:tcBorders>
            <w:shd w:val="clear" w:color="auto" w:fill="auto"/>
            <w:vAlign w:val="center"/>
          </w:tcPr>
          <w:p w14:paraId="2C93D382"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 xml:space="preserve">O&amp;M cost </w:t>
            </w:r>
          </w:p>
        </w:tc>
        <w:tc>
          <w:tcPr>
            <w:tcW w:w="953" w:type="pct"/>
            <w:tcBorders>
              <w:top w:val="single" w:sz="8" w:space="0" w:color="000000"/>
              <w:left w:val="nil"/>
              <w:right w:val="single" w:sz="8" w:space="0" w:color="000000"/>
            </w:tcBorders>
            <w:shd w:val="clear" w:color="auto" w:fill="auto"/>
            <w:vAlign w:val="center"/>
          </w:tcPr>
          <w:p w14:paraId="3E25E55D"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&lt;5 kWe</w:t>
            </w:r>
          </w:p>
        </w:tc>
        <w:tc>
          <w:tcPr>
            <w:tcW w:w="646" w:type="pct"/>
            <w:vMerge w:val="restart"/>
            <w:tcBorders>
              <w:top w:val="single" w:sz="8" w:space="0" w:color="000000"/>
              <w:left w:val="nil"/>
              <w:right w:val="single" w:sz="8" w:space="0" w:color="000000"/>
            </w:tcBorders>
            <w:shd w:val="clear" w:color="auto" w:fill="auto"/>
            <w:vAlign w:val="center"/>
          </w:tcPr>
          <w:p w14:paraId="4EDCF108"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€ct/kWh</w:t>
            </w:r>
          </w:p>
        </w:tc>
        <w:tc>
          <w:tcPr>
            <w:tcW w:w="888" w:type="pct"/>
            <w:vMerge w:val="restart"/>
            <w:tcBorders>
              <w:top w:val="single" w:sz="8" w:space="0" w:color="000000"/>
              <w:left w:val="nil"/>
              <w:right w:val="single" w:sz="8" w:space="0" w:color="000000"/>
            </w:tcBorders>
            <w:shd w:val="clear" w:color="auto" w:fill="auto"/>
          </w:tcPr>
          <w:p w14:paraId="0D17AE5B"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10</w:t>
            </w:r>
          </w:p>
          <w:p w14:paraId="6088827E"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10</w:t>
            </w:r>
          </w:p>
          <w:p w14:paraId="700306C5"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5</w:t>
            </w:r>
          </w:p>
        </w:tc>
        <w:tc>
          <w:tcPr>
            <w:tcW w:w="646" w:type="pct"/>
            <w:tcBorders>
              <w:top w:val="single" w:sz="8" w:space="0" w:color="000000"/>
              <w:left w:val="nil"/>
              <w:right w:val="single" w:sz="8" w:space="0" w:color="000000"/>
            </w:tcBorders>
            <w:shd w:val="clear" w:color="auto" w:fill="auto"/>
          </w:tcPr>
          <w:p w14:paraId="3F279C17"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8</w:t>
            </w:r>
          </w:p>
        </w:tc>
        <w:tc>
          <w:tcPr>
            <w:tcW w:w="727" w:type="pct"/>
            <w:tcBorders>
              <w:top w:val="single" w:sz="8" w:space="0" w:color="000000"/>
              <w:left w:val="nil"/>
              <w:right w:val="single" w:sz="8" w:space="0" w:color="000000"/>
            </w:tcBorders>
            <w:shd w:val="clear" w:color="auto" w:fill="auto"/>
          </w:tcPr>
          <w:p w14:paraId="6D9C072D"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4</w:t>
            </w:r>
          </w:p>
        </w:tc>
      </w:tr>
      <w:tr w:rsidR="009D0C2E" w:rsidRPr="00B364CB" w14:paraId="5A214E04" w14:textId="77777777" w:rsidTr="00120F40">
        <w:trPr>
          <w:trHeight w:val="160"/>
        </w:trPr>
        <w:tc>
          <w:tcPr>
            <w:tcW w:w="306" w:type="pct"/>
            <w:vMerge/>
            <w:tcBorders>
              <w:left w:val="single" w:sz="8" w:space="0" w:color="000000"/>
              <w:right w:val="single" w:sz="8" w:space="0" w:color="000000"/>
            </w:tcBorders>
            <w:shd w:val="clear" w:color="auto" w:fill="auto"/>
            <w:vAlign w:val="center"/>
          </w:tcPr>
          <w:p w14:paraId="59D8106A" w14:textId="77777777" w:rsidR="009D0C2E" w:rsidRPr="00B364CB" w:rsidRDefault="009D0C2E" w:rsidP="009D0C2E">
            <w:pPr>
              <w:widowControl/>
              <w:jc w:val="center"/>
              <w:rPr>
                <w:rFonts w:cs="Arial"/>
                <w:sz w:val="20"/>
                <w:szCs w:val="20"/>
                <w:lang w:eastAsia="en-GB" w:bidi="ar-SA"/>
              </w:rPr>
            </w:pPr>
          </w:p>
        </w:tc>
        <w:tc>
          <w:tcPr>
            <w:tcW w:w="834" w:type="pct"/>
            <w:vMerge/>
            <w:tcBorders>
              <w:left w:val="nil"/>
              <w:right w:val="single" w:sz="8" w:space="0" w:color="000000"/>
            </w:tcBorders>
            <w:shd w:val="clear" w:color="auto" w:fill="auto"/>
            <w:vAlign w:val="center"/>
          </w:tcPr>
          <w:p w14:paraId="50FA8CDF" w14:textId="77777777" w:rsidR="009D0C2E" w:rsidRPr="00B364CB" w:rsidRDefault="009D0C2E" w:rsidP="009D0C2E">
            <w:pPr>
              <w:widowControl/>
              <w:jc w:val="center"/>
              <w:rPr>
                <w:rFonts w:cs="Arial"/>
                <w:sz w:val="20"/>
                <w:szCs w:val="20"/>
                <w:lang w:eastAsia="en-GB" w:bidi="ar-SA"/>
              </w:rPr>
            </w:pPr>
          </w:p>
        </w:tc>
        <w:tc>
          <w:tcPr>
            <w:tcW w:w="953" w:type="pct"/>
            <w:tcBorders>
              <w:top w:val="nil"/>
              <w:left w:val="nil"/>
              <w:right w:val="single" w:sz="8" w:space="0" w:color="000000"/>
            </w:tcBorders>
            <w:shd w:val="clear" w:color="auto" w:fill="auto"/>
            <w:vAlign w:val="center"/>
          </w:tcPr>
          <w:p w14:paraId="36FB2319"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5-50 kWe</w:t>
            </w:r>
          </w:p>
        </w:tc>
        <w:tc>
          <w:tcPr>
            <w:tcW w:w="646" w:type="pct"/>
            <w:vMerge/>
            <w:tcBorders>
              <w:left w:val="nil"/>
              <w:right w:val="single" w:sz="8" w:space="0" w:color="000000"/>
            </w:tcBorders>
            <w:shd w:val="clear" w:color="auto" w:fill="auto"/>
            <w:vAlign w:val="center"/>
          </w:tcPr>
          <w:p w14:paraId="5B7E58FC" w14:textId="77777777" w:rsidR="009D0C2E" w:rsidRPr="00B364CB" w:rsidRDefault="009D0C2E" w:rsidP="009D0C2E">
            <w:pPr>
              <w:widowControl/>
              <w:jc w:val="center"/>
              <w:rPr>
                <w:rFonts w:cs="Arial"/>
                <w:sz w:val="20"/>
                <w:szCs w:val="20"/>
                <w:lang w:eastAsia="en-GB" w:bidi="ar-SA"/>
              </w:rPr>
            </w:pPr>
          </w:p>
        </w:tc>
        <w:tc>
          <w:tcPr>
            <w:tcW w:w="888" w:type="pct"/>
            <w:vMerge/>
            <w:tcBorders>
              <w:left w:val="nil"/>
              <w:right w:val="single" w:sz="8" w:space="0" w:color="000000"/>
            </w:tcBorders>
            <w:shd w:val="clear" w:color="auto" w:fill="auto"/>
          </w:tcPr>
          <w:p w14:paraId="1928B2C3" w14:textId="77777777" w:rsidR="009D0C2E" w:rsidRPr="00B364CB" w:rsidRDefault="009D0C2E" w:rsidP="009D0C2E">
            <w:pPr>
              <w:widowControl/>
              <w:jc w:val="center"/>
              <w:rPr>
                <w:rFonts w:cs="Arial"/>
                <w:sz w:val="20"/>
                <w:szCs w:val="20"/>
                <w:lang w:eastAsia="en-GB" w:bidi="ar-SA"/>
              </w:rPr>
            </w:pPr>
          </w:p>
        </w:tc>
        <w:tc>
          <w:tcPr>
            <w:tcW w:w="646" w:type="pct"/>
            <w:tcBorders>
              <w:top w:val="nil"/>
              <w:left w:val="nil"/>
              <w:right w:val="single" w:sz="8" w:space="0" w:color="000000"/>
            </w:tcBorders>
            <w:shd w:val="clear" w:color="auto" w:fill="auto"/>
          </w:tcPr>
          <w:p w14:paraId="495E95F1"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7</w:t>
            </w:r>
          </w:p>
        </w:tc>
        <w:tc>
          <w:tcPr>
            <w:tcW w:w="727" w:type="pct"/>
            <w:tcBorders>
              <w:top w:val="nil"/>
              <w:left w:val="nil"/>
              <w:right w:val="single" w:sz="8" w:space="0" w:color="000000"/>
            </w:tcBorders>
            <w:shd w:val="clear" w:color="auto" w:fill="auto"/>
          </w:tcPr>
          <w:p w14:paraId="4CAB13BE"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3</w:t>
            </w:r>
          </w:p>
        </w:tc>
      </w:tr>
      <w:tr w:rsidR="009D0C2E" w:rsidRPr="00B364CB" w14:paraId="26D5EF66" w14:textId="77777777" w:rsidTr="00120F40">
        <w:trPr>
          <w:trHeight w:val="160"/>
        </w:trPr>
        <w:tc>
          <w:tcPr>
            <w:tcW w:w="306" w:type="pct"/>
            <w:vMerge/>
            <w:tcBorders>
              <w:left w:val="single" w:sz="8" w:space="0" w:color="000000"/>
              <w:bottom w:val="single" w:sz="8" w:space="0" w:color="000000"/>
              <w:right w:val="single" w:sz="8" w:space="0" w:color="000000"/>
            </w:tcBorders>
            <w:shd w:val="clear" w:color="auto" w:fill="auto"/>
            <w:vAlign w:val="center"/>
          </w:tcPr>
          <w:p w14:paraId="4ABAE22B" w14:textId="77777777" w:rsidR="009D0C2E" w:rsidRPr="00B364CB" w:rsidRDefault="009D0C2E" w:rsidP="009D0C2E">
            <w:pPr>
              <w:widowControl/>
              <w:jc w:val="center"/>
              <w:rPr>
                <w:rFonts w:cs="Arial"/>
                <w:sz w:val="20"/>
                <w:szCs w:val="20"/>
                <w:lang w:eastAsia="en-GB" w:bidi="ar-SA"/>
              </w:rPr>
            </w:pPr>
          </w:p>
        </w:tc>
        <w:tc>
          <w:tcPr>
            <w:tcW w:w="834" w:type="pct"/>
            <w:vMerge/>
            <w:tcBorders>
              <w:left w:val="nil"/>
              <w:bottom w:val="single" w:sz="8" w:space="0" w:color="000000"/>
              <w:right w:val="single" w:sz="8" w:space="0" w:color="000000"/>
            </w:tcBorders>
            <w:shd w:val="clear" w:color="auto" w:fill="auto"/>
            <w:vAlign w:val="center"/>
          </w:tcPr>
          <w:p w14:paraId="7E8368FA" w14:textId="77777777" w:rsidR="009D0C2E" w:rsidRPr="00B364CB" w:rsidRDefault="009D0C2E" w:rsidP="009D0C2E">
            <w:pPr>
              <w:widowControl/>
              <w:jc w:val="center"/>
              <w:rPr>
                <w:rFonts w:cs="Arial"/>
                <w:sz w:val="20"/>
                <w:szCs w:val="20"/>
                <w:lang w:eastAsia="en-GB" w:bidi="ar-SA"/>
              </w:rPr>
            </w:pPr>
          </w:p>
        </w:tc>
        <w:tc>
          <w:tcPr>
            <w:tcW w:w="953" w:type="pct"/>
            <w:tcBorders>
              <w:top w:val="nil"/>
              <w:left w:val="nil"/>
              <w:bottom w:val="single" w:sz="8" w:space="0" w:color="000000"/>
              <w:right w:val="single" w:sz="8" w:space="0" w:color="000000"/>
            </w:tcBorders>
            <w:shd w:val="clear" w:color="auto" w:fill="auto"/>
            <w:vAlign w:val="center"/>
          </w:tcPr>
          <w:p w14:paraId="125F4B77"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51-500 kWe</w:t>
            </w:r>
          </w:p>
        </w:tc>
        <w:tc>
          <w:tcPr>
            <w:tcW w:w="646" w:type="pct"/>
            <w:vMerge/>
            <w:tcBorders>
              <w:left w:val="nil"/>
              <w:bottom w:val="single" w:sz="8" w:space="0" w:color="000000"/>
              <w:right w:val="single" w:sz="8" w:space="0" w:color="000000"/>
            </w:tcBorders>
            <w:shd w:val="clear" w:color="auto" w:fill="auto"/>
            <w:vAlign w:val="center"/>
          </w:tcPr>
          <w:p w14:paraId="6CDEC575" w14:textId="77777777" w:rsidR="009D0C2E" w:rsidRPr="00B364CB" w:rsidRDefault="009D0C2E" w:rsidP="009D0C2E">
            <w:pPr>
              <w:widowControl/>
              <w:jc w:val="center"/>
              <w:rPr>
                <w:rFonts w:cs="Arial"/>
                <w:sz w:val="20"/>
                <w:szCs w:val="20"/>
                <w:lang w:eastAsia="en-GB" w:bidi="ar-SA"/>
              </w:rPr>
            </w:pPr>
          </w:p>
        </w:tc>
        <w:tc>
          <w:tcPr>
            <w:tcW w:w="888" w:type="pct"/>
            <w:vMerge/>
            <w:tcBorders>
              <w:left w:val="nil"/>
              <w:bottom w:val="single" w:sz="8" w:space="0" w:color="000000"/>
              <w:right w:val="single" w:sz="8" w:space="0" w:color="000000"/>
            </w:tcBorders>
            <w:shd w:val="clear" w:color="auto" w:fill="auto"/>
          </w:tcPr>
          <w:p w14:paraId="394A004E" w14:textId="77777777" w:rsidR="009D0C2E" w:rsidRPr="00B364CB" w:rsidRDefault="009D0C2E" w:rsidP="009D0C2E">
            <w:pPr>
              <w:widowControl/>
              <w:jc w:val="center"/>
              <w:rPr>
                <w:rFonts w:cs="Arial"/>
                <w:sz w:val="20"/>
                <w:szCs w:val="20"/>
                <w:lang w:eastAsia="en-GB" w:bidi="ar-SA"/>
              </w:rPr>
            </w:pPr>
          </w:p>
        </w:tc>
        <w:tc>
          <w:tcPr>
            <w:tcW w:w="646" w:type="pct"/>
            <w:tcBorders>
              <w:top w:val="nil"/>
              <w:left w:val="nil"/>
              <w:bottom w:val="single" w:sz="8" w:space="0" w:color="000000"/>
              <w:right w:val="single" w:sz="8" w:space="0" w:color="000000"/>
            </w:tcBorders>
            <w:shd w:val="clear" w:color="auto" w:fill="auto"/>
          </w:tcPr>
          <w:p w14:paraId="66FA9244"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3</w:t>
            </w:r>
          </w:p>
        </w:tc>
        <w:tc>
          <w:tcPr>
            <w:tcW w:w="727" w:type="pct"/>
            <w:tcBorders>
              <w:top w:val="nil"/>
              <w:left w:val="nil"/>
              <w:bottom w:val="single" w:sz="8" w:space="0" w:color="000000"/>
              <w:right w:val="single" w:sz="8" w:space="0" w:color="000000"/>
            </w:tcBorders>
            <w:shd w:val="clear" w:color="auto" w:fill="auto"/>
          </w:tcPr>
          <w:p w14:paraId="35CA240E"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2</w:t>
            </w:r>
          </w:p>
        </w:tc>
      </w:tr>
      <w:tr w:rsidR="009D0C2E" w:rsidRPr="00B364CB" w14:paraId="74C67BA3" w14:textId="77777777" w:rsidTr="00120F40">
        <w:trPr>
          <w:trHeight w:val="160"/>
        </w:trPr>
        <w:tc>
          <w:tcPr>
            <w:tcW w:w="306" w:type="pct"/>
            <w:vMerge w:val="restart"/>
            <w:tcBorders>
              <w:top w:val="single" w:sz="8" w:space="0" w:color="000000"/>
              <w:left w:val="single" w:sz="8" w:space="0" w:color="000000"/>
              <w:right w:val="single" w:sz="8" w:space="0" w:color="000000"/>
            </w:tcBorders>
            <w:shd w:val="clear" w:color="auto" w:fill="auto"/>
            <w:vAlign w:val="center"/>
            <w:hideMark/>
          </w:tcPr>
          <w:p w14:paraId="784DEC60" w14:textId="77777777" w:rsidR="009D0C2E" w:rsidRPr="00B364CB" w:rsidRDefault="009D0C2E" w:rsidP="009D0C2E">
            <w:pPr>
              <w:widowControl/>
              <w:jc w:val="center"/>
              <w:rPr>
                <w:rFonts w:cs="Arial"/>
                <w:bCs/>
                <w:sz w:val="20"/>
                <w:szCs w:val="20"/>
                <w:lang w:eastAsia="en-GB" w:bidi="ar-SA"/>
              </w:rPr>
            </w:pPr>
            <w:r w:rsidRPr="00B364CB">
              <w:rPr>
                <w:rFonts w:cs="Arial"/>
                <w:sz w:val="20"/>
                <w:szCs w:val="20"/>
                <w:lang w:eastAsia="en-GB" w:bidi="ar-SA"/>
              </w:rPr>
              <w:t>3</w:t>
            </w:r>
          </w:p>
        </w:tc>
        <w:tc>
          <w:tcPr>
            <w:tcW w:w="834" w:type="pct"/>
            <w:vMerge w:val="restart"/>
            <w:tcBorders>
              <w:top w:val="single" w:sz="8" w:space="0" w:color="000000"/>
              <w:left w:val="nil"/>
              <w:right w:val="single" w:sz="8" w:space="0" w:color="000000"/>
            </w:tcBorders>
            <w:shd w:val="clear" w:color="auto" w:fill="auto"/>
            <w:vAlign w:val="center"/>
          </w:tcPr>
          <w:p w14:paraId="60721449" w14:textId="77777777" w:rsidR="009D0C2E" w:rsidRPr="00B364CB" w:rsidRDefault="009D0C2E" w:rsidP="009D0C2E">
            <w:pPr>
              <w:widowControl/>
              <w:rPr>
                <w:rFonts w:cs="Arial"/>
                <w:bCs/>
                <w:sz w:val="20"/>
                <w:szCs w:val="20"/>
                <w:lang w:eastAsia="en-GB" w:bidi="ar-SA"/>
              </w:rPr>
            </w:pPr>
            <w:r w:rsidRPr="00B364CB">
              <w:rPr>
                <w:rFonts w:cs="Arial"/>
                <w:sz w:val="20"/>
                <w:szCs w:val="20"/>
                <w:lang w:eastAsia="en-GB" w:bidi="ar-SA"/>
              </w:rPr>
              <w:t>Electrical Efficiency η</w:t>
            </w:r>
            <w:r w:rsidRPr="00B364CB">
              <w:rPr>
                <w:rFonts w:cs="Arial"/>
                <w:bCs/>
                <w:sz w:val="20"/>
                <w:szCs w:val="20"/>
                <w:vertAlign w:val="subscript"/>
                <w:lang w:eastAsia="en-GB" w:bidi="ar-SA"/>
              </w:rPr>
              <w:t>el</w:t>
            </w:r>
            <w:r w:rsidRPr="00B364CB">
              <w:rPr>
                <w:rFonts w:cs="Arial"/>
                <w:bCs/>
                <w:sz w:val="20"/>
                <w:szCs w:val="20"/>
                <w:lang w:eastAsia="en-GB" w:bidi="ar-SA"/>
              </w:rPr>
              <w:t xml:space="preserve"> </w:t>
            </w:r>
          </w:p>
          <w:p w14:paraId="138126A3" w14:textId="77777777" w:rsidR="009D0C2E" w:rsidRPr="00B364CB" w:rsidRDefault="009D0C2E" w:rsidP="009D0C2E">
            <w:pPr>
              <w:widowControl/>
              <w:rPr>
                <w:rFonts w:cs="Arial"/>
                <w:sz w:val="20"/>
                <w:szCs w:val="20"/>
                <w:lang w:eastAsia="en-GB" w:bidi="ar-SA"/>
              </w:rPr>
            </w:pPr>
          </w:p>
        </w:tc>
        <w:tc>
          <w:tcPr>
            <w:tcW w:w="953" w:type="pct"/>
            <w:tcBorders>
              <w:top w:val="single" w:sz="8" w:space="0" w:color="000000"/>
              <w:left w:val="nil"/>
              <w:right w:val="single" w:sz="8" w:space="0" w:color="000000"/>
            </w:tcBorders>
            <w:shd w:val="clear" w:color="auto" w:fill="auto"/>
            <w:vAlign w:val="center"/>
          </w:tcPr>
          <w:p w14:paraId="5CB40731"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&lt;5 kWe</w:t>
            </w:r>
          </w:p>
        </w:tc>
        <w:tc>
          <w:tcPr>
            <w:tcW w:w="646" w:type="pct"/>
            <w:vMerge w:val="restart"/>
            <w:tcBorders>
              <w:top w:val="single" w:sz="8" w:space="0" w:color="000000"/>
              <w:left w:val="nil"/>
              <w:right w:val="single" w:sz="8" w:space="0" w:color="000000"/>
            </w:tcBorders>
            <w:shd w:val="clear" w:color="auto" w:fill="auto"/>
            <w:vAlign w:val="center"/>
          </w:tcPr>
          <w:p w14:paraId="0184C3B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 LHV </w:t>
            </w:r>
          </w:p>
        </w:tc>
        <w:tc>
          <w:tcPr>
            <w:tcW w:w="888" w:type="pct"/>
            <w:vMerge w:val="restart"/>
            <w:tcBorders>
              <w:top w:val="single" w:sz="8" w:space="0" w:color="000000"/>
              <w:left w:val="nil"/>
              <w:right w:val="single" w:sz="8" w:space="0" w:color="000000"/>
            </w:tcBorders>
            <w:shd w:val="clear" w:color="auto" w:fill="auto"/>
          </w:tcPr>
          <w:p w14:paraId="5D53E518"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50</w:t>
            </w:r>
          </w:p>
          <w:p w14:paraId="76889F5C"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45</w:t>
            </w:r>
          </w:p>
          <w:p w14:paraId="72568953"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50</w:t>
            </w:r>
          </w:p>
        </w:tc>
        <w:tc>
          <w:tcPr>
            <w:tcW w:w="646" w:type="pct"/>
            <w:tcBorders>
              <w:top w:val="single" w:sz="8" w:space="0" w:color="000000"/>
              <w:left w:val="nil"/>
              <w:right w:val="single" w:sz="8" w:space="0" w:color="000000"/>
            </w:tcBorders>
            <w:shd w:val="clear" w:color="auto" w:fill="auto"/>
          </w:tcPr>
          <w:p w14:paraId="7CDF2D8F"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50</w:t>
            </w:r>
          </w:p>
        </w:tc>
        <w:tc>
          <w:tcPr>
            <w:tcW w:w="727" w:type="pct"/>
            <w:tcBorders>
              <w:top w:val="single" w:sz="8" w:space="0" w:color="000000"/>
              <w:left w:val="nil"/>
              <w:right w:val="single" w:sz="8" w:space="0" w:color="000000"/>
            </w:tcBorders>
            <w:shd w:val="clear" w:color="auto" w:fill="auto"/>
          </w:tcPr>
          <w:p w14:paraId="18E3C342"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56</w:t>
            </w:r>
          </w:p>
        </w:tc>
      </w:tr>
      <w:tr w:rsidR="009D0C2E" w:rsidRPr="00B364CB" w14:paraId="3150E922" w14:textId="77777777" w:rsidTr="00120F40">
        <w:trPr>
          <w:trHeight w:val="160"/>
        </w:trPr>
        <w:tc>
          <w:tcPr>
            <w:tcW w:w="306" w:type="pct"/>
            <w:vMerge/>
            <w:tcBorders>
              <w:left w:val="single" w:sz="8" w:space="0" w:color="000000"/>
              <w:right w:val="single" w:sz="8" w:space="0" w:color="000000"/>
            </w:tcBorders>
            <w:shd w:val="clear" w:color="auto" w:fill="auto"/>
            <w:vAlign w:val="center"/>
          </w:tcPr>
          <w:p w14:paraId="7D82130C" w14:textId="77777777" w:rsidR="009D0C2E" w:rsidRPr="00B364CB" w:rsidRDefault="009D0C2E" w:rsidP="009D0C2E">
            <w:pPr>
              <w:widowControl/>
              <w:jc w:val="center"/>
              <w:rPr>
                <w:rFonts w:cs="Arial"/>
                <w:sz w:val="20"/>
                <w:szCs w:val="20"/>
                <w:lang w:eastAsia="en-GB" w:bidi="ar-SA"/>
              </w:rPr>
            </w:pPr>
          </w:p>
        </w:tc>
        <w:tc>
          <w:tcPr>
            <w:tcW w:w="834" w:type="pct"/>
            <w:vMerge/>
            <w:tcBorders>
              <w:left w:val="nil"/>
              <w:right w:val="single" w:sz="8" w:space="0" w:color="000000"/>
            </w:tcBorders>
            <w:shd w:val="clear" w:color="auto" w:fill="auto"/>
            <w:vAlign w:val="center"/>
          </w:tcPr>
          <w:p w14:paraId="0221B6DD" w14:textId="77777777" w:rsidR="009D0C2E" w:rsidRPr="00B364CB" w:rsidRDefault="009D0C2E" w:rsidP="009D0C2E">
            <w:pPr>
              <w:widowControl/>
              <w:jc w:val="center"/>
              <w:rPr>
                <w:rFonts w:cs="Arial"/>
                <w:sz w:val="20"/>
                <w:szCs w:val="20"/>
                <w:lang w:eastAsia="en-GB" w:bidi="ar-SA"/>
              </w:rPr>
            </w:pPr>
          </w:p>
        </w:tc>
        <w:tc>
          <w:tcPr>
            <w:tcW w:w="953" w:type="pct"/>
            <w:tcBorders>
              <w:top w:val="nil"/>
              <w:left w:val="nil"/>
              <w:right w:val="single" w:sz="8" w:space="0" w:color="000000"/>
            </w:tcBorders>
            <w:shd w:val="clear" w:color="auto" w:fill="auto"/>
            <w:vAlign w:val="center"/>
          </w:tcPr>
          <w:p w14:paraId="6270E75E"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5-50 kWe</w:t>
            </w:r>
          </w:p>
        </w:tc>
        <w:tc>
          <w:tcPr>
            <w:tcW w:w="646" w:type="pct"/>
            <w:vMerge/>
            <w:tcBorders>
              <w:left w:val="nil"/>
              <w:right w:val="single" w:sz="8" w:space="0" w:color="000000"/>
            </w:tcBorders>
            <w:shd w:val="clear" w:color="auto" w:fill="auto"/>
            <w:vAlign w:val="center"/>
          </w:tcPr>
          <w:p w14:paraId="2068EC00" w14:textId="77777777" w:rsidR="009D0C2E" w:rsidRPr="00B364CB" w:rsidRDefault="009D0C2E" w:rsidP="009D0C2E">
            <w:pPr>
              <w:widowControl/>
              <w:jc w:val="center"/>
              <w:rPr>
                <w:rFonts w:cs="Arial"/>
                <w:sz w:val="20"/>
                <w:szCs w:val="20"/>
                <w:lang w:eastAsia="en-GB" w:bidi="ar-SA"/>
              </w:rPr>
            </w:pPr>
          </w:p>
        </w:tc>
        <w:tc>
          <w:tcPr>
            <w:tcW w:w="888" w:type="pct"/>
            <w:vMerge/>
            <w:tcBorders>
              <w:left w:val="nil"/>
              <w:right w:val="single" w:sz="8" w:space="0" w:color="000000"/>
            </w:tcBorders>
            <w:shd w:val="clear" w:color="auto" w:fill="auto"/>
          </w:tcPr>
          <w:p w14:paraId="7432873A" w14:textId="77777777" w:rsidR="009D0C2E" w:rsidRPr="00B364CB" w:rsidRDefault="009D0C2E" w:rsidP="009D0C2E">
            <w:pPr>
              <w:widowControl/>
              <w:jc w:val="center"/>
              <w:rPr>
                <w:rFonts w:cs="Arial"/>
                <w:sz w:val="20"/>
                <w:szCs w:val="20"/>
                <w:lang w:eastAsia="en-GB" w:bidi="ar-SA"/>
              </w:rPr>
            </w:pPr>
          </w:p>
        </w:tc>
        <w:tc>
          <w:tcPr>
            <w:tcW w:w="646" w:type="pct"/>
            <w:tcBorders>
              <w:top w:val="nil"/>
              <w:left w:val="nil"/>
              <w:right w:val="single" w:sz="8" w:space="0" w:color="000000"/>
            </w:tcBorders>
            <w:shd w:val="clear" w:color="auto" w:fill="auto"/>
          </w:tcPr>
          <w:p w14:paraId="517AA3FF"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50</w:t>
            </w:r>
          </w:p>
        </w:tc>
        <w:tc>
          <w:tcPr>
            <w:tcW w:w="727" w:type="pct"/>
            <w:tcBorders>
              <w:top w:val="nil"/>
              <w:left w:val="nil"/>
              <w:right w:val="single" w:sz="8" w:space="0" w:color="000000"/>
            </w:tcBorders>
            <w:shd w:val="clear" w:color="auto" w:fill="auto"/>
          </w:tcPr>
          <w:p w14:paraId="68F24513"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56</w:t>
            </w:r>
          </w:p>
        </w:tc>
      </w:tr>
      <w:tr w:rsidR="009D0C2E" w:rsidRPr="00B364CB" w14:paraId="116685ED" w14:textId="77777777" w:rsidTr="00120F40">
        <w:trPr>
          <w:trHeight w:val="160"/>
        </w:trPr>
        <w:tc>
          <w:tcPr>
            <w:tcW w:w="306" w:type="pct"/>
            <w:vMerge/>
            <w:tcBorders>
              <w:left w:val="single" w:sz="8" w:space="0" w:color="000000"/>
              <w:bottom w:val="single" w:sz="8" w:space="0" w:color="000000"/>
              <w:right w:val="single" w:sz="8" w:space="0" w:color="000000"/>
            </w:tcBorders>
            <w:shd w:val="clear" w:color="auto" w:fill="auto"/>
            <w:vAlign w:val="center"/>
          </w:tcPr>
          <w:p w14:paraId="080C812A" w14:textId="77777777" w:rsidR="009D0C2E" w:rsidRPr="00B364CB" w:rsidRDefault="009D0C2E" w:rsidP="009D0C2E">
            <w:pPr>
              <w:widowControl/>
              <w:jc w:val="center"/>
              <w:rPr>
                <w:rFonts w:cs="Arial"/>
                <w:sz w:val="20"/>
                <w:szCs w:val="20"/>
                <w:lang w:eastAsia="en-GB" w:bidi="ar-SA"/>
              </w:rPr>
            </w:pPr>
          </w:p>
        </w:tc>
        <w:tc>
          <w:tcPr>
            <w:tcW w:w="834" w:type="pct"/>
            <w:vMerge/>
            <w:tcBorders>
              <w:left w:val="nil"/>
              <w:bottom w:val="single" w:sz="8" w:space="0" w:color="000000"/>
              <w:right w:val="single" w:sz="8" w:space="0" w:color="000000"/>
            </w:tcBorders>
            <w:shd w:val="clear" w:color="auto" w:fill="auto"/>
            <w:vAlign w:val="center"/>
          </w:tcPr>
          <w:p w14:paraId="62C3EA7E" w14:textId="77777777" w:rsidR="009D0C2E" w:rsidRPr="00B364CB" w:rsidRDefault="009D0C2E" w:rsidP="009D0C2E">
            <w:pPr>
              <w:widowControl/>
              <w:jc w:val="center"/>
              <w:rPr>
                <w:rFonts w:cs="Arial"/>
                <w:sz w:val="20"/>
                <w:szCs w:val="20"/>
                <w:lang w:eastAsia="en-GB" w:bidi="ar-SA"/>
              </w:rPr>
            </w:pPr>
          </w:p>
        </w:tc>
        <w:tc>
          <w:tcPr>
            <w:tcW w:w="953" w:type="pct"/>
            <w:tcBorders>
              <w:top w:val="nil"/>
              <w:left w:val="nil"/>
              <w:bottom w:val="single" w:sz="8" w:space="0" w:color="000000"/>
              <w:right w:val="single" w:sz="8" w:space="0" w:color="000000"/>
            </w:tcBorders>
            <w:shd w:val="clear" w:color="auto" w:fill="auto"/>
            <w:vAlign w:val="center"/>
          </w:tcPr>
          <w:p w14:paraId="1107D37F"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51-500 kWe</w:t>
            </w:r>
          </w:p>
        </w:tc>
        <w:tc>
          <w:tcPr>
            <w:tcW w:w="646" w:type="pct"/>
            <w:vMerge/>
            <w:tcBorders>
              <w:left w:val="nil"/>
              <w:bottom w:val="single" w:sz="8" w:space="0" w:color="000000"/>
              <w:right w:val="single" w:sz="8" w:space="0" w:color="000000"/>
            </w:tcBorders>
            <w:shd w:val="clear" w:color="auto" w:fill="auto"/>
            <w:vAlign w:val="center"/>
          </w:tcPr>
          <w:p w14:paraId="74495BF1" w14:textId="77777777" w:rsidR="009D0C2E" w:rsidRPr="00B364CB" w:rsidRDefault="009D0C2E" w:rsidP="009D0C2E">
            <w:pPr>
              <w:widowControl/>
              <w:jc w:val="center"/>
              <w:rPr>
                <w:rFonts w:cs="Arial"/>
                <w:sz w:val="20"/>
                <w:szCs w:val="20"/>
                <w:lang w:eastAsia="en-GB" w:bidi="ar-SA"/>
              </w:rPr>
            </w:pPr>
          </w:p>
        </w:tc>
        <w:tc>
          <w:tcPr>
            <w:tcW w:w="888" w:type="pct"/>
            <w:vMerge/>
            <w:tcBorders>
              <w:left w:val="nil"/>
              <w:bottom w:val="single" w:sz="8" w:space="0" w:color="000000"/>
              <w:right w:val="single" w:sz="8" w:space="0" w:color="000000"/>
            </w:tcBorders>
            <w:shd w:val="clear" w:color="auto" w:fill="auto"/>
          </w:tcPr>
          <w:p w14:paraId="3D591E38" w14:textId="77777777" w:rsidR="009D0C2E" w:rsidRPr="00B364CB" w:rsidRDefault="009D0C2E" w:rsidP="009D0C2E">
            <w:pPr>
              <w:widowControl/>
              <w:jc w:val="center"/>
              <w:rPr>
                <w:rFonts w:cs="Arial"/>
                <w:sz w:val="20"/>
                <w:szCs w:val="20"/>
                <w:lang w:eastAsia="en-GB" w:bidi="ar-SA"/>
              </w:rPr>
            </w:pPr>
          </w:p>
        </w:tc>
        <w:tc>
          <w:tcPr>
            <w:tcW w:w="646" w:type="pct"/>
            <w:tcBorders>
              <w:top w:val="nil"/>
              <w:left w:val="nil"/>
              <w:bottom w:val="single" w:sz="8" w:space="0" w:color="000000"/>
              <w:right w:val="single" w:sz="8" w:space="0" w:color="000000"/>
            </w:tcBorders>
            <w:shd w:val="clear" w:color="auto" w:fill="auto"/>
          </w:tcPr>
          <w:p w14:paraId="1EE912F4"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52</w:t>
            </w:r>
          </w:p>
        </w:tc>
        <w:tc>
          <w:tcPr>
            <w:tcW w:w="727" w:type="pct"/>
            <w:tcBorders>
              <w:top w:val="nil"/>
              <w:left w:val="nil"/>
              <w:bottom w:val="single" w:sz="8" w:space="0" w:color="000000"/>
              <w:right w:val="single" w:sz="8" w:space="0" w:color="000000"/>
            </w:tcBorders>
            <w:shd w:val="clear" w:color="auto" w:fill="auto"/>
          </w:tcPr>
          <w:p w14:paraId="6E88CE7D"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58</w:t>
            </w:r>
          </w:p>
        </w:tc>
      </w:tr>
      <w:tr w:rsidR="0057636B" w:rsidRPr="00B364CB" w14:paraId="2641E776" w14:textId="77777777" w:rsidTr="00120F40">
        <w:trPr>
          <w:trHeight w:val="160"/>
        </w:trPr>
        <w:tc>
          <w:tcPr>
            <w:tcW w:w="306" w:type="pct"/>
            <w:vMerge w:val="restart"/>
            <w:tcBorders>
              <w:left w:val="single" w:sz="8" w:space="0" w:color="000000"/>
              <w:right w:val="single" w:sz="8" w:space="0" w:color="000000"/>
            </w:tcBorders>
            <w:shd w:val="clear" w:color="auto" w:fill="auto"/>
            <w:vAlign w:val="center"/>
          </w:tcPr>
          <w:p w14:paraId="0F01A119" w14:textId="77777777" w:rsidR="0057636B" w:rsidRPr="00B364CB" w:rsidRDefault="0057636B" w:rsidP="0057636B">
            <w:pPr>
              <w:widowControl/>
              <w:jc w:val="center"/>
              <w:rPr>
                <w:rFonts w:cs="Arial"/>
                <w:sz w:val="20"/>
                <w:szCs w:val="20"/>
                <w:lang w:eastAsia="en-GB" w:bidi="ar-SA"/>
              </w:rPr>
            </w:pPr>
            <w:r>
              <w:rPr>
                <w:rFonts w:cs="Arial"/>
                <w:sz w:val="20"/>
                <w:szCs w:val="20"/>
                <w:lang w:eastAsia="en-GB" w:bidi="ar-SA"/>
              </w:rPr>
              <w:t>4</w:t>
            </w:r>
          </w:p>
        </w:tc>
        <w:tc>
          <w:tcPr>
            <w:tcW w:w="834" w:type="pct"/>
            <w:vMerge w:val="restart"/>
            <w:tcBorders>
              <w:left w:val="nil"/>
              <w:right w:val="single" w:sz="8" w:space="0" w:color="000000"/>
            </w:tcBorders>
            <w:shd w:val="clear" w:color="auto" w:fill="auto"/>
            <w:vAlign w:val="center"/>
          </w:tcPr>
          <w:p w14:paraId="7AE4615C" w14:textId="298E19C5" w:rsidR="0057636B" w:rsidRPr="00B364CB" w:rsidRDefault="0057636B" w:rsidP="0057636B">
            <w:pPr>
              <w:widowControl/>
              <w:jc w:val="center"/>
              <w:rPr>
                <w:rFonts w:cs="Arial"/>
                <w:sz w:val="20"/>
                <w:szCs w:val="20"/>
                <w:lang w:eastAsia="en-GB" w:bidi="ar-SA"/>
              </w:rPr>
            </w:pPr>
            <w:r>
              <w:rPr>
                <w:rFonts w:cs="Arial"/>
                <w:sz w:val="20"/>
                <w:szCs w:val="20"/>
                <w:lang w:eastAsia="en-GB" w:bidi="ar-SA"/>
              </w:rPr>
              <w:t>Availability</w:t>
            </w:r>
          </w:p>
        </w:tc>
        <w:tc>
          <w:tcPr>
            <w:tcW w:w="953" w:type="pct"/>
            <w:vMerge w:val="restart"/>
            <w:tcBorders>
              <w:top w:val="nil"/>
              <w:left w:val="nil"/>
              <w:right w:val="single" w:sz="8" w:space="0" w:color="000000"/>
            </w:tcBorders>
            <w:shd w:val="clear" w:color="auto" w:fill="auto"/>
            <w:vAlign w:val="center"/>
          </w:tcPr>
          <w:p w14:paraId="26780F9E" w14:textId="77777777" w:rsidR="0057636B" w:rsidRPr="00B364CB" w:rsidRDefault="0057636B" w:rsidP="0057636B">
            <w:pPr>
              <w:widowControl/>
              <w:jc w:val="center"/>
              <w:rPr>
                <w:rFonts w:cs="Arial"/>
                <w:sz w:val="20"/>
                <w:szCs w:val="20"/>
              </w:rPr>
            </w:pPr>
            <w:r w:rsidRPr="00B364CB">
              <w:rPr>
                <w:rFonts w:cs="Arial"/>
                <w:sz w:val="20"/>
                <w:szCs w:val="20"/>
              </w:rPr>
              <w:t>&lt;5 kWe</w:t>
            </w:r>
          </w:p>
          <w:p w14:paraId="66FBEA5A" w14:textId="77777777" w:rsidR="0057636B" w:rsidRPr="00B364CB" w:rsidRDefault="0057636B" w:rsidP="0057636B">
            <w:pPr>
              <w:widowControl/>
              <w:jc w:val="center"/>
              <w:rPr>
                <w:rFonts w:cs="Arial"/>
                <w:sz w:val="20"/>
                <w:szCs w:val="20"/>
              </w:rPr>
            </w:pPr>
            <w:r w:rsidRPr="00B364CB">
              <w:rPr>
                <w:rFonts w:cs="Arial"/>
                <w:sz w:val="20"/>
                <w:szCs w:val="20"/>
              </w:rPr>
              <w:t>5-50 kWe</w:t>
            </w:r>
          </w:p>
          <w:p w14:paraId="695A633F" w14:textId="77777777" w:rsidR="0057636B" w:rsidRPr="00B364CB" w:rsidRDefault="0057636B" w:rsidP="0057636B">
            <w:pPr>
              <w:widowControl/>
              <w:jc w:val="center"/>
              <w:rPr>
                <w:rFonts w:cs="Arial"/>
                <w:sz w:val="20"/>
                <w:szCs w:val="20"/>
              </w:rPr>
            </w:pPr>
            <w:r w:rsidRPr="00B364CB">
              <w:rPr>
                <w:rFonts w:cs="Arial"/>
                <w:sz w:val="20"/>
                <w:szCs w:val="20"/>
              </w:rPr>
              <w:t>51-500 kWe</w:t>
            </w:r>
          </w:p>
        </w:tc>
        <w:tc>
          <w:tcPr>
            <w:tcW w:w="646" w:type="pct"/>
            <w:vMerge w:val="restart"/>
            <w:tcBorders>
              <w:left w:val="nil"/>
              <w:right w:val="single" w:sz="8" w:space="0" w:color="000000"/>
            </w:tcBorders>
            <w:shd w:val="clear" w:color="auto" w:fill="auto"/>
            <w:vAlign w:val="center"/>
          </w:tcPr>
          <w:p w14:paraId="4B9E5EF3" w14:textId="77777777" w:rsidR="0057636B" w:rsidRPr="00B364CB" w:rsidRDefault="0057636B" w:rsidP="0057636B">
            <w:pPr>
              <w:widowControl/>
              <w:jc w:val="center"/>
              <w:rPr>
                <w:rFonts w:cs="Arial"/>
                <w:sz w:val="20"/>
                <w:szCs w:val="20"/>
                <w:lang w:eastAsia="en-GB" w:bidi="ar-SA"/>
              </w:rPr>
            </w:pPr>
            <w:r>
              <w:rPr>
                <w:rFonts w:cs="Arial"/>
                <w:sz w:val="20"/>
                <w:szCs w:val="20"/>
                <w:lang w:eastAsia="en-GB" w:bidi="ar-SA"/>
              </w:rPr>
              <w:t>%</w:t>
            </w:r>
            <w:r w:rsidRPr="00B364CB">
              <w:rPr>
                <w:rFonts w:cs="Arial"/>
                <w:sz w:val="20"/>
                <w:szCs w:val="20"/>
                <w:lang w:eastAsia="en-GB" w:bidi="ar-SA"/>
              </w:rPr>
              <w:t xml:space="preserve"> </w:t>
            </w:r>
          </w:p>
        </w:tc>
        <w:tc>
          <w:tcPr>
            <w:tcW w:w="888" w:type="pct"/>
            <w:tcBorders>
              <w:left w:val="nil"/>
              <w:bottom w:val="single" w:sz="8" w:space="0" w:color="000000"/>
              <w:right w:val="single" w:sz="8" w:space="0" w:color="000000"/>
            </w:tcBorders>
            <w:shd w:val="clear" w:color="auto" w:fill="auto"/>
          </w:tcPr>
          <w:p w14:paraId="15AD5BCF" w14:textId="77777777" w:rsidR="0057636B" w:rsidRPr="00B364CB" w:rsidRDefault="0057636B" w:rsidP="0057636B">
            <w:pPr>
              <w:widowControl/>
              <w:jc w:val="center"/>
              <w:rPr>
                <w:rFonts w:cs="Arial"/>
                <w:sz w:val="20"/>
                <w:szCs w:val="20"/>
                <w:lang w:eastAsia="en-GB" w:bidi="ar-SA"/>
              </w:rPr>
            </w:pPr>
            <w:r>
              <w:rPr>
                <w:rFonts w:cs="Arial"/>
                <w:sz w:val="20"/>
                <w:szCs w:val="20"/>
                <w:lang w:eastAsia="en-GB" w:bidi="ar-SA"/>
              </w:rPr>
              <w:t>97</w:t>
            </w:r>
          </w:p>
        </w:tc>
        <w:tc>
          <w:tcPr>
            <w:tcW w:w="646" w:type="pct"/>
            <w:tcBorders>
              <w:top w:val="nil"/>
              <w:left w:val="nil"/>
              <w:bottom w:val="single" w:sz="8" w:space="0" w:color="000000"/>
              <w:right w:val="single" w:sz="8" w:space="0" w:color="000000"/>
            </w:tcBorders>
            <w:shd w:val="clear" w:color="auto" w:fill="auto"/>
          </w:tcPr>
          <w:p w14:paraId="36A7CB46" w14:textId="77777777" w:rsidR="0057636B" w:rsidRPr="00B364CB" w:rsidRDefault="0057636B" w:rsidP="0057636B">
            <w:pPr>
              <w:widowControl/>
              <w:jc w:val="center"/>
              <w:rPr>
                <w:rFonts w:cs="Arial"/>
                <w:color w:val="000000" w:themeColor="text1"/>
                <w:sz w:val="20"/>
                <w:szCs w:val="20"/>
              </w:rPr>
            </w:pPr>
            <w:r>
              <w:rPr>
                <w:rFonts w:cs="Arial"/>
                <w:color w:val="000000" w:themeColor="text1"/>
                <w:sz w:val="20"/>
                <w:szCs w:val="20"/>
              </w:rPr>
              <w:t>97</w:t>
            </w:r>
          </w:p>
        </w:tc>
        <w:tc>
          <w:tcPr>
            <w:tcW w:w="727" w:type="pct"/>
            <w:tcBorders>
              <w:top w:val="nil"/>
              <w:left w:val="nil"/>
              <w:bottom w:val="single" w:sz="8" w:space="0" w:color="000000"/>
              <w:right w:val="single" w:sz="8" w:space="0" w:color="000000"/>
            </w:tcBorders>
            <w:shd w:val="clear" w:color="auto" w:fill="auto"/>
          </w:tcPr>
          <w:p w14:paraId="5E2E034F" w14:textId="77777777" w:rsidR="0057636B" w:rsidRPr="00B364CB" w:rsidRDefault="0057636B" w:rsidP="0057636B">
            <w:pPr>
              <w:widowControl/>
              <w:jc w:val="center"/>
              <w:rPr>
                <w:rFonts w:cs="Arial"/>
                <w:color w:val="000000" w:themeColor="text1"/>
                <w:sz w:val="20"/>
                <w:szCs w:val="20"/>
              </w:rPr>
            </w:pPr>
            <w:r>
              <w:rPr>
                <w:rFonts w:cs="Arial"/>
                <w:color w:val="000000" w:themeColor="text1"/>
                <w:sz w:val="20"/>
                <w:szCs w:val="20"/>
              </w:rPr>
              <w:t>98</w:t>
            </w:r>
          </w:p>
        </w:tc>
      </w:tr>
      <w:tr w:rsidR="0057636B" w:rsidRPr="00B364CB" w14:paraId="1392128E" w14:textId="77777777" w:rsidTr="00120F40">
        <w:trPr>
          <w:trHeight w:val="160"/>
        </w:trPr>
        <w:tc>
          <w:tcPr>
            <w:tcW w:w="306" w:type="pct"/>
            <w:vMerge/>
            <w:tcBorders>
              <w:left w:val="single" w:sz="8" w:space="0" w:color="000000"/>
              <w:right w:val="single" w:sz="8" w:space="0" w:color="000000"/>
            </w:tcBorders>
            <w:shd w:val="clear" w:color="auto" w:fill="auto"/>
            <w:vAlign w:val="center"/>
          </w:tcPr>
          <w:p w14:paraId="495953B6" w14:textId="77777777" w:rsidR="0057636B" w:rsidRPr="00B364CB" w:rsidRDefault="0057636B" w:rsidP="0057636B">
            <w:pPr>
              <w:widowControl/>
              <w:jc w:val="center"/>
              <w:rPr>
                <w:rFonts w:cs="Arial"/>
                <w:sz w:val="20"/>
                <w:szCs w:val="20"/>
                <w:lang w:eastAsia="en-GB" w:bidi="ar-SA"/>
              </w:rPr>
            </w:pPr>
          </w:p>
        </w:tc>
        <w:tc>
          <w:tcPr>
            <w:tcW w:w="834" w:type="pct"/>
            <w:vMerge/>
            <w:tcBorders>
              <w:left w:val="nil"/>
              <w:right w:val="single" w:sz="8" w:space="0" w:color="000000"/>
            </w:tcBorders>
            <w:shd w:val="clear" w:color="auto" w:fill="auto"/>
            <w:vAlign w:val="center"/>
          </w:tcPr>
          <w:p w14:paraId="02ED4FA7" w14:textId="77777777" w:rsidR="0057636B" w:rsidRPr="00B364CB" w:rsidRDefault="0057636B" w:rsidP="0057636B">
            <w:pPr>
              <w:widowControl/>
              <w:jc w:val="center"/>
              <w:rPr>
                <w:rFonts w:cs="Arial"/>
                <w:sz w:val="20"/>
                <w:szCs w:val="20"/>
                <w:lang w:eastAsia="en-GB" w:bidi="ar-SA"/>
              </w:rPr>
            </w:pPr>
          </w:p>
        </w:tc>
        <w:tc>
          <w:tcPr>
            <w:tcW w:w="953" w:type="pct"/>
            <w:vMerge/>
            <w:tcBorders>
              <w:left w:val="nil"/>
              <w:right w:val="single" w:sz="8" w:space="0" w:color="000000"/>
            </w:tcBorders>
            <w:shd w:val="clear" w:color="auto" w:fill="auto"/>
            <w:vAlign w:val="center"/>
          </w:tcPr>
          <w:p w14:paraId="651567AC" w14:textId="77777777" w:rsidR="0057636B" w:rsidRPr="00B364CB" w:rsidRDefault="0057636B" w:rsidP="0057636B">
            <w:pPr>
              <w:widowControl/>
              <w:jc w:val="center"/>
              <w:rPr>
                <w:rFonts w:cs="Arial"/>
                <w:sz w:val="20"/>
                <w:szCs w:val="20"/>
              </w:rPr>
            </w:pPr>
          </w:p>
        </w:tc>
        <w:tc>
          <w:tcPr>
            <w:tcW w:w="646" w:type="pct"/>
            <w:vMerge/>
            <w:tcBorders>
              <w:left w:val="nil"/>
              <w:right w:val="single" w:sz="8" w:space="0" w:color="000000"/>
            </w:tcBorders>
            <w:shd w:val="clear" w:color="auto" w:fill="auto"/>
            <w:vAlign w:val="center"/>
          </w:tcPr>
          <w:p w14:paraId="01371F8F" w14:textId="77777777" w:rsidR="0057636B" w:rsidRPr="00B364CB" w:rsidRDefault="0057636B" w:rsidP="0057636B">
            <w:pPr>
              <w:widowControl/>
              <w:jc w:val="center"/>
              <w:rPr>
                <w:rFonts w:cs="Arial"/>
                <w:sz w:val="20"/>
                <w:szCs w:val="20"/>
                <w:lang w:eastAsia="en-GB" w:bidi="ar-SA"/>
              </w:rPr>
            </w:pPr>
          </w:p>
        </w:tc>
        <w:tc>
          <w:tcPr>
            <w:tcW w:w="888" w:type="pct"/>
            <w:tcBorders>
              <w:left w:val="nil"/>
              <w:bottom w:val="single" w:sz="8" w:space="0" w:color="000000"/>
              <w:right w:val="single" w:sz="8" w:space="0" w:color="000000"/>
            </w:tcBorders>
            <w:shd w:val="clear" w:color="auto" w:fill="auto"/>
          </w:tcPr>
          <w:p w14:paraId="3AC274E9" w14:textId="77777777" w:rsidR="0057636B" w:rsidRPr="00B364CB" w:rsidRDefault="0057636B" w:rsidP="0057636B">
            <w:pPr>
              <w:widowControl/>
              <w:jc w:val="center"/>
              <w:rPr>
                <w:rFonts w:cs="Arial"/>
                <w:sz w:val="20"/>
                <w:szCs w:val="20"/>
                <w:lang w:eastAsia="en-GB" w:bidi="ar-SA"/>
              </w:rPr>
            </w:pPr>
            <w:r>
              <w:rPr>
                <w:rFonts w:cs="Arial"/>
                <w:sz w:val="20"/>
                <w:szCs w:val="20"/>
                <w:lang w:eastAsia="en-GB" w:bidi="ar-SA"/>
              </w:rPr>
              <w:t>97</w:t>
            </w:r>
          </w:p>
        </w:tc>
        <w:tc>
          <w:tcPr>
            <w:tcW w:w="646" w:type="pct"/>
            <w:tcBorders>
              <w:top w:val="nil"/>
              <w:left w:val="nil"/>
              <w:bottom w:val="single" w:sz="8" w:space="0" w:color="000000"/>
              <w:right w:val="single" w:sz="8" w:space="0" w:color="000000"/>
            </w:tcBorders>
            <w:shd w:val="clear" w:color="auto" w:fill="auto"/>
          </w:tcPr>
          <w:p w14:paraId="510BDED1" w14:textId="56F52FB3" w:rsidR="0057636B" w:rsidRPr="00B364CB" w:rsidRDefault="001D12AA" w:rsidP="0057636B">
            <w:pPr>
              <w:widowControl/>
              <w:jc w:val="center"/>
              <w:rPr>
                <w:rFonts w:cs="Arial"/>
                <w:color w:val="000000" w:themeColor="text1"/>
                <w:sz w:val="20"/>
                <w:szCs w:val="20"/>
              </w:rPr>
            </w:pPr>
            <w:r>
              <w:rPr>
                <w:rFonts w:cs="Arial"/>
                <w:color w:val="000000" w:themeColor="text1"/>
                <w:sz w:val="20"/>
                <w:szCs w:val="20"/>
              </w:rPr>
              <w:t>97</w:t>
            </w:r>
          </w:p>
        </w:tc>
        <w:tc>
          <w:tcPr>
            <w:tcW w:w="727" w:type="pct"/>
            <w:tcBorders>
              <w:top w:val="nil"/>
              <w:left w:val="nil"/>
              <w:bottom w:val="single" w:sz="8" w:space="0" w:color="000000"/>
              <w:right w:val="single" w:sz="8" w:space="0" w:color="000000"/>
            </w:tcBorders>
            <w:shd w:val="clear" w:color="auto" w:fill="auto"/>
          </w:tcPr>
          <w:p w14:paraId="4F6FEADD" w14:textId="77777777" w:rsidR="0057636B" w:rsidRPr="00B364CB" w:rsidRDefault="0057636B" w:rsidP="0057636B">
            <w:pPr>
              <w:widowControl/>
              <w:jc w:val="center"/>
              <w:rPr>
                <w:rFonts w:cs="Arial"/>
                <w:color w:val="000000" w:themeColor="text1"/>
                <w:sz w:val="20"/>
                <w:szCs w:val="20"/>
              </w:rPr>
            </w:pPr>
            <w:r>
              <w:rPr>
                <w:rFonts w:cs="Arial"/>
                <w:color w:val="000000" w:themeColor="text1"/>
                <w:sz w:val="20"/>
                <w:szCs w:val="20"/>
              </w:rPr>
              <w:t>98</w:t>
            </w:r>
          </w:p>
        </w:tc>
      </w:tr>
      <w:tr w:rsidR="0057636B" w:rsidRPr="00B364CB" w14:paraId="4350CBA5" w14:textId="77777777" w:rsidTr="00120F40">
        <w:trPr>
          <w:trHeight w:val="160"/>
        </w:trPr>
        <w:tc>
          <w:tcPr>
            <w:tcW w:w="306" w:type="pct"/>
            <w:vMerge/>
            <w:tcBorders>
              <w:left w:val="single" w:sz="8" w:space="0" w:color="000000"/>
              <w:bottom w:val="single" w:sz="8" w:space="0" w:color="000000"/>
              <w:right w:val="single" w:sz="8" w:space="0" w:color="000000"/>
            </w:tcBorders>
            <w:shd w:val="clear" w:color="auto" w:fill="auto"/>
            <w:vAlign w:val="center"/>
          </w:tcPr>
          <w:p w14:paraId="65DE8522" w14:textId="77777777" w:rsidR="0057636B" w:rsidRPr="00B364CB" w:rsidRDefault="0057636B" w:rsidP="0057636B">
            <w:pPr>
              <w:widowControl/>
              <w:jc w:val="center"/>
              <w:rPr>
                <w:rFonts w:cs="Arial"/>
                <w:sz w:val="20"/>
                <w:szCs w:val="20"/>
                <w:lang w:eastAsia="en-GB" w:bidi="ar-SA"/>
              </w:rPr>
            </w:pPr>
          </w:p>
        </w:tc>
        <w:tc>
          <w:tcPr>
            <w:tcW w:w="834" w:type="pct"/>
            <w:vMerge/>
            <w:tcBorders>
              <w:left w:val="nil"/>
              <w:bottom w:val="single" w:sz="8" w:space="0" w:color="000000"/>
              <w:right w:val="single" w:sz="8" w:space="0" w:color="000000"/>
            </w:tcBorders>
            <w:shd w:val="clear" w:color="auto" w:fill="auto"/>
            <w:vAlign w:val="center"/>
          </w:tcPr>
          <w:p w14:paraId="24A6685B" w14:textId="77777777" w:rsidR="0057636B" w:rsidRPr="00B364CB" w:rsidRDefault="0057636B" w:rsidP="0057636B">
            <w:pPr>
              <w:widowControl/>
              <w:jc w:val="center"/>
              <w:rPr>
                <w:rFonts w:cs="Arial"/>
                <w:sz w:val="20"/>
                <w:szCs w:val="20"/>
                <w:lang w:eastAsia="en-GB" w:bidi="ar-SA"/>
              </w:rPr>
            </w:pPr>
          </w:p>
        </w:tc>
        <w:tc>
          <w:tcPr>
            <w:tcW w:w="953" w:type="pct"/>
            <w:vMerge/>
            <w:tcBorders>
              <w:left w:val="nil"/>
              <w:bottom w:val="single" w:sz="8" w:space="0" w:color="000000"/>
              <w:right w:val="single" w:sz="8" w:space="0" w:color="000000"/>
            </w:tcBorders>
            <w:shd w:val="clear" w:color="auto" w:fill="auto"/>
            <w:vAlign w:val="center"/>
          </w:tcPr>
          <w:p w14:paraId="1EFE4054" w14:textId="77777777" w:rsidR="0057636B" w:rsidRPr="00B364CB" w:rsidRDefault="0057636B" w:rsidP="0057636B">
            <w:pPr>
              <w:widowControl/>
              <w:jc w:val="center"/>
              <w:rPr>
                <w:rFonts w:cs="Arial"/>
                <w:sz w:val="20"/>
                <w:szCs w:val="20"/>
              </w:rPr>
            </w:pPr>
          </w:p>
        </w:tc>
        <w:tc>
          <w:tcPr>
            <w:tcW w:w="646" w:type="pct"/>
            <w:vMerge/>
            <w:tcBorders>
              <w:left w:val="nil"/>
              <w:bottom w:val="single" w:sz="8" w:space="0" w:color="000000"/>
              <w:right w:val="single" w:sz="8" w:space="0" w:color="000000"/>
            </w:tcBorders>
            <w:shd w:val="clear" w:color="auto" w:fill="auto"/>
            <w:vAlign w:val="center"/>
          </w:tcPr>
          <w:p w14:paraId="1AF6A51E" w14:textId="77777777" w:rsidR="0057636B" w:rsidRPr="00B364CB" w:rsidRDefault="0057636B" w:rsidP="0057636B">
            <w:pPr>
              <w:widowControl/>
              <w:jc w:val="center"/>
              <w:rPr>
                <w:rFonts w:cs="Arial"/>
                <w:sz w:val="20"/>
                <w:szCs w:val="20"/>
                <w:lang w:eastAsia="en-GB" w:bidi="ar-SA"/>
              </w:rPr>
            </w:pPr>
          </w:p>
        </w:tc>
        <w:tc>
          <w:tcPr>
            <w:tcW w:w="888" w:type="pct"/>
            <w:tcBorders>
              <w:left w:val="nil"/>
              <w:bottom w:val="single" w:sz="8" w:space="0" w:color="000000"/>
              <w:right w:val="single" w:sz="8" w:space="0" w:color="000000"/>
            </w:tcBorders>
            <w:shd w:val="clear" w:color="auto" w:fill="auto"/>
          </w:tcPr>
          <w:p w14:paraId="03293822" w14:textId="77777777" w:rsidR="0057636B" w:rsidRPr="00B364CB" w:rsidRDefault="0057636B" w:rsidP="0057636B">
            <w:pPr>
              <w:widowControl/>
              <w:jc w:val="center"/>
              <w:rPr>
                <w:rFonts w:cs="Arial"/>
                <w:sz w:val="20"/>
                <w:szCs w:val="20"/>
                <w:lang w:eastAsia="en-GB" w:bidi="ar-SA"/>
              </w:rPr>
            </w:pPr>
            <w:r>
              <w:rPr>
                <w:rFonts w:cs="Arial"/>
                <w:sz w:val="20"/>
                <w:szCs w:val="20"/>
                <w:lang w:eastAsia="en-GB" w:bidi="ar-SA"/>
              </w:rPr>
              <w:t>98</w:t>
            </w:r>
          </w:p>
        </w:tc>
        <w:tc>
          <w:tcPr>
            <w:tcW w:w="646" w:type="pct"/>
            <w:tcBorders>
              <w:top w:val="nil"/>
              <w:left w:val="nil"/>
              <w:bottom w:val="single" w:sz="8" w:space="0" w:color="000000"/>
              <w:right w:val="single" w:sz="8" w:space="0" w:color="000000"/>
            </w:tcBorders>
            <w:shd w:val="clear" w:color="auto" w:fill="auto"/>
          </w:tcPr>
          <w:p w14:paraId="5F5B27B9" w14:textId="77777777" w:rsidR="0057636B" w:rsidRPr="00B364CB" w:rsidRDefault="0057636B" w:rsidP="0057636B">
            <w:pPr>
              <w:widowControl/>
              <w:jc w:val="center"/>
              <w:rPr>
                <w:rFonts w:cs="Arial"/>
                <w:color w:val="000000" w:themeColor="text1"/>
                <w:sz w:val="20"/>
                <w:szCs w:val="20"/>
              </w:rPr>
            </w:pPr>
            <w:r>
              <w:rPr>
                <w:rFonts w:cs="Arial"/>
                <w:color w:val="000000" w:themeColor="text1"/>
                <w:sz w:val="20"/>
                <w:szCs w:val="20"/>
              </w:rPr>
              <w:t>98</w:t>
            </w:r>
          </w:p>
        </w:tc>
        <w:tc>
          <w:tcPr>
            <w:tcW w:w="727" w:type="pct"/>
            <w:tcBorders>
              <w:top w:val="nil"/>
              <w:left w:val="nil"/>
              <w:bottom w:val="single" w:sz="8" w:space="0" w:color="000000"/>
              <w:right w:val="single" w:sz="8" w:space="0" w:color="000000"/>
            </w:tcBorders>
            <w:shd w:val="clear" w:color="auto" w:fill="auto"/>
          </w:tcPr>
          <w:p w14:paraId="470FC6F7" w14:textId="77777777" w:rsidR="0057636B" w:rsidRPr="00B364CB" w:rsidRDefault="0057636B" w:rsidP="0057636B">
            <w:pPr>
              <w:widowControl/>
              <w:jc w:val="center"/>
              <w:rPr>
                <w:rFonts w:cs="Arial"/>
                <w:color w:val="000000" w:themeColor="text1"/>
                <w:sz w:val="20"/>
                <w:szCs w:val="20"/>
              </w:rPr>
            </w:pPr>
            <w:r>
              <w:rPr>
                <w:rFonts w:cs="Arial"/>
                <w:color w:val="000000" w:themeColor="text1"/>
                <w:sz w:val="20"/>
                <w:szCs w:val="20"/>
              </w:rPr>
              <w:t>98</w:t>
            </w:r>
          </w:p>
        </w:tc>
      </w:tr>
      <w:tr w:rsidR="009D0C2E" w:rsidRPr="00B364CB" w14:paraId="1F50F270" w14:textId="77777777" w:rsidTr="00120F40">
        <w:trPr>
          <w:trHeight w:val="356"/>
        </w:trPr>
        <w:tc>
          <w:tcPr>
            <w:tcW w:w="306" w:type="pct"/>
            <w:tcBorders>
              <w:top w:val="nil"/>
              <w:left w:val="single" w:sz="8" w:space="0" w:color="000000"/>
              <w:bottom w:val="single" w:sz="8" w:space="0" w:color="000000"/>
              <w:right w:val="single" w:sz="8" w:space="0" w:color="000000"/>
            </w:tcBorders>
            <w:shd w:val="clear" w:color="auto" w:fill="auto"/>
            <w:vAlign w:val="center"/>
            <w:hideMark/>
          </w:tcPr>
          <w:p w14:paraId="252C99F5" w14:textId="69EBDAB7" w:rsidR="009D0C2E" w:rsidRPr="00B364CB" w:rsidRDefault="0057636B" w:rsidP="009D0C2E">
            <w:pPr>
              <w:widowControl/>
              <w:jc w:val="center"/>
              <w:rPr>
                <w:rFonts w:cs="Arial"/>
                <w:sz w:val="20"/>
                <w:szCs w:val="20"/>
                <w:lang w:eastAsia="en-GB" w:bidi="ar-SA"/>
              </w:rPr>
            </w:pPr>
            <w:r>
              <w:rPr>
                <w:rFonts w:cs="Arial"/>
                <w:bCs/>
                <w:sz w:val="20"/>
                <w:szCs w:val="20"/>
                <w:lang w:eastAsia="en-GB" w:bidi="ar-SA"/>
              </w:rPr>
              <w:t>5</w:t>
            </w:r>
          </w:p>
        </w:tc>
        <w:tc>
          <w:tcPr>
            <w:tcW w:w="1787" w:type="pct"/>
            <w:gridSpan w:val="2"/>
            <w:tcBorders>
              <w:top w:val="nil"/>
              <w:left w:val="nil"/>
              <w:bottom w:val="single" w:sz="8" w:space="0" w:color="000000"/>
              <w:right w:val="single" w:sz="8" w:space="0" w:color="000000"/>
            </w:tcBorders>
            <w:shd w:val="clear" w:color="auto" w:fill="auto"/>
            <w:vAlign w:val="center"/>
          </w:tcPr>
          <w:p w14:paraId="3B1B231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Warm start time</w:t>
            </w:r>
          </w:p>
        </w:tc>
        <w:tc>
          <w:tcPr>
            <w:tcW w:w="646" w:type="pct"/>
            <w:tcBorders>
              <w:top w:val="nil"/>
              <w:left w:val="nil"/>
              <w:bottom w:val="single" w:sz="8" w:space="0" w:color="000000"/>
              <w:right w:val="single" w:sz="8" w:space="0" w:color="000000"/>
            </w:tcBorders>
            <w:shd w:val="clear" w:color="auto" w:fill="auto"/>
            <w:vAlign w:val="center"/>
          </w:tcPr>
          <w:p w14:paraId="1B1D45E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sec</w:t>
            </w:r>
          </w:p>
        </w:tc>
        <w:tc>
          <w:tcPr>
            <w:tcW w:w="888" w:type="pct"/>
            <w:tcBorders>
              <w:top w:val="nil"/>
              <w:left w:val="nil"/>
              <w:bottom w:val="single" w:sz="8" w:space="0" w:color="000000"/>
              <w:right w:val="single" w:sz="8" w:space="0" w:color="000000"/>
            </w:tcBorders>
            <w:shd w:val="clear" w:color="auto" w:fill="auto"/>
            <w:vAlign w:val="center"/>
          </w:tcPr>
          <w:p w14:paraId="4D106D83"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60</w:t>
            </w:r>
          </w:p>
        </w:tc>
        <w:tc>
          <w:tcPr>
            <w:tcW w:w="646" w:type="pct"/>
            <w:tcBorders>
              <w:top w:val="nil"/>
              <w:left w:val="nil"/>
              <w:bottom w:val="single" w:sz="8" w:space="0" w:color="000000"/>
              <w:right w:val="single" w:sz="8" w:space="0" w:color="000000"/>
            </w:tcBorders>
            <w:shd w:val="clear" w:color="auto" w:fill="auto"/>
            <w:vAlign w:val="center"/>
          </w:tcPr>
          <w:p w14:paraId="0A462152"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15</w:t>
            </w:r>
          </w:p>
        </w:tc>
        <w:tc>
          <w:tcPr>
            <w:tcW w:w="727" w:type="pct"/>
            <w:tcBorders>
              <w:top w:val="nil"/>
              <w:left w:val="nil"/>
              <w:bottom w:val="single" w:sz="8" w:space="0" w:color="000000"/>
              <w:right w:val="single" w:sz="8" w:space="0" w:color="000000"/>
            </w:tcBorders>
            <w:shd w:val="clear" w:color="auto" w:fill="auto"/>
            <w:vAlign w:val="center"/>
          </w:tcPr>
          <w:p w14:paraId="3F78FB64"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10</w:t>
            </w:r>
          </w:p>
        </w:tc>
      </w:tr>
      <w:tr w:rsidR="009D0C2E" w:rsidRPr="00B364CB" w14:paraId="3E93F1F8" w14:textId="77777777" w:rsidTr="00120F40">
        <w:trPr>
          <w:trHeight w:val="440"/>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F71749F" w14:textId="77777777" w:rsidR="009D0C2E" w:rsidRPr="00B364CB" w:rsidRDefault="009D0C2E" w:rsidP="009D0C2E">
            <w:pPr>
              <w:widowControl/>
              <w:jc w:val="center"/>
              <w:rPr>
                <w:rFonts w:cs="Arial"/>
                <w:b/>
                <w:sz w:val="20"/>
                <w:szCs w:val="20"/>
                <w:lang w:eastAsia="en-GB" w:bidi="ar-SA"/>
              </w:rPr>
            </w:pPr>
            <w:r w:rsidRPr="00B364CB">
              <w:rPr>
                <w:rFonts w:cs="Arial"/>
                <w:b/>
                <w:sz w:val="20"/>
                <w:szCs w:val="20"/>
                <w:lang w:eastAsia="en-GB" w:bidi="ar-SA"/>
              </w:rPr>
              <w:t>Stack</w:t>
            </w:r>
          </w:p>
        </w:tc>
      </w:tr>
      <w:tr w:rsidR="009D0C2E" w:rsidRPr="00B364CB" w14:paraId="364773FA" w14:textId="77777777" w:rsidTr="00120F40">
        <w:trPr>
          <w:trHeight w:val="356"/>
        </w:trPr>
        <w:tc>
          <w:tcPr>
            <w:tcW w:w="306" w:type="pct"/>
            <w:tcBorders>
              <w:top w:val="nil"/>
              <w:left w:val="single" w:sz="8" w:space="0" w:color="000000"/>
              <w:bottom w:val="single" w:sz="8" w:space="0" w:color="000000"/>
              <w:right w:val="single" w:sz="8" w:space="0" w:color="000000"/>
            </w:tcBorders>
            <w:shd w:val="clear" w:color="auto" w:fill="auto"/>
            <w:vAlign w:val="center"/>
            <w:hideMark/>
          </w:tcPr>
          <w:p w14:paraId="4CB69AD3" w14:textId="183283F0" w:rsidR="009D0C2E" w:rsidRPr="00B364CB" w:rsidRDefault="0057636B" w:rsidP="009D0C2E">
            <w:pPr>
              <w:widowControl/>
              <w:jc w:val="center"/>
              <w:rPr>
                <w:rFonts w:cs="Arial"/>
                <w:sz w:val="20"/>
                <w:szCs w:val="20"/>
                <w:lang w:eastAsia="en-GB" w:bidi="ar-SA"/>
              </w:rPr>
            </w:pPr>
            <w:r>
              <w:rPr>
                <w:rFonts w:cs="Arial"/>
                <w:bCs/>
                <w:sz w:val="20"/>
                <w:szCs w:val="20"/>
                <w:lang w:eastAsia="en-GB" w:bidi="ar-SA"/>
              </w:rPr>
              <w:t>6</w:t>
            </w:r>
          </w:p>
        </w:tc>
        <w:tc>
          <w:tcPr>
            <w:tcW w:w="1787" w:type="pct"/>
            <w:gridSpan w:val="2"/>
            <w:tcBorders>
              <w:top w:val="nil"/>
              <w:left w:val="nil"/>
              <w:bottom w:val="single" w:sz="8" w:space="0" w:color="000000"/>
              <w:right w:val="single" w:sz="8" w:space="0" w:color="000000"/>
            </w:tcBorders>
            <w:shd w:val="clear" w:color="auto" w:fill="auto"/>
            <w:vAlign w:val="center"/>
          </w:tcPr>
          <w:p w14:paraId="145E616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 xml:space="preserve">Degradation @ CI </w:t>
            </w:r>
          </w:p>
        </w:tc>
        <w:tc>
          <w:tcPr>
            <w:tcW w:w="646" w:type="pct"/>
            <w:tcBorders>
              <w:top w:val="nil"/>
              <w:left w:val="nil"/>
              <w:bottom w:val="single" w:sz="8" w:space="0" w:color="000000"/>
              <w:right w:val="single" w:sz="8" w:space="0" w:color="000000"/>
            </w:tcBorders>
            <w:shd w:val="clear" w:color="auto" w:fill="auto"/>
            <w:vAlign w:val="center"/>
          </w:tcPr>
          <w:p w14:paraId="03CC651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%/1,000h</w:t>
            </w:r>
          </w:p>
        </w:tc>
        <w:tc>
          <w:tcPr>
            <w:tcW w:w="888" w:type="pct"/>
            <w:tcBorders>
              <w:top w:val="nil"/>
              <w:left w:val="nil"/>
              <w:bottom w:val="single" w:sz="8" w:space="0" w:color="000000"/>
              <w:right w:val="single" w:sz="8" w:space="0" w:color="000000"/>
            </w:tcBorders>
            <w:shd w:val="clear" w:color="auto" w:fill="auto"/>
            <w:vAlign w:val="center"/>
          </w:tcPr>
          <w:p w14:paraId="534F2308"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0.4</w:t>
            </w:r>
          </w:p>
        </w:tc>
        <w:tc>
          <w:tcPr>
            <w:tcW w:w="646" w:type="pct"/>
            <w:tcBorders>
              <w:top w:val="nil"/>
              <w:left w:val="nil"/>
              <w:bottom w:val="single" w:sz="8" w:space="0" w:color="000000"/>
              <w:right w:val="single" w:sz="8" w:space="0" w:color="000000"/>
            </w:tcBorders>
            <w:shd w:val="clear" w:color="auto" w:fill="auto"/>
            <w:vAlign w:val="center"/>
          </w:tcPr>
          <w:p w14:paraId="1DFFD787"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0.2</w:t>
            </w:r>
          </w:p>
        </w:tc>
        <w:tc>
          <w:tcPr>
            <w:tcW w:w="727" w:type="pct"/>
            <w:tcBorders>
              <w:top w:val="nil"/>
              <w:left w:val="nil"/>
              <w:bottom w:val="single" w:sz="8" w:space="0" w:color="000000"/>
              <w:right w:val="single" w:sz="8" w:space="0" w:color="000000"/>
            </w:tcBorders>
            <w:shd w:val="clear" w:color="auto" w:fill="auto"/>
            <w:vAlign w:val="center"/>
          </w:tcPr>
          <w:p w14:paraId="7AFC25EA"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0.2</w:t>
            </w:r>
          </w:p>
        </w:tc>
      </w:tr>
      <w:tr w:rsidR="009D0C2E" w:rsidRPr="00B364CB" w14:paraId="656EEE99" w14:textId="77777777" w:rsidTr="00120F40">
        <w:trPr>
          <w:trHeight w:val="356"/>
        </w:trPr>
        <w:tc>
          <w:tcPr>
            <w:tcW w:w="306" w:type="pct"/>
            <w:tcBorders>
              <w:top w:val="nil"/>
              <w:left w:val="single" w:sz="8" w:space="0" w:color="000000"/>
              <w:bottom w:val="single" w:sz="8" w:space="0" w:color="000000"/>
              <w:right w:val="single" w:sz="8" w:space="0" w:color="000000"/>
            </w:tcBorders>
            <w:shd w:val="clear" w:color="auto" w:fill="auto"/>
            <w:vAlign w:val="center"/>
            <w:hideMark/>
          </w:tcPr>
          <w:p w14:paraId="6E38FBEF" w14:textId="64FC3F6A" w:rsidR="009D0C2E" w:rsidRPr="00B364CB" w:rsidRDefault="0057636B" w:rsidP="009D0C2E">
            <w:pPr>
              <w:widowControl/>
              <w:jc w:val="center"/>
              <w:rPr>
                <w:rFonts w:cs="Arial"/>
                <w:sz w:val="20"/>
                <w:szCs w:val="20"/>
                <w:lang w:eastAsia="en-GB" w:bidi="ar-SA"/>
              </w:rPr>
            </w:pPr>
            <w:r>
              <w:rPr>
                <w:rFonts w:cs="Arial"/>
                <w:bCs/>
                <w:sz w:val="20"/>
                <w:szCs w:val="20"/>
                <w:lang w:eastAsia="en-GB" w:bidi="ar-SA"/>
              </w:rPr>
              <w:t>7</w:t>
            </w:r>
          </w:p>
        </w:tc>
        <w:tc>
          <w:tcPr>
            <w:tcW w:w="1787" w:type="pct"/>
            <w:gridSpan w:val="2"/>
            <w:tcBorders>
              <w:top w:val="nil"/>
              <w:left w:val="nil"/>
              <w:bottom w:val="single" w:sz="8" w:space="0" w:color="000000"/>
              <w:right w:val="single" w:sz="8" w:space="0" w:color="000000"/>
            </w:tcBorders>
            <w:shd w:val="clear" w:color="auto" w:fill="auto"/>
            <w:vAlign w:val="center"/>
          </w:tcPr>
          <w:p w14:paraId="1B25EFE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Stack Production cost</w:t>
            </w:r>
          </w:p>
        </w:tc>
        <w:tc>
          <w:tcPr>
            <w:tcW w:w="646" w:type="pct"/>
            <w:tcBorders>
              <w:top w:val="nil"/>
              <w:left w:val="nil"/>
              <w:bottom w:val="single" w:sz="8" w:space="0" w:color="000000"/>
              <w:right w:val="single" w:sz="8" w:space="0" w:color="000000"/>
            </w:tcBorders>
            <w:shd w:val="clear" w:color="auto" w:fill="auto"/>
            <w:vAlign w:val="center"/>
          </w:tcPr>
          <w:p w14:paraId="1971DA0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€/kWe</w:t>
            </w:r>
          </w:p>
        </w:tc>
        <w:tc>
          <w:tcPr>
            <w:tcW w:w="888" w:type="pct"/>
            <w:tcBorders>
              <w:top w:val="nil"/>
              <w:left w:val="nil"/>
              <w:bottom w:val="single" w:sz="8" w:space="0" w:color="000000"/>
              <w:right w:val="single" w:sz="8" w:space="0" w:color="000000"/>
            </w:tcBorders>
            <w:shd w:val="clear" w:color="auto" w:fill="auto"/>
            <w:vAlign w:val="center"/>
          </w:tcPr>
          <w:p w14:paraId="3FC5CEE1"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400</w:t>
            </w:r>
          </w:p>
        </w:tc>
        <w:tc>
          <w:tcPr>
            <w:tcW w:w="646" w:type="pct"/>
            <w:tcBorders>
              <w:top w:val="nil"/>
              <w:left w:val="nil"/>
              <w:bottom w:val="single" w:sz="8" w:space="0" w:color="000000"/>
              <w:right w:val="single" w:sz="8" w:space="0" w:color="000000"/>
            </w:tcBorders>
            <w:shd w:val="clear" w:color="auto" w:fill="auto"/>
            <w:vAlign w:val="center"/>
          </w:tcPr>
          <w:p w14:paraId="229E5825"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240</w:t>
            </w:r>
          </w:p>
        </w:tc>
        <w:tc>
          <w:tcPr>
            <w:tcW w:w="727" w:type="pct"/>
            <w:tcBorders>
              <w:top w:val="nil"/>
              <w:left w:val="nil"/>
              <w:bottom w:val="single" w:sz="8" w:space="0" w:color="000000"/>
              <w:right w:val="single" w:sz="8" w:space="0" w:color="000000"/>
            </w:tcBorders>
            <w:shd w:val="clear" w:color="auto" w:fill="auto"/>
            <w:vAlign w:val="center"/>
          </w:tcPr>
          <w:p w14:paraId="2FA84514"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150</w:t>
            </w:r>
          </w:p>
        </w:tc>
      </w:tr>
      <w:tr w:rsidR="009D0C2E" w:rsidRPr="00B364CB" w14:paraId="63285012" w14:textId="77777777" w:rsidTr="00120F40">
        <w:trPr>
          <w:trHeight w:val="356"/>
        </w:trPr>
        <w:tc>
          <w:tcPr>
            <w:tcW w:w="306" w:type="pct"/>
            <w:tcBorders>
              <w:top w:val="nil"/>
              <w:left w:val="single" w:sz="8" w:space="0" w:color="000000"/>
              <w:bottom w:val="single" w:sz="8" w:space="0" w:color="000000"/>
              <w:right w:val="single" w:sz="8" w:space="0" w:color="000000"/>
            </w:tcBorders>
            <w:shd w:val="clear" w:color="auto" w:fill="auto"/>
            <w:vAlign w:val="center"/>
            <w:hideMark/>
          </w:tcPr>
          <w:p w14:paraId="6BC457B8" w14:textId="3C19AC4F" w:rsidR="009D0C2E" w:rsidRPr="00B364CB" w:rsidRDefault="0057636B" w:rsidP="009D0C2E">
            <w:pPr>
              <w:widowControl/>
              <w:jc w:val="center"/>
              <w:rPr>
                <w:rFonts w:cs="Arial"/>
                <w:sz w:val="20"/>
                <w:szCs w:val="20"/>
                <w:lang w:eastAsia="en-GB" w:bidi="ar-SA"/>
              </w:rPr>
            </w:pPr>
            <w:r>
              <w:rPr>
                <w:rFonts w:cs="Arial"/>
                <w:bCs/>
                <w:sz w:val="20"/>
                <w:szCs w:val="20"/>
                <w:lang w:eastAsia="en-GB" w:bidi="ar-SA"/>
              </w:rPr>
              <w:t>8</w:t>
            </w:r>
            <w:r w:rsidR="009D0C2E" w:rsidRPr="00B364CB">
              <w:rPr>
                <w:rFonts w:cs="Arial"/>
                <w:i/>
                <w:iCs/>
                <w:sz w:val="20"/>
                <w:szCs w:val="20"/>
                <w:lang w:eastAsia="en-GB" w:bidi="ar-SA"/>
              </w:rPr>
              <w:t> </w:t>
            </w:r>
          </w:p>
        </w:tc>
        <w:tc>
          <w:tcPr>
            <w:tcW w:w="1787" w:type="pct"/>
            <w:gridSpan w:val="2"/>
            <w:tcBorders>
              <w:top w:val="nil"/>
              <w:left w:val="nil"/>
              <w:bottom w:val="single" w:sz="8" w:space="0" w:color="000000"/>
              <w:right w:val="single" w:sz="8" w:space="0" w:color="000000"/>
            </w:tcBorders>
            <w:shd w:val="clear" w:color="auto" w:fill="auto"/>
            <w:vAlign w:val="center"/>
          </w:tcPr>
          <w:p w14:paraId="66661C83" w14:textId="77777777" w:rsidR="009D0C2E" w:rsidRPr="00B364CB" w:rsidRDefault="009D0C2E" w:rsidP="009D0C2E">
            <w:pPr>
              <w:widowControl/>
              <w:jc w:val="center"/>
              <w:rPr>
                <w:rFonts w:cs="Arial"/>
                <w:sz w:val="20"/>
                <w:szCs w:val="20"/>
              </w:rPr>
            </w:pPr>
            <w:r w:rsidRPr="00B364CB">
              <w:rPr>
                <w:rFonts w:cs="Arial"/>
                <w:sz w:val="20"/>
                <w:szCs w:val="20"/>
              </w:rPr>
              <w:t>Non-recoverable CRM</w:t>
            </w:r>
          </w:p>
          <w:p w14:paraId="7660B25E"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 xml:space="preserve"> as catalyst</w:t>
            </w:r>
          </w:p>
        </w:tc>
        <w:tc>
          <w:tcPr>
            <w:tcW w:w="646" w:type="pct"/>
            <w:tcBorders>
              <w:top w:val="nil"/>
              <w:left w:val="nil"/>
              <w:bottom w:val="single" w:sz="8" w:space="0" w:color="000000"/>
              <w:right w:val="single" w:sz="8" w:space="0" w:color="000000"/>
            </w:tcBorders>
            <w:shd w:val="clear" w:color="auto" w:fill="auto"/>
            <w:vAlign w:val="center"/>
          </w:tcPr>
          <w:p w14:paraId="76A7A5C0"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mg/W</w:t>
            </w:r>
            <w:r w:rsidRPr="00B364CB">
              <w:rPr>
                <w:rFonts w:cs="Arial"/>
                <w:sz w:val="20"/>
                <w:szCs w:val="20"/>
                <w:vertAlign w:val="subscript"/>
              </w:rPr>
              <w:t>el</w:t>
            </w:r>
          </w:p>
        </w:tc>
        <w:tc>
          <w:tcPr>
            <w:tcW w:w="888" w:type="pct"/>
            <w:tcBorders>
              <w:top w:val="nil"/>
              <w:left w:val="nil"/>
              <w:bottom w:val="single" w:sz="8" w:space="0" w:color="000000"/>
              <w:right w:val="single" w:sz="8" w:space="0" w:color="000000"/>
            </w:tcBorders>
            <w:shd w:val="clear" w:color="auto" w:fill="auto"/>
            <w:vAlign w:val="center"/>
          </w:tcPr>
          <w:p w14:paraId="188E9C48"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0.1</w:t>
            </w:r>
          </w:p>
        </w:tc>
        <w:tc>
          <w:tcPr>
            <w:tcW w:w="646" w:type="pct"/>
            <w:tcBorders>
              <w:top w:val="nil"/>
              <w:left w:val="nil"/>
              <w:bottom w:val="single" w:sz="8" w:space="0" w:color="000000"/>
              <w:right w:val="single" w:sz="8" w:space="0" w:color="000000"/>
            </w:tcBorders>
            <w:shd w:val="clear" w:color="auto" w:fill="auto"/>
            <w:vAlign w:val="center"/>
          </w:tcPr>
          <w:p w14:paraId="320E2E6E"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0.07</w:t>
            </w:r>
          </w:p>
        </w:tc>
        <w:tc>
          <w:tcPr>
            <w:tcW w:w="727" w:type="pct"/>
            <w:tcBorders>
              <w:top w:val="nil"/>
              <w:left w:val="nil"/>
              <w:bottom w:val="single" w:sz="8" w:space="0" w:color="000000"/>
              <w:right w:val="single" w:sz="8" w:space="0" w:color="000000"/>
            </w:tcBorders>
            <w:shd w:val="clear" w:color="auto" w:fill="auto"/>
            <w:vAlign w:val="center"/>
          </w:tcPr>
          <w:p w14:paraId="6517F53F" w14:textId="77777777" w:rsidR="009D0C2E" w:rsidRPr="00B364CB" w:rsidRDefault="009D0C2E" w:rsidP="009D0C2E">
            <w:pPr>
              <w:widowControl/>
              <w:jc w:val="center"/>
              <w:rPr>
                <w:rFonts w:cs="Arial"/>
                <w:sz w:val="20"/>
                <w:szCs w:val="20"/>
                <w:lang w:eastAsia="en-GB" w:bidi="ar-SA"/>
              </w:rPr>
            </w:pPr>
            <w:r w:rsidRPr="00B364CB">
              <w:rPr>
                <w:rFonts w:cs="Arial"/>
                <w:color w:val="000000" w:themeColor="text1"/>
                <w:sz w:val="20"/>
                <w:szCs w:val="20"/>
              </w:rPr>
              <w:t>0.01</w:t>
            </w:r>
          </w:p>
        </w:tc>
      </w:tr>
    </w:tbl>
    <w:p w14:paraId="1C94A8BE" w14:textId="77777777" w:rsidR="009D0C2E" w:rsidRPr="00B364CB" w:rsidRDefault="009D0C2E" w:rsidP="009D0C2E">
      <w:pPr>
        <w:tabs>
          <w:tab w:val="left" w:pos="1805"/>
        </w:tabs>
        <w:spacing w:after="120"/>
        <w:jc w:val="both"/>
        <w:rPr>
          <w:rFonts w:cstheme="minorHAnsi"/>
          <w:b/>
          <w:iCs/>
          <w:color w:val="auto"/>
          <w:sz w:val="16"/>
          <w:szCs w:val="16"/>
          <w:u w:val="single"/>
        </w:rPr>
      </w:pPr>
    </w:p>
    <w:p w14:paraId="0E1A5193"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22B831FF" w14:textId="77777777" w:rsidR="009D0C2E" w:rsidRPr="00B364CB" w:rsidRDefault="009D0C2E" w:rsidP="009D0C2E">
      <w:pPr>
        <w:spacing w:after="120"/>
        <w:jc w:val="both"/>
        <w:rPr>
          <w:rFonts w:ascii="Calibri" w:hAnsi="Calibri" w:cs="Calibri"/>
          <w:sz w:val="18"/>
          <w:szCs w:val="18"/>
          <w:lang w:eastAsia="en-GB" w:bidi="ar-SA"/>
        </w:rPr>
      </w:pPr>
      <w:r w:rsidRPr="001D12AA">
        <w:rPr>
          <w:rFonts w:cs="Arial"/>
          <w:bCs/>
          <w:sz w:val="16"/>
          <w:szCs w:val="16"/>
          <w:lang w:eastAsia="en-GB" w:bidi="ar-SA"/>
        </w:rPr>
        <w:t xml:space="preserve">Standard boundary conditions that apply to all PEMFC system KPIs: </w:t>
      </w:r>
      <w:r w:rsidRPr="001D12AA">
        <w:rPr>
          <w:rFonts w:cs="Arial"/>
          <w:bCs/>
          <w:iCs/>
          <w:color w:val="auto"/>
          <w:sz w:val="16"/>
          <w:szCs w:val="16"/>
        </w:rPr>
        <w:t>input</w:t>
      </w:r>
      <w:r w:rsidRPr="00B364CB">
        <w:rPr>
          <w:rFonts w:cs="Arial"/>
          <w:iCs/>
          <w:color w:val="auto"/>
          <w:sz w:val="16"/>
          <w:szCs w:val="16"/>
        </w:rPr>
        <w:t xml:space="preserve"> of hydrogen, tap water (if necessary) and ambient air; output of electrical power and heat. Correction factors may be applied if different fuel is used.</w:t>
      </w:r>
    </w:p>
    <w:p w14:paraId="0F62C2F4"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 xml:space="preserve">KPI-1: Capital cost are based on 100 MW/annum production volume for a single company and on a 10-year system lifetime running in steady state operation, whereby EoL is defined as 20% loss in nominal rated power. Stack replacements are not included in capital cost. Cost are for installation on a prepared site (fundament/building and necessary connections are available). For PEMFC the EBOP (Power Conversion System or electrical balance of plant components) have not been included in capital costs. Capital costs doesn’t include margins, distribution and marketing costs. </w:t>
      </w:r>
    </w:p>
    <w:p w14:paraId="5ADDD0C6"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 xml:space="preserve">KPI-2: Operation and maintenance cost averaged over the first 10 years of the system. Potential stack replacements are included in O&amp;M cost. Fuel costs are not included in O&amp;M cost. </w:t>
      </w:r>
    </w:p>
    <w:p w14:paraId="0A9F165F" w14:textId="7777777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KPI-3: Electrical efficiency at beginning of life (</w:t>
      </w:r>
      <w:r w:rsidRPr="00B364CB">
        <w:rPr>
          <w:rFonts w:cs="Arial"/>
          <w:sz w:val="20"/>
          <w:szCs w:val="20"/>
          <w:lang w:eastAsia="en-GB" w:bidi="ar-SA"/>
        </w:rPr>
        <w:t>η</w:t>
      </w:r>
      <w:r w:rsidRPr="00B364CB">
        <w:rPr>
          <w:rFonts w:cs="Arial"/>
          <w:bCs/>
          <w:sz w:val="20"/>
          <w:szCs w:val="20"/>
          <w:vertAlign w:val="subscript"/>
          <w:lang w:eastAsia="en-GB" w:bidi="ar-SA"/>
        </w:rPr>
        <w:t>el</w:t>
      </w:r>
      <w:r w:rsidRPr="00B364CB">
        <w:rPr>
          <w:rFonts w:cstheme="minorHAnsi"/>
          <w:iCs/>
          <w:color w:val="auto"/>
          <w:sz w:val="16"/>
          <w:szCs w:val="16"/>
        </w:rPr>
        <w:t xml:space="preserve">) is ratio of the net electric DC power (IEV 485-14-03) produced by a fuel cell power system (IEV 485-1818 09-01) to the total enthalpy flow (fuel LHV) supplied to the fuel cell power system. </w:t>
      </w:r>
    </w:p>
    <w:p w14:paraId="2017CD36" w14:textId="7567AF9C" w:rsidR="0057636B" w:rsidRPr="00B364CB" w:rsidRDefault="0057636B" w:rsidP="0057636B">
      <w:pPr>
        <w:spacing w:after="120"/>
        <w:jc w:val="both"/>
        <w:rPr>
          <w:rFonts w:cstheme="minorHAnsi"/>
          <w:iCs/>
          <w:color w:val="auto"/>
          <w:sz w:val="16"/>
          <w:szCs w:val="16"/>
        </w:rPr>
      </w:pPr>
      <w:r>
        <w:rPr>
          <w:rFonts w:cstheme="minorHAnsi"/>
          <w:iCs/>
          <w:color w:val="auto"/>
          <w:sz w:val="16"/>
          <w:szCs w:val="16"/>
        </w:rPr>
        <w:lastRenderedPageBreak/>
        <w:t xml:space="preserve">KPI-4: </w:t>
      </w:r>
      <w:r w:rsidRPr="00C359DC">
        <w:rPr>
          <w:rFonts w:cstheme="minorHAnsi"/>
          <w:iCs/>
          <w:color w:val="auto"/>
          <w:sz w:val="16"/>
          <w:szCs w:val="16"/>
        </w:rPr>
        <w:t>(The time a system was expected to operate minus the downtime) divided by (the time a unit was expected to operate) expressed as a percentage</w:t>
      </w:r>
      <w:r>
        <w:rPr>
          <w:rFonts w:cstheme="minorHAnsi"/>
          <w:iCs/>
          <w:color w:val="auto"/>
          <w:sz w:val="16"/>
          <w:szCs w:val="16"/>
        </w:rPr>
        <w:t>.</w:t>
      </w:r>
    </w:p>
    <w:p w14:paraId="1429F735" w14:textId="3FF434A1"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KPI-</w:t>
      </w:r>
      <w:r w:rsidR="0057636B">
        <w:rPr>
          <w:rFonts w:cstheme="minorHAnsi"/>
          <w:iCs/>
          <w:color w:val="auto"/>
          <w:sz w:val="16"/>
          <w:szCs w:val="16"/>
        </w:rPr>
        <w:t>5</w:t>
      </w:r>
      <w:r w:rsidRPr="00B364CB">
        <w:rPr>
          <w:rFonts w:cstheme="minorHAnsi"/>
          <w:iCs/>
          <w:color w:val="auto"/>
          <w:sz w:val="16"/>
          <w:szCs w:val="16"/>
        </w:rPr>
        <w:t>: Time required to reach the nominal rated power output when starting the device from warm standby mode (system already at operating temperature).</w:t>
      </w:r>
    </w:p>
    <w:p w14:paraId="28FD64AD" w14:textId="1693EDD7"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KPI-</w:t>
      </w:r>
      <w:r w:rsidR="0057636B">
        <w:rPr>
          <w:rFonts w:cstheme="minorHAnsi"/>
          <w:iCs/>
          <w:color w:val="auto"/>
          <w:sz w:val="16"/>
          <w:szCs w:val="16"/>
        </w:rPr>
        <w:t>6</w:t>
      </w:r>
      <w:r w:rsidRPr="00B364CB">
        <w:rPr>
          <w:rFonts w:cstheme="minorHAnsi"/>
          <w:iCs/>
          <w:color w:val="auto"/>
          <w:sz w:val="16"/>
          <w:szCs w:val="16"/>
        </w:rPr>
        <w:t>: Stack degradation defined as percentage power loss compared to nominal rated power at BoL for fuel composition and utilisation specified by stack manufacturer at constant current (density). Minimum testing time of 3,000 hrs (4 months)</w:t>
      </w:r>
    </w:p>
    <w:p w14:paraId="1C0C1213" w14:textId="4418136B"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KPI-</w:t>
      </w:r>
      <w:r w:rsidR="0057636B">
        <w:rPr>
          <w:rFonts w:cstheme="minorHAnsi"/>
          <w:iCs/>
          <w:color w:val="auto"/>
          <w:sz w:val="16"/>
          <w:szCs w:val="16"/>
        </w:rPr>
        <w:t>7</w:t>
      </w:r>
      <w:r w:rsidRPr="00B364CB">
        <w:rPr>
          <w:rFonts w:cstheme="minorHAnsi"/>
          <w:iCs/>
          <w:color w:val="auto"/>
          <w:sz w:val="16"/>
          <w:szCs w:val="16"/>
        </w:rPr>
        <w:t>: Stack production cost are based on 100 MW/annum production volume for a single company. Stack production costs doesn’t include margins, distribution and marketing costs.</w:t>
      </w:r>
    </w:p>
    <w:p w14:paraId="161E127C" w14:textId="6AADC031" w:rsidR="009D0C2E" w:rsidRPr="00B364CB" w:rsidRDefault="009D0C2E" w:rsidP="009D0C2E">
      <w:pPr>
        <w:spacing w:after="120"/>
        <w:jc w:val="both"/>
        <w:rPr>
          <w:rFonts w:cstheme="minorHAnsi"/>
          <w:iCs/>
          <w:color w:val="auto"/>
          <w:sz w:val="16"/>
          <w:szCs w:val="16"/>
        </w:rPr>
      </w:pPr>
      <w:r w:rsidRPr="00B364CB">
        <w:rPr>
          <w:rFonts w:cstheme="minorHAnsi"/>
          <w:iCs/>
          <w:color w:val="auto"/>
          <w:sz w:val="16"/>
          <w:szCs w:val="16"/>
        </w:rPr>
        <w:t>KPI-</w:t>
      </w:r>
      <w:r w:rsidR="0057636B">
        <w:rPr>
          <w:rFonts w:cstheme="minorHAnsi"/>
          <w:iCs/>
          <w:color w:val="auto"/>
          <w:sz w:val="16"/>
          <w:szCs w:val="16"/>
        </w:rPr>
        <w:t>8</w:t>
      </w:r>
      <w:r w:rsidRPr="00B364CB">
        <w:rPr>
          <w:rFonts w:cstheme="minorHAnsi"/>
          <w:iCs/>
          <w:color w:val="auto"/>
          <w:sz w:val="16"/>
          <w:szCs w:val="16"/>
        </w:rPr>
        <w:t>: The critical raw material considered here is Platinum.</w:t>
      </w:r>
    </w:p>
    <w:p w14:paraId="1AB7DFA3" w14:textId="69F41687" w:rsidR="009D0C2E" w:rsidRPr="00B364CB" w:rsidRDefault="009D0C2E" w:rsidP="009D0C2E">
      <w:pPr>
        <w:pStyle w:val="Caption"/>
        <w:rPr>
          <w:sz w:val="24"/>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22</w:t>
      </w:r>
      <w:r w:rsidRPr="00B364CB">
        <w:rPr>
          <w:sz w:val="24"/>
        </w:rPr>
        <w:fldChar w:fldCharType="end"/>
      </w:r>
      <w:r w:rsidRPr="00B364CB">
        <w:rPr>
          <w:sz w:val="24"/>
        </w:rPr>
        <w:t>: KPIs for Turbines (DLE combustion)</w:t>
      </w:r>
    </w:p>
    <w:tbl>
      <w:tblPr>
        <w:tblpPr w:leftFromText="180" w:rightFromText="180" w:vertAnchor="text" w:tblpY="1"/>
        <w:tblOverlap w:val="neve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56"/>
        <w:gridCol w:w="3086"/>
        <w:gridCol w:w="1122"/>
        <w:gridCol w:w="1403"/>
        <w:gridCol w:w="1403"/>
        <w:gridCol w:w="1540"/>
      </w:tblGrid>
      <w:tr w:rsidR="00BF0053" w:rsidRPr="00B364CB" w14:paraId="4DB301F1" w14:textId="77777777" w:rsidTr="00F07B97">
        <w:trPr>
          <w:trHeight w:val="751"/>
        </w:trPr>
        <w:tc>
          <w:tcPr>
            <w:tcW w:w="305" w:type="pct"/>
            <w:shd w:val="clear" w:color="auto" w:fill="BFBFBF" w:themeFill="background1" w:themeFillShade="BF"/>
            <w:vAlign w:val="center"/>
            <w:hideMark/>
          </w:tcPr>
          <w:p w14:paraId="1B0B39B9"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No</w:t>
            </w:r>
          </w:p>
        </w:tc>
        <w:tc>
          <w:tcPr>
            <w:tcW w:w="1694" w:type="pct"/>
            <w:shd w:val="clear" w:color="auto" w:fill="BFBFBF" w:themeFill="background1" w:themeFillShade="BF"/>
            <w:vAlign w:val="center"/>
            <w:hideMark/>
          </w:tcPr>
          <w:p w14:paraId="18B228F4"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Parameter</w:t>
            </w:r>
          </w:p>
        </w:tc>
        <w:tc>
          <w:tcPr>
            <w:tcW w:w="616" w:type="pct"/>
            <w:shd w:val="clear" w:color="auto" w:fill="BFBFBF" w:themeFill="background1" w:themeFillShade="BF"/>
            <w:vAlign w:val="center"/>
            <w:hideMark/>
          </w:tcPr>
          <w:p w14:paraId="05D9DBB5"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Unit</w:t>
            </w:r>
          </w:p>
        </w:tc>
        <w:tc>
          <w:tcPr>
            <w:tcW w:w="770" w:type="pct"/>
            <w:shd w:val="clear" w:color="auto" w:fill="BFBFBF" w:themeFill="background1" w:themeFillShade="BF"/>
            <w:vAlign w:val="center"/>
          </w:tcPr>
          <w:p w14:paraId="11CE51AC" w14:textId="77777777" w:rsidR="009D0C2E" w:rsidRPr="00B364CB" w:rsidRDefault="009D0C2E" w:rsidP="00037D31">
            <w:pPr>
              <w:widowControl/>
              <w:jc w:val="center"/>
              <w:rPr>
                <w:rFonts w:cs="Arial"/>
                <w:b/>
                <w:bCs/>
                <w:sz w:val="20"/>
                <w:szCs w:val="20"/>
                <w:lang w:eastAsia="en-GB" w:bidi="ar-SA"/>
              </w:rPr>
            </w:pPr>
            <w:r w:rsidRPr="00B364CB">
              <w:rPr>
                <w:rFonts w:cs="Arial"/>
                <w:b/>
                <w:bCs/>
                <w:sz w:val="20"/>
                <w:szCs w:val="20"/>
                <w:lang w:eastAsia="en-GB" w:bidi="ar-SA"/>
              </w:rPr>
              <w:t>SoA 2020</w:t>
            </w:r>
          </w:p>
        </w:tc>
        <w:tc>
          <w:tcPr>
            <w:tcW w:w="770" w:type="pct"/>
            <w:shd w:val="clear" w:color="auto" w:fill="BFBFBF" w:themeFill="background1" w:themeFillShade="BF"/>
            <w:vAlign w:val="center"/>
          </w:tcPr>
          <w:p w14:paraId="331FFFB0" w14:textId="77777777" w:rsidR="009D0C2E" w:rsidRPr="00B364CB" w:rsidRDefault="009D0C2E" w:rsidP="00037D31">
            <w:pPr>
              <w:jc w:val="center"/>
            </w:pPr>
            <w:r w:rsidRPr="00B364CB">
              <w:rPr>
                <w:rFonts w:cs="Arial"/>
                <w:b/>
                <w:bCs/>
                <w:sz w:val="20"/>
                <w:szCs w:val="20"/>
                <w:lang w:eastAsia="en-GB" w:bidi="ar-SA"/>
              </w:rPr>
              <w:t>Target 2024</w:t>
            </w:r>
          </w:p>
        </w:tc>
        <w:tc>
          <w:tcPr>
            <w:tcW w:w="846" w:type="pct"/>
            <w:shd w:val="clear" w:color="auto" w:fill="BFBFBF" w:themeFill="background1" w:themeFillShade="BF"/>
            <w:vAlign w:val="center"/>
          </w:tcPr>
          <w:p w14:paraId="6DA0D25C" w14:textId="77777777" w:rsidR="009D0C2E" w:rsidRPr="00B364CB" w:rsidRDefault="009D0C2E" w:rsidP="00037D31">
            <w:pPr>
              <w:jc w:val="center"/>
            </w:pPr>
            <w:r w:rsidRPr="00B364CB">
              <w:rPr>
                <w:rFonts w:cs="Arial"/>
                <w:b/>
                <w:bCs/>
                <w:sz w:val="20"/>
                <w:szCs w:val="20"/>
                <w:lang w:eastAsia="en-GB" w:bidi="ar-SA"/>
              </w:rPr>
              <w:t>Target 2030</w:t>
            </w:r>
          </w:p>
        </w:tc>
      </w:tr>
      <w:tr w:rsidR="009D0C2E" w:rsidRPr="00B364CB" w14:paraId="6C44F0AF" w14:textId="77777777" w:rsidTr="001D12AA">
        <w:trPr>
          <w:trHeight w:val="315"/>
        </w:trPr>
        <w:tc>
          <w:tcPr>
            <w:tcW w:w="305" w:type="pct"/>
            <w:vMerge w:val="restart"/>
            <w:shd w:val="clear" w:color="auto" w:fill="auto"/>
            <w:vAlign w:val="center"/>
            <w:hideMark/>
          </w:tcPr>
          <w:p w14:paraId="675E516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c>
          <w:tcPr>
            <w:tcW w:w="1694" w:type="pct"/>
            <w:vMerge w:val="restart"/>
            <w:shd w:val="clear" w:color="auto" w:fill="auto"/>
            <w:vAlign w:val="center"/>
          </w:tcPr>
          <w:p w14:paraId="2865572D" w14:textId="77777777" w:rsidR="009D0C2E" w:rsidRPr="00B364CB" w:rsidRDefault="009D0C2E" w:rsidP="009D0C2E">
            <w:pPr>
              <w:widowControl/>
              <w:rPr>
                <w:rFonts w:cs="Arial"/>
                <w:sz w:val="20"/>
                <w:szCs w:val="20"/>
              </w:rPr>
            </w:pPr>
            <w:r w:rsidRPr="00B364CB">
              <w:rPr>
                <w:rFonts w:cs="Arial"/>
                <w:sz w:val="20"/>
                <w:szCs w:val="20"/>
              </w:rPr>
              <w:t>H</w:t>
            </w:r>
            <w:r w:rsidRPr="00B364CB">
              <w:rPr>
                <w:rFonts w:cs="Arial"/>
                <w:sz w:val="20"/>
                <w:szCs w:val="20"/>
                <w:vertAlign w:val="subscript"/>
              </w:rPr>
              <w:t>2</w:t>
            </w:r>
            <w:r w:rsidRPr="00B364CB">
              <w:rPr>
                <w:rFonts w:cs="Arial"/>
                <w:sz w:val="20"/>
                <w:szCs w:val="20"/>
              </w:rPr>
              <w:t xml:space="preserve"> range in </w:t>
            </w:r>
          </w:p>
          <w:p w14:paraId="52CE17C3" w14:textId="77777777" w:rsidR="009D0C2E" w:rsidRPr="00B364CB" w:rsidRDefault="009D0C2E" w:rsidP="009D0C2E">
            <w:pPr>
              <w:widowControl/>
              <w:rPr>
                <w:rFonts w:cs="Arial"/>
                <w:sz w:val="20"/>
                <w:szCs w:val="20"/>
                <w:lang w:eastAsia="en-GB" w:bidi="ar-SA"/>
              </w:rPr>
            </w:pPr>
            <w:r w:rsidRPr="00B364CB">
              <w:rPr>
                <w:rFonts w:cs="Arial"/>
                <w:sz w:val="20"/>
                <w:szCs w:val="20"/>
              </w:rPr>
              <w:t>gas turbine fuel</w:t>
            </w:r>
          </w:p>
        </w:tc>
        <w:tc>
          <w:tcPr>
            <w:tcW w:w="616" w:type="pct"/>
            <w:shd w:val="clear" w:color="auto" w:fill="auto"/>
            <w:vAlign w:val="center"/>
          </w:tcPr>
          <w:p w14:paraId="47727971" w14:textId="77777777" w:rsidR="009D0C2E" w:rsidRPr="00B364CB" w:rsidRDefault="009D0C2E" w:rsidP="00037D31">
            <w:pPr>
              <w:widowControl/>
              <w:jc w:val="center"/>
              <w:rPr>
                <w:rFonts w:cs="Arial"/>
                <w:sz w:val="20"/>
                <w:szCs w:val="20"/>
                <w:lang w:eastAsia="en-GB" w:bidi="ar-SA"/>
              </w:rPr>
            </w:pPr>
            <w:r w:rsidRPr="00B364CB">
              <w:rPr>
                <w:rFonts w:cs="Arial"/>
                <w:sz w:val="20"/>
                <w:szCs w:val="20"/>
              </w:rPr>
              <w:t>% mass</w:t>
            </w:r>
          </w:p>
        </w:tc>
        <w:tc>
          <w:tcPr>
            <w:tcW w:w="770" w:type="pct"/>
            <w:vAlign w:val="center"/>
          </w:tcPr>
          <w:p w14:paraId="0DA9C995" w14:textId="77777777" w:rsidR="009D0C2E" w:rsidRPr="00B364CB" w:rsidRDefault="009D0C2E" w:rsidP="009D0C2E">
            <w:pPr>
              <w:widowControl/>
              <w:jc w:val="center"/>
              <w:rPr>
                <w:rFonts w:cs="Arial"/>
                <w:sz w:val="20"/>
                <w:szCs w:val="20"/>
                <w:highlight w:val="yellow"/>
                <w:lang w:eastAsia="en-GB" w:bidi="ar-SA"/>
              </w:rPr>
            </w:pPr>
            <w:r w:rsidRPr="00B364CB">
              <w:rPr>
                <w:rFonts w:cs="Arial"/>
                <w:sz w:val="20"/>
                <w:szCs w:val="20"/>
              </w:rPr>
              <w:t>0 – 5</w:t>
            </w:r>
          </w:p>
        </w:tc>
        <w:tc>
          <w:tcPr>
            <w:tcW w:w="770" w:type="pct"/>
            <w:vAlign w:val="center"/>
          </w:tcPr>
          <w:p w14:paraId="45A71153" w14:textId="77777777" w:rsidR="009D0C2E" w:rsidRPr="00B364CB" w:rsidRDefault="009D0C2E" w:rsidP="009D0C2E">
            <w:pPr>
              <w:widowControl/>
              <w:jc w:val="center"/>
              <w:rPr>
                <w:rFonts w:cs="Arial"/>
                <w:sz w:val="20"/>
                <w:szCs w:val="20"/>
              </w:rPr>
            </w:pPr>
            <w:r w:rsidRPr="00B364CB">
              <w:rPr>
                <w:rFonts w:cs="Arial"/>
                <w:sz w:val="20"/>
                <w:szCs w:val="20"/>
              </w:rPr>
              <w:t xml:space="preserve">0 – </w:t>
            </w:r>
            <w:r>
              <w:rPr>
                <w:rFonts w:cs="Arial"/>
                <w:sz w:val="20"/>
                <w:szCs w:val="20"/>
              </w:rPr>
              <w:t>23</w:t>
            </w:r>
          </w:p>
        </w:tc>
        <w:tc>
          <w:tcPr>
            <w:tcW w:w="846" w:type="pct"/>
            <w:vAlign w:val="center"/>
          </w:tcPr>
          <w:p w14:paraId="35507FD5" w14:textId="77777777" w:rsidR="009D0C2E" w:rsidRPr="00B364CB" w:rsidRDefault="009D0C2E" w:rsidP="009D0C2E">
            <w:pPr>
              <w:widowControl/>
              <w:jc w:val="center"/>
              <w:rPr>
                <w:rFonts w:cs="Arial"/>
                <w:sz w:val="20"/>
                <w:szCs w:val="20"/>
              </w:rPr>
            </w:pPr>
            <w:r w:rsidRPr="00B364CB">
              <w:rPr>
                <w:rFonts w:cs="Arial"/>
                <w:sz w:val="20"/>
                <w:szCs w:val="20"/>
              </w:rPr>
              <w:t>0 - 100</w:t>
            </w:r>
          </w:p>
        </w:tc>
      </w:tr>
      <w:tr w:rsidR="009D0C2E" w:rsidRPr="00B364CB" w14:paraId="7D921937" w14:textId="77777777" w:rsidTr="001D12AA">
        <w:trPr>
          <w:trHeight w:val="422"/>
        </w:trPr>
        <w:tc>
          <w:tcPr>
            <w:tcW w:w="305" w:type="pct"/>
            <w:vMerge/>
            <w:shd w:val="clear" w:color="auto" w:fill="auto"/>
            <w:vAlign w:val="center"/>
          </w:tcPr>
          <w:p w14:paraId="2BD24F67" w14:textId="77777777" w:rsidR="009D0C2E" w:rsidRPr="00B364CB" w:rsidRDefault="009D0C2E" w:rsidP="009D0C2E">
            <w:pPr>
              <w:widowControl/>
              <w:jc w:val="center"/>
              <w:rPr>
                <w:rFonts w:cs="Arial"/>
                <w:sz w:val="20"/>
                <w:szCs w:val="20"/>
                <w:lang w:eastAsia="en-GB" w:bidi="ar-SA"/>
              </w:rPr>
            </w:pPr>
          </w:p>
        </w:tc>
        <w:tc>
          <w:tcPr>
            <w:tcW w:w="1694" w:type="pct"/>
            <w:vMerge/>
            <w:shd w:val="clear" w:color="auto" w:fill="auto"/>
            <w:vAlign w:val="center"/>
          </w:tcPr>
          <w:p w14:paraId="3E3CF690" w14:textId="77777777" w:rsidR="009D0C2E" w:rsidRPr="00B364CB" w:rsidRDefault="009D0C2E" w:rsidP="009D0C2E">
            <w:pPr>
              <w:widowControl/>
              <w:rPr>
                <w:rFonts w:cs="Arial"/>
                <w:sz w:val="20"/>
                <w:szCs w:val="20"/>
                <w:lang w:eastAsia="en-GB" w:bidi="ar-SA"/>
              </w:rPr>
            </w:pPr>
          </w:p>
        </w:tc>
        <w:tc>
          <w:tcPr>
            <w:tcW w:w="616" w:type="pct"/>
            <w:shd w:val="clear" w:color="auto" w:fill="auto"/>
            <w:vAlign w:val="center"/>
          </w:tcPr>
          <w:p w14:paraId="43CBCB7A" w14:textId="18507FBF" w:rsidR="009D0C2E" w:rsidRPr="00B364CB" w:rsidRDefault="009D0C2E" w:rsidP="00037D31">
            <w:pPr>
              <w:widowControl/>
              <w:jc w:val="center"/>
              <w:rPr>
                <w:rFonts w:cs="Arial"/>
                <w:sz w:val="20"/>
                <w:szCs w:val="20"/>
                <w:lang w:eastAsia="en-GB" w:bidi="ar-SA"/>
              </w:rPr>
            </w:pPr>
            <w:r w:rsidRPr="00B364CB">
              <w:rPr>
                <w:rFonts w:cs="Arial"/>
                <w:sz w:val="20"/>
                <w:szCs w:val="20"/>
              </w:rPr>
              <w:t>% vol.</w:t>
            </w:r>
          </w:p>
        </w:tc>
        <w:tc>
          <w:tcPr>
            <w:tcW w:w="770" w:type="pct"/>
            <w:vAlign w:val="center"/>
          </w:tcPr>
          <w:p w14:paraId="7C49E700" w14:textId="77777777" w:rsidR="009D0C2E" w:rsidRPr="00B364CB" w:rsidRDefault="009D0C2E" w:rsidP="009D0C2E">
            <w:pPr>
              <w:widowControl/>
              <w:jc w:val="center"/>
              <w:rPr>
                <w:rFonts w:cs="Arial"/>
                <w:sz w:val="20"/>
                <w:szCs w:val="20"/>
                <w:highlight w:val="yellow"/>
                <w:lang w:eastAsia="en-GB" w:bidi="ar-SA"/>
              </w:rPr>
            </w:pPr>
            <w:r w:rsidRPr="00B364CB">
              <w:rPr>
                <w:rFonts w:cs="Arial"/>
                <w:sz w:val="20"/>
                <w:szCs w:val="20"/>
              </w:rPr>
              <w:t>0 - 30</w:t>
            </w:r>
          </w:p>
        </w:tc>
        <w:tc>
          <w:tcPr>
            <w:tcW w:w="770" w:type="pct"/>
            <w:vAlign w:val="center"/>
          </w:tcPr>
          <w:p w14:paraId="3A2FE97B" w14:textId="77777777" w:rsidR="009D0C2E" w:rsidRPr="00B364CB" w:rsidRDefault="009D0C2E" w:rsidP="009D0C2E">
            <w:pPr>
              <w:widowControl/>
              <w:jc w:val="center"/>
              <w:rPr>
                <w:rFonts w:cs="Arial"/>
                <w:sz w:val="20"/>
                <w:szCs w:val="20"/>
              </w:rPr>
            </w:pPr>
            <w:r w:rsidRPr="00B364CB">
              <w:rPr>
                <w:rFonts w:cs="Arial"/>
                <w:sz w:val="20"/>
                <w:szCs w:val="20"/>
              </w:rPr>
              <w:t xml:space="preserve">0 - </w:t>
            </w:r>
            <w:r>
              <w:rPr>
                <w:rFonts w:cs="Arial"/>
                <w:sz w:val="20"/>
                <w:szCs w:val="20"/>
              </w:rPr>
              <w:t>7</w:t>
            </w:r>
            <w:r w:rsidRPr="00B364CB">
              <w:rPr>
                <w:rFonts w:cs="Arial"/>
                <w:sz w:val="20"/>
                <w:szCs w:val="20"/>
              </w:rPr>
              <w:t>0</w:t>
            </w:r>
          </w:p>
        </w:tc>
        <w:tc>
          <w:tcPr>
            <w:tcW w:w="846" w:type="pct"/>
            <w:vAlign w:val="center"/>
          </w:tcPr>
          <w:p w14:paraId="5B1CDE89" w14:textId="77777777" w:rsidR="009D0C2E" w:rsidRPr="00B364CB" w:rsidRDefault="009D0C2E" w:rsidP="009D0C2E">
            <w:pPr>
              <w:widowControl/>
              <w:jc w:val="center"/>
              <w:rPr>
                <w:rFonts w:cs="Arial"/>
                <w:sz w:val="20"/>
                <w:szCs w:val="20"/>
              </w:rPr>
            </w:pPr>
            <w:r w:rsidRPr="00B364CB">
              <w:rPr>
                <w:rFonts w:cs="Arial"/>
                <w:sz w:val="20"/>
                <w:szCs w:val="20"/>
              </w:rPr>
              <w:t>0 - 100</w:t>
            </w:r>
          </w:p>
        </w:tc>
      </w:tr>
      <w:tr w:rsidR="009D0C2E" w:rsidRPr="00B364CB" w14:paraId="2C79CA17" w14:textId="77777777" w:rsidTr="001D12AA">
        <w:trPr>
          <w:trHeight w:val="983"/>
        </w:trPr>
        <w:tc>
          <w:tcPr>
            <w:tcW w:w="305" w:type="pct"/>
            <w:vMerge w:val="restart"/>
            <w:shd w:val="clear" w:color="auto" w:fill="auto"/>
            <w:vAlign w:val="center"/>
          </w:tcPr>
          <w:p w14:paraId="68DE3EF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c>
          <w:tcPr>
            <w:tcW w:w="1694" w:type="pct"/>
            <w:vMerge w:val="restart"/>
            <w:shd w:val="clear" w:color="auto" w:fill="auto"/>
            <w:vAlign w:val="center"/>
          </w:tcPr>
          <w:p w14:paraId="3121E6BD" w14:textId="77777777" w:rsidR="009D0C2E" w:rsidRPr="00B364CB" w:rsidRDefault="009D0C2E" w:rsidP="009D0C2E">
            <w:pPr>
              <w:widowControl/>
              <w:rPr>
                <w:rFonts w:cs="Arial"/>
                <w:sz w:val="20"/>
                <w:szCs w:val="20"/>
              </w:rPr>
            </w:pPr>
            <w:r w:rsidRPr="00B364CB">
              <w:rPr>
                <w:rFonts w:cs="Arial"/>
                <w:sz w:val="20"/>
                <w:szCs w:val="20"/>
              </w:rPr>
              <w:t>NO</w:t>
            </w:r>
            <w:r w:rsidRPr="00B364CB">
              <w:rPr>
                <w:rFonts w:cs="Arial"/>
                <w:sz w:val="20"/>
                <w:szCs w:val="20"/>
                <w:vertAlign w:val="subscript"/>
              </w:rPr>
              <w:t>x</w:t>
            </w:r>
            <w:r w:rsidRPr="00B364CB">
              <w:rPr>
                <w:rFonts w:cs="Arial"/>
                <w:sz w:val="20"/>
                <w:szCs w:val="20"/>
              </w:rPr>
              <w:t xml:space="preserve"> emissions</w:t>
            </w:r>
          </w:p>
        </w:tc>
        <w:tc>
          <w:tcPr>
            <w:tcW w:w="616" w:type="pct"/>
            <w:shd w:val="clear" w:color="auto" w:fill="auto"/>
            <w:vAlign w:val="center"/>
          </w:tcPr>
          <w:p w14:paraId="7C9DC12A" w14:textId="77777777" w:rsidR="009D0C2E" w:rsidRPr="00B364CB" w:rsidRDefault="009D0C2E" w:rsidP="00037D31">
            <w:pPr>
              <w:widowControl/>
              <w:jc w:val="center"/>
              <w:rPr>
                <w:sz w:val="20"/>
              </w:rPr>
            </w:pPr>
          </w:p>
        </w:tc>
        <w:tc>
          <w:tcPr>
            <w:tcW w:w="770" w:type="pct"/>
            <w:tcBorders>
              <w:bottom w:val="single" w:sz="4" w:space="0" w:color="auto"/>
            </w:tcBorders>
            <w:vAlign w:val="center"/>
          </w:tcPr>
          <w:p w14:paraId="4B0866A9" w14:textId="77777777" w:rsidR="009D0C2E" w:rsidRPr="00B364CB" w:rsidRDefault="009D0C2E" w:rsidP="009D0C2E">
            <w:pPr>
              <w:widowControl/>
              <w:jc w:val="center"/>
              <w:rPr>
                <w:rFonts w:cs="Arial"/>
                <w:sz w:val="20"/>
                <w:szCs w:val="20"/>
              </w:rPr>
            </w:pPr>
            <w:r w:rsidRPr="00B364CB">
              <w:rPr>
                <w:rFonts w:cs="Arial"/>
                <w:sz w:val="20"/>
                <w:szCs w:val="20"/>
              </w:rPr>
              <w:t>(30% vol H2)</w:t>
            </w:r>
          </w:p>
        </w:tc>
        <w:tc>
          <w:tcPr>
            <w:tcW w:w="770" w:type="pct"/>
            <w:tcBorders>
              <w:bottom w:val="single" w:sz="4" w:space="0" w:color="auto"/>
            </w:tcBorders>
            <w:vAlign w:val="center"/>
          </w:tcPr>
          <w:p w14:paraId="1C574BB8" w14:textId="77777777" w:rsidR="009D0C2E" w:rsidRPr="00B364CB" w:rsidRDefault="009D0C2E" w:rsidP="009D0C2E">
            <w:pPr>
              <w:widowControl/>
              <w:jc w:val="center"/>
              <w:rPr>
                <w:rFonts w:cs="Arial"/>
                <w:sz w:val="20"/>
                <w:szCs w:val="20"/>
              </w:rPr>
            </w:pPr>
          </w:p>
          <w:p w14:paraId="5C00A204" w14:textId="77777777" w:rsidR="009D0C2E" w:rsidRPr="00B364CB" w:rsidRDefault="009D0C2E" w:rsidP="009D0C2E">
            <w:pPr>
              <w:widowControl/>
              <w:jc w:val="center"/>
              <w:rPr>
                <w:rFonts w:cs="Arial"/>
                <w:sz w:val="20"/>
                <w:szCs w:val="20"/>
              </w:rPr>
            </w:pPr>
            <w:r w:rsidRPr="00B364CB">
              <w:rPr>
                <w:rFonts w:cs="Arial"/>
                <w:sz w:val="20"/>
                <w:szCs w:val="20"/>
              </w:rPr>
              <w:t>(70% vol H</w:t>
            </w:r>
            <w:r w:rsidRPr="00B364CB">
              <w:rPr>
                <w:rFonts w:cs="Arial"/>
                <w:sz w:val="20"/>
                <w:szCs w:val="20"/>
                <w:vertAlign w:val="subscript"/>
              </w:rPr>
              <w:t>2</w:t>
            </w:r>
            <w:r w:rsidRPr="00B364CB">
              <w:rPr>
                <w:rFonts w:cs="Arial"/>
                <w:sz w:val="20"/>
                <w:szCs w:val="20"/>
              </w:rPr>
              <w:t xml:space="preserve">) </w:t>
            </w:r>
          </w:p>
          <w:p w14:paraId="1F545AEE" w14:textId="77777777" w:rsidR="009D0C2E" w:rsidRPr="00B364CB" w:rsidRDefault="009D0C2E" w:rsidP="009D0C2E">
            <w:pPr>
              <w:widowControl/>
              <w:jc w:val="center"/>
              <w:rPr>
                <w:rFonts w:cs="Arial"/>
                <w:sz w:val="20"/>
                <w:szCs w:val="20"/>
              </w:rPr>
            </w:pPr>
          </w:p>
        </w:tc>
        <w:tc>
          <w:tcPr>
            <w:tcW w:w="846" w:type="pct"/>
            <w:tcBorders>
              <w:bottom w:val="single" w:sz="4" w:space="0" w:color="auto"/>
            </w:tcBorders>
            <w:vAlign w:val="center"/>
          </w:tcPr>
          <w:p w14:paraId="02313062" w14:textId="77777777" w:rsidR="009D0C2E" w:rsidRPr="00B364CB" w:rsidRDefault="009D0C2E" w:rsidP="009D0C2E">
            <w:pPr>
              <w:widowControl/>
              <w:jc w:val="center"/>
              <w:rPr>
                <w:rFonts w:cs="Arial"/>
                <w:sz w:val="20"/>
                <w:szCs w:val="20"/>
              </w:rPr>
            </w:pPr>
          </w:p>
          <w:p w14:paraId="3419E3DD" w14:textId="77777777" w:rsidR="009D0C2E" w:rsidRPr="00B364CB" w:rsidRDefault="009D0C2E" w:rsidP="009D0C2E">
            <w:pPr>
              <w:widowControl/>
              <w:jc w:val="center"/>
              <w:rPr>
                <w:rFonts w:cs="Arial"/>
                <w:sz w:val="20"/>
                <w:szCs w:val="20"/>
              </w:rPr>
            </w:pPr>
            <w:r w:rsidRPr="00B364CB">
              <w:rPr>
                <w:rFonts w:cs="Arial"/>
                <w:sz w:val="20"/>
                <w:szCs w:val="20"/>
              </w:rPr>
              <w:t>(100% H</w:t>
            </w:r>
            <w:r w:rsidRPr="00B364CB">
              <w:rPr>
                <w:rFonts w:cs="Arial"/>
                <w:sz w:val="20"/>
                <w:szCs w:val="20"/>
                <w:vertAlign w:val="subscript"/>
              </w:rPr>
              <w:t>2</w:t>
            </w:r>
            <w:r w:rsidRPr="00B364CB">
              <w:rPr>
                <w:rFonts w:cs="Arial"/>
                <w:sz w:val="20"/>
                <w:szCs w:val="20"/>
              </w:rPr>
              <w:t>)</w:t>
            </w:r>
          </w:p>
          <w:p w14:paraId="60475AF8" w14:textId="77777777" w:rsidR="009D0C2E" w:rsidRPr="00B364CB" w:rsidRDefault="009D0C2E" w:rsidP="009D0C2E">
            <w:pPr>
              <w:widowControl/>
              <w:jc w:val="center"/>
              <w:rPr>
                <w:rFonts w:cs="Arial"/>
                <w:sz w:val="20"/>
                <w:szCs w:val="20"/>
              </w:rPr>
            </w:pPr>
          </w:p>
        </w:tc>
      </w:tr>
      <w:tr w:rsidR="009D0C2E" w:rsidRPr="00B364CB" w14:paraId="2D0C6F33" w14:textId="77777777" w:rsidTr="001D12AA">
        <w:tc>
          <w:tcPr>
            <w:tcW w:w="305" w:type="pct"/>
            <w:vMerge/>
            <w:shd w:val="clear" w:color="auto" w:fill="auto"/>
            <w:vAlign w:val="center"/>
          </w:tcPr>
          <w:p w14:paraId="574AA0B5" w14:textId="77777777" w:rsidR="009D0C2E" w:rsidRPr="00B364CB" w:rsidRDefault="009D0C2E" w:rsidP="009D0C2E">
            <w:pPr>
              <w:widowControl/>
              <w:jc w:val="center"/>
              <w:rPr>
                <w:rFonts w:cs="Arial"/>
                <w:sz w:val="20"/>
                <w:szCs w:val="20"/>
                <w:lang w:eastAsia="en-GB" w:bidi="ar-SA"/>
              </w:rPr>
            </w:pPr>
          </w:p>
        </w:tc>
        <w:tc>
          <w:tcPr>
            <w:tcW w:w="1694" w:type="pct"/>
            <w:vMerge/>
            <w:shd w:val="clear" w:color="auto" w:fill="auto"/>
            <w:vAlign w:val="center"/>
          </w:tcPr>
          <w:p w14:paraId="65041D1D" w14:textId="77777777" w:rsidR="009D0C2E" w:rsidRPr="00B364CB" w:rsidRDefault="009D0C2E" w:rsidP="009D0C2E">
            <w:pPr>
              <w:widowControl/>
              <w:rPr>
                <w:rFonts w:cs="Arial"/>
                <w:sz w:val="20"/>
                <w:szCs w:val="20"/>
              </w:rPr>
            </w:pPr>
          </w:p>
        </w:tc>
        <w:tc>
          <w:tcPr>
            <w:tcW w:w="616" w:type="pct"/>
            <w:shd w:val="clear" w:color="auto" w:fill="auto"/>
            <w:vAlign w:val="center"/>
          </w:tcPr>
          <w:p w14:paraId="69DDC7CF" w14:textId="77777777" w:rsidR="009D0C2E" w:rsidRPr="00B364CB" w:rsidRDefault="009D0C2E" w:rsidP="00037D31">
            <w:pPr>
              <w:widowControl/>
              <w:jc w:val="center"/>
              <w:rPr>
                <w:sz w:val="20"/>
              </w:rPr>
            </w:pPr>
            <w:r w:rsidRPr="00B364CB">
              <w:rPr>
                <w:sz w:val="20"/>
              </w:rPr>
              <w:t>NO</w:t>
            </w:r>
            <w:r w:rsidRPr="00B364CB">
              <w:rPr>
                <w:sz w:val="20"/>
                <w:vertAlign w:val="subscript"/>
              </w:rPr>
              <w:t>x</w:t>
            </w:r>
            <w:r w:rsidRPr="00B364CB">
              <w:rPr>
                <w:sz w:val="20"/>
              </w:rPr>
              <w:t xml:space="preserve">  ppmv@15%O</w:t>
            </w:r>
            <w:r w:rsidRPr="00B364CB">
              <w:rPr>
                <w:sz w:val="20"/>
                <w:vertAlign w:val="subscript"/>
              </w:rPr>
              <w:t>2</w:t>
            </w:r>
            <w:r w:rsidRPr="00B364CB">
              <w:rPr>
                <w:sz w:val="20"/>
              </w:rPr>
              <w:t>/dry</w:t>
            </w:r>
          </w:p>
        </w:tc>
        <w:tc>
          <w:tcPr>
            <w:tcW w:w="770" w:type="pct"/>
            <w:tcBorders>
              <w:top w:val="single" w:sz="4" w:space="0" w:color="auto"/>
            </w:tcBorders>
            <w:vAlign w:val="center"/>
          </w:tcPr>
          <w:p w14:paraId="7C474E13" w14:textId="77777777" w:rsidR="009D0C2E" w:rsidRPr="00B364CB" w:rsidRDefault="009D0C2E" w:rsidP="009D0C2E">
            <w:pPr>
              <w:widowControl/>
              <w:jc w:val="center"/>
              <w:rPr>
                <w:rFonts w:cs="Arial"/>
                <w:sz w:val="20"/>
                <w:szCs w:val="20"/>
              </w:rPr>
            </w:pPr>
            <w:r>
              <w:rPr>
                <w:rFonts w:cs="Arial"/>
                <w:sz w:val="20"/>
                <w:szCs w:val="20"/>
              </w:rPr>
              <w:t>&lt;25</w:t>
            </w:r>
          </w:p>
        </w:tc>
        <w:tc>
          <w:tcPr>
            <w:tcW w:w="770" w:type="pct"/>
            <w:tcBorders>
              <w:top w:val="single" w:sz="4" w:space="0" w:color="auto"/>
            </w:tcBorders>
            <w:vAlign w:val="center"/>
          </w:tcPr>
          <w:p w14:paraId="568B3519" w14:textId="77777777" w:rsidR="009D0C2E" w:rsidRPr="00B364CB" w:rsidRDefault="009D0C2E" w:rsidP="009D0C2E">
            <w:pPr>
              <w:widowControl/>
              <w:jc w:val="center"/>
              <w:rPr>
                <w:rFonts w:cs="Arial"/>
                <w:sz w:val="20"/>
                <w:szCs w:val="20"/>
              </w:rPr>
            </w:pPr>
            <w:r>
              <w:rPr>
                <w:rFonts w:cs="Arial"/>
                <w:sz w:val="20"/>
                <w:szCs w:val="20"/>
              </w:rPr>
              <w:t>&lt;25</w:t>
            </w:r>
          </w:p>
        </w:tc>
        <w:tc>
          <w:tcPr>
            <w:tcW w:w="846" w:type="pct"/>
            <w:tcBorders>
              <w:top w:val="single" w:sz="4" w:space="0" w:color="auto"/>
            </w:tcBorders>
            <w:vAlign w:val="center"/>
          </w:tcPr>
          <w:p w14:paraId="3580E636" w14:textId="77777777" w:rsidR="009D0C2E" w:rsidRPr="00B364CB" w:rsidRDefault="009D0C2E" w:rsidP="009D0C2E">
            <w:pPr>
              <w:widowControl/>
              <w:jc w:val="center"/>
              <w:rPr>
                <w:rFonts w:cs="Arial"/>
                <w:sz w:val="20"/>
                <w:szCs w:val="20"/>
              </w:rPr>
            </w:pPr>
            <w:r>
              <w:rPr>
                <w:rFonts w:cs="Arial"/>
                <w:sz w:val="20"/>
                <w:szCs w:val="20"/>
              </w:rPr>
              <w:t>&lt;25</w:t>
            </w:r>
          </w:p>
        </w:tc>
      </w:tr>
      <w:tr w:rsidR="009D0C2E" w:rsidRPr="00B364CB" w14:paraId="55A905D8" w14:textId="77777777" w:rsidTr="001D12AA">
        <w:tc>
          <w:tcPr>
            <w:tcW w:w="305" w:type="pct"/>
            <w:vMerge/>
            <w:shd w:val="clear" w:color="auto" w:fill="auto"/>
            <w:vAlign w:val="center"/>
          </w:tcPr>
          <w:p w14:paraId="5112B93D" w14:textId="77777777" w:rsidR="009D0C2E" w:rsidRPr="00B364CB" w:rsidRDefault="009D0C2E" w:rsidP="009D0C2E">
            <w:pPr>
              <w:widowControl/>
              <w:jc w:val="center"/>
              <w:rPr>
                <w:rFonts w:cs="Arial"/>
                <w:sz w:val="20"/>
                <w:szCs w:val="20"/>
                <w:lang w:eastAsia="en-GB" w:bidi="ar-SA"/>
              </w:rPr>
            </w:pPr>
          </w:p>
        </w:tc>
        <w:tc>
          <w:tcPr>
            <w:tcW w:w="1694" w:type="pct"/>
            <w:vMerge/>
            <w:shd w:val="clear" w:color="auto" w:fill="auto"/>
            <w:vAlign w:val="center"/>
          </w:tcPr>
          <w:p w14:paraId="56593E76" w14:textId="77777777" w:rsidR="009D0C2E" w:rsidRPr="00B364CB" w:rsidRDefault="009D0C2E" w:rsidP="009D0C2E">
            <w:pPr>
              <w:widowControl/>
              <w:rPr>
                <w:rFonts w:cs="Arial"/>
                <w:sz w:val="20"/>
                <w:szCs w:val="20"/>
              </w:rPr>
            </w:pPr>
          </w:p>
        </w:tc>
        <w:tc>
          <w:tcPr>
            <w:tcW w:w="616" w:type="pct"/>
            <w:shd w:val="clear" w:color="auto" w:fill="auto"/>
            <w:vAlign w:val="center"/>
          </w:tcPr>
          <w:p w14:paraId="38BE24E3" w14:textId="77777777" w:rsidR="009D0C2E" w:rsidRPr="00B364CB" w:rsidRDefault="009D0C2E" w:rsidP="00037D31">
            <w:pPr>
              <w:widowControl/>
              <w:jc w:val="center"/>
              <w:rPr>
                <w:sz w:val="20"/>
              </w:rPr>
            </w:pPr>
            <w:r w:rsidRPr="00B364CB">
              <w:rPr>
                <w:sz w:val="20"/>
              </w:rPr>
              <w:t>NOx mg/MJ fuel</w:t>
            </w:r>
          </w:p>
        </w:tc>
        <w:tc>
          <w:tcPr>
            <w:tcW w:w="770" w:type="pct"/>
            <w:vAlign w:val="center"/>
          </w:tcPr>
          <w:p w14:paraId="7199E125" w14:textId="77777777" w:rsidR="009D0C2E" w:rsidRDefault="009D0C2E" w:rsidP="009D0C2E">
            <w:pPr>
              <w:widowControl/>
              <w:jc w:val="center"/>
              <w:rPr>
                <w:rFonts w:cs="Arial"/>
                <w:sz w:val="20"/>
                <w:szCs w:val="20"/>
              </w:rPr>
            </w:pPr>
          </w:p>
          <w:p w14:paraId="375F29A0" w14:textId="77777777" w:rsidR="009D0C2E" w:rsidRPr="00B364CB" w:rsidRDefault="009D0C2E" w:rsidP="009D0C2E">
            <w:pPr>
              <w:widowControl/>
              <w:jc w:val="center"/>
              <w:rPr>
                <w:rFonts w:cs="Arial"/>
                <w:sz w:val="20"/>
                <w:szCs w:val="20"/>
              </w:rPr>
            </w:pPr>
            <w:r w:rsidRPr="00B364CB">
              <w:rPr>
                <w:rFonts w:cs="Arial"/>
                <w:sz w:val="20"/>
                <w:szCs w:val="20"/>
              </w:rPr>
              <w:t>31</w:t>
            </w:r>
          </w:p>
          <w:p w14:paraId="58CCA93A" w14:textId="77777777" w:rsidR="009D0C2E" w:rsidRPr="00B364CB" w:rsidDel="00ED68AF" w:rsidRDefault="009D0C2E" w:rsidP="009D0C2E">
            <w:pPr>
              <w:widowControl/>
              <w:jc w:val="center"/>
              <w:rPr>
                <w:rFonts w:cs="Arial"/>
                <w:sz w:val="20"/>
                <w:szCs w:val="20"/>
              </w:rPr>
            </w:pPr>
          </w:p>
        </w:tc>
        <w:tc>
          <w:tcPr>
            <w:tcW w:w="770" w:type="pct"/>
            <w:vAlign w:val="center"/>
          </w:tcPr>
          <w:p w14:paraId="3E850890" w14:textId="77777777" w:rsidR="009D0C2E" w:rsidRDefault="009D0C2E" w:rsidP="009D0C2E">
            <w:pPr>
              <w:widowControl/>
              <w:jc w:val="center"/>
              <w:rPr>
                <w:rFonts w:cs="Arial"/>
                <w:sz w:val="20"/>
                <w:szCs w:val="20"/>
              </w:rPr>
            </w:pPr>
            <w:r w:rsidRPr="00B364CB">
              <w:rPr>
                <w:rFonts w:cs="Arial"/>
                <w:sz w:val="20"/>
                <w:szCs w:val="20"/>
              </w:rPr>
              <w:t>29</w:t>
            </w:r>
          </w:p>
        </w:tc>
        <w:tc>
          <w:tcPr>
            <w:tcW w:w="846" w:type="pct"/>
            <w:vAlign w:val="center"/>
          </w:tcPr>
          <w:p w14:paraId="10A644C5" w14:textId="77777777" w:rsidR="009D0C2E" w:rsidRDefault="009D0C2E" w:rsidP="009D0C2E">
            <w:pPr>
              <w:widowControl/>
              <w:jc w:val="center"/>
              <w:rPr>
                <w:rFonts w:cs="Arial"/>
                <w:sz w:val="20"/>
                <w:szCs w:val="20"/>
              </w:rPr>
            </w:pPr>
            <w:r w:rsidRPr="00B364CB">
              <w:rPr>
                <w:rFonts w:cs="Arial"/>
                <w:sz w:val="20"/>
                <w:szCs w:val="20"/>
              </w:rPr>
              <w:t>24</w:t>
            </w:r>
          </w:p>
        </w:tc>
      </w:tr>
      <w:tr w:rsidR="009D0C2E" w:rsidRPr="00B364CB" w14:paraId="5B02EA0F" w14:textId="77777777" w:rsidTr="001D12AA">
        <w:trPr>
          <w:trHeight w:val="315"/>
        </w:trPr>
        <w:tc>
          <w:tcPr>
            <w:tcW w:w="305" w:type="pct"/>
            <w:vMerge w:val="restart"/>
            <w:shd w:val="clear" w:color="auto" w:fill="auto"/>
            <w:vAlign w:val="center"/>
          </w:tcPr>
          <w:p w14:paraId="505205D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c>
          <w:tcPr>
            <w:tcW w:w="1694" w:type="pct"/>
            <w:vMerge w:val="restart"/>
            <w:shd w:val="clear" w:color="auto" w:fill="auto"/>
            <w:vAlign w:val="center"/>
          </w:tcPr>
          <w:p w14:paraId="75B7B351" w14:textId="77777777" w:rsidR="009D0C2E" w:rsidRPr="00B364CB" w:rsidRDefault="009D0C2E" w:rsidP="009D0C2E">
            <w:pPr>
              <w:widowControl/>
              <w:rPr>
                <w:rFonts w:cs="Arial"/>
                <w:sz w:val="20"/>
                <w:szCs w:val="20"/>
                <w:lang w:eastAsia="en-GB" w:bidi="ar-SA"/>
              </w:rPr>
            </w:pPr>
            <w:r w:rsidRPr="00B364CB">
              <w:rPr>
                <w:rFonts w:cs="Arial"/>
                <w:sz w:val="20"/>
                <w:szCs w:val="20"/>
              </w:rPr>
              <w:t>Max. H</w:t>
            </w:r>
            <w:r w:rsidRPr="00B364CB">
              <w:rPr>
                <w:rFonts w:cs="Arial"/>
                <w:sz w:val="20"/>
                <w:szCs w:val="20"/>
                <w:vertAlign w:val="subscript"/>
              </w:rPr>
              <w:t>2</w:t>
            </w:r>
            <w:r w:rsidRPr="00B364CB">
              <w:rPr>
                <w:rFonts w:cs="Arial"/>
                <w:sz w:val="20"/>
                <w:szCs w:val="20"/>
              </w:rPr>
              <w:t xml:space="preserve"> fuel content during start-up</w:t>
            </w:r>
          </w:p>
        </w:tc>
        <w:tc>
          <w:tcPr>
            <w:tcW w:w="616" w:type="pct"/>
            <w:shd w:val="clear" w:color="auto" w:fill="auto"/>
            <w:vAlign w:val="center"/>
          </w:tcPr>
          <w:p w14:paraId="236727EF" w14:textId="634179FB" w:rsidR="009D0C2E" w:rsidRPr="00B364CB" w:rsidRDefault="009D0C2E" w:rsidP="00037D31">
            <w:pPr>
              <w:widowControl/>
              <w:jc w:val="center"/>
              <w:rPr>
                <w:rFonts w:cs="Arial"/>
                <w:sz w:val="20"/>
                <w:szCs w:val="20"/>
                <w:lang w:eastAsia="en-GB" w:bidi="ar-SA"/>
              </w:rPr>
            </w:pPr>
            <w:r w:rsidRPr="00B364CB">
              <w:rPr>
                <w:rFonts w:cs="Arial"/>
                <w:sz w:val="20"/>
                <w:szCs w:val="20"/>
              </w:rPr>
              <w:t>% mass</w:t>
            </w:r>
          </w:p>
        </w:tc>
        <w:tc>
          <w:tcPr>
            <w:tcW w:w="770" w:type="pct"/>
            <w:vAlign w:val="center"/>
          </w:tcPr>
          <w:p w14:paraId="4773B8E4" w14:textId="77777777" w:rsidR="009D0C2E" w:rsidRPr="00B364CB" w:rsidRDefault="009D0C2E" w:rsidP="009D0C2E">
            <w:pPr>
              <w:widowControl/>
              <w:jc w:val="center"/>
              <w:rPr>
                <w:rFonts w:cs="Arial"/>
                <w:sz w:val="20"/>
                <w:szCs w:val="20"/>
                <w:highlight w:val="yellow"/>
                <w:lang w:eastAsia="en-GB" w:bidi="ar-SA"/>
              </w:rPr>
            </w:pPr>
            <w:r w:rsidRPr="00B364CB">
              <w:rPr>
                <w:rFonts w:cs="Arial"/>
                <w:sz w:val="20"/>
                <w:szCs w:val="20"/>
              </w:rPr>
              <w:t xml:space="preserve"> 0.</w:t>
            </w:r>
            <w:r>
              <w:rPr>
                <w:rFonts w:cs="Arial"/>
                <w:sz w:val="20"/>
                <w:szCs w:val="20"/>
              </w:rPr>
              <w:t>7</w:t>
            </w:r>
          </w:p>
        </w:tc>
        <w:tc>
          <w:tcPr>
            <w:tcW w:w="770" w:type="pct"/>
            <w:vAlign w:val="center"/>
          </w:tcPr>
          <w:p w14:paraId="3D88DE17" w14:textId="77777777" w:rsidR="009D0C2E" w:rsidRPr="00B364CB" w:rsidRDefault="009D0C2E" w:rsidP="009D0C2E">
            <w:pPr>
              <w:widowControl/>
              <w:jc w:val="center"/>
              <w:rPr>
                <w:rFonts w:cs="Arial"/>
                <w:sz w:val="20"/>
                <w:szCs w:val="20"/>
              </w:rPr>
            </w:pPr>
            <w:r w:rsidRPr="00B364CB">
              <w:rPr>
                <w:rFonts w:cs="Arial"/>
                <w:sz w:val="20"/>
                <w:szCs w:val="20"/>
              </w:rPr>
              <w:t>3</w:t>
            </w:r>
          </w:p>
        </w:tc>
        <w:tc>
          <w:tcPr>
            <w:tcW w:w="846" w:type="pct"/>
            <w:vAlign w:val="center"/>
          </w:tcPr>
          <w:p w14:paraId="46BCFB56" w14:textId="77777777" w:rsidR="009D0C2E" w:rsidRPr="00B364CB" w:rsidRDefault="009D0C2E" w:rsidP="009D0C2E">
            <w:pPr>
              <w:widowControl/>
              <w:jc w:val="center"/>
              <w:rPr>
                <w:rFonts w:cs="Arial"/>
                <w:sz w:val="20"/>
                <w:szCs w:val="20"/>
              </w:rPr>
            </w:pPr>
            <w:r w:rsidRPr="00B364CB">
              <w:rPr>
                <w:rFonts w:cs="Arial"/>
                <w:sz w:val="20"/>
                <w:szCs w:val="20"/>
              </w:rPr>
              <w:t xml:space="preserve"> 100</w:t>
            </w:r>
          </w:p>
        </w:tc>
      </w:tr>
      <w:tr w:rsidR="009D0C2E" w:rsidRPr="00B364CB" w14:paraId="34E3A927" w14:textId="77777777" w:rsidTr="001D12AA">
        <w:trPr>
          <w:trHeight w:val="422"/>
        </w:trPr>
        <w:tc>
          <w:tcPr>
            <w:tcW w:w="305" w:type="pct"/>
            <w:vMerge/>
            <w:shd w:val="clear" w:color="auto" w:fill="auto"/>
            <w:vAlign w:val="center"/>
          </w:tcPr>
          <w:p w14:paraId="19DA16CC" w14:textId="77777777" w:rsidR="009D0C2E" w:rsidRPr="00B364CB" w:rsidRDefault="009D0C2E" w:rsidP="009D0C2E">
            <w:pPr>
              <w:widowControl/>
              <w:jc w:val="center"/>
              <w:rPr>
                <w:rFonts w:cs="Arial"/>
                <w:sz w:val="20"/>
                <w:szCs w:val="20"/>
                <w:lang w:eastAsia="en-GB" w:bidi="ar-SA"/>
              </w:rPr>
            </w:pPr>
          </w:p>
        </w:tc>
        <w:tc>
          <w:tcPr>
            <w:tcW w:w="1694" w:type="pct"/>
            <w:vMerge/>
            <w:shd w:val="clear" w:color="auto" w:fill="auto"/>
            <w:vAlign w:val="center"/>
          </w:tcPr>
          <w:p w14:paraId="5EA93F50" w14:textId="77777777" w:rsidR="009D0C2E" w:rsidRPr="00B364CB" w:rsidRDefault="009D0C2E" w:rsidP="009D0C2E">
            <w:pPr>
              <w:widowControl/>
              <w:rPr>
                <w:rFonts w:cs="Arial"/>
                <w:sz w:val="20"/>
                <w:szCs w:val="20"/>
                <w:lang w:eastAsia="en-GB" w:bidi="ar-SA"/>
              </w:rPr>
            </w:pPr>
          </w:p>
        </w:tc>
        <w:tc>
          <w:tcPr>
            <w:tcW w:w="616" w:type="pct"/>
            <w:shd w:val="clear" w:color="auto" w:fill="auto"/>
            <w:vAlign w:val="center"/>
          </w:tcPr>
          <w:p w14:paraId="1DEECA8A" w14:textId="77777777" w:rsidR="009D0C2E" w:rsidRPr="00B364CB" w:rsidRDefault="009D0C2E" w:rsidP="00037D31">
            <w:pPr>
              <w:widowControl/>
              <w:jc w:val="center"/>
              <w:rPr>
                <w:rFonts w:cs="Arial"/>
                <w:sz w:val="20"/>
                <w:szCs w:val="20"/>
                <w:lang w:eastAsia="en-GB" w:bidi="ar-SA"/>
              </w:rPr>
            </w:pPr>
            <w:r w:rsidRPr="00B364CB">
              <w:rPr>
                <w:rFonts w:cs="Arial"/>
                <w:sz w:val="20"/>
                <w:szCs w:val="20"/>
              </w:rPr>
              <w:t>% vol.</w:t>
            </w:r>
          </w:p>
        </w:tc>
        <w:tc>
          <w:tcPr>
            <w:tcW w:w="770" w:type="pct"/>
            <w:vAlign w:val="center"/>
          </w:tcPr>
          <w:p w14:paraId="6CDCC7E1" w14:textId="77777777" w:rsidR="009D0C2E" w:rsidRPr="00B364CB" w:rsidRDefault="009D0C2E" w:rsidP="009D0C2E">
            <w:pPr>
              <w:widowControl/>
              <w:jc w:val="center"/>
              <w:rPr>
                <w:rFonts w:cs="Arial"/>
                <w:sz w:val="20"/>
                <w:szCs w:val="20"/>
                <w:highlight w:val="yellow"/>
                <w:lang w:eastAsia="en-GB" w:bidi="ar-SA"/>
              </w:rPr>
            </w:pPr>
            <w:r w:rsidRPr="00B364CB">
              <w:rPr>
                <w:rFonts w:cs="Arial"/>
                <w:sz w:val="20"/>
                <w:szCs w:val="20"/>
              </w:rPr>
              <w:t>5</w:t>
            </w:r>
          </w:p>
        </w:tc>
        <w:tc>
          <w:tcPr>
            <w:tcW w:w="770" w:type="pct"/>
            <w:vAlign w:val="center"/>
          </w:tcPr>
          <w:p w14:paraId="6CECE1F8"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 xml:space="preserve"> 20</w:t>
            </w:r>
          </w:p>
        </w:tc>
        <w:tc>
          <w:tcPr>
            <w:tcW w:w="846" w:type="pct"/>
            <w:vAlign w:val="center"/>
          </w:tcPr>
          <w:p w14:paraId="56A5E233"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100</w:t>
            </w:r>
          </w:p>
        </w:tc>
      </w:tr>
      <w:tr w:rsidR="009D0C2E" w:rsidRPr="00B364CB" w14:paraId="65B3FA41" w14:textId="77777777" w:rsidTr="001D12AA">
        <w:trPr>
          <w:trHeight w:val="643"/>
        </w:trPr>
        <w:tc>
          <w:tcPr>
            <w:tcW w:w="305" w:type="pct"/>
            <w:shd w:val="clear" w:color="auto" w:fill="auto"/>
            <w:vAlign w:val="center"/>
          </w:tcPr>
          <w:p w14:paraId="1CDD02D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1694" w:type="pct"/>
            <w:shd w:val="clear" w:color="auto" w:fill="auto"/>
            <w:vAlign w:val="center"/>
          </w:tcPr>
          <w:p w14:paraId="65C33C2F" w14:textId="77777777" w:rsidR="009D0C2E" w:rsidRPr="00B364CB" w:rsidRDefault="009D0C2E" w:rsidP="009D0C2E">
            <w:pPr>
              <w:widowControl/>
              <w:rPr>
                <w:rFonts w:cs="Arial"/>
                <w:sz w:val="20"/>
                <w:szCs w:val="20"/>
              </w:rPr>
            </w:pPr>
            <w:r w:rsidRPr="00B364CB">
              <w:rPr>
                <w:rFonts w:cs="Arial"/>
                <w:sz w:val="20"/>
                <w:szCs w:val="20"/>
              </w:rPr>
              <w:t xml:space="preserve">Max. efficiency </w:t>
            </w:r>
          </w:p>
          <w:p w14:paraId="0DE8D2DC" w14:textId="77777777" w:rsidR="009D0C2E" w:rsidRPr="00B364CB" w:rsidRDefault="009D0C2E" w:rsidP="009D0C2E">
            <w:pPr>
              <w:widowControl/>
              <w:rPr>
                <w:rFonts w:cs="Arial"/>
                <w:sz w:val="20"/>
                <w:szCs w:val="20"/>
                <w:lang w:eastAsia="en-GB" w:bidi="ar-SA"/>
              </w:rPr>
            </w:pPr>
            <w:r w:rsidRPr="00B364CB">
              <w:rPr>
                <w:rFonts w:cs="Arial"/>
                <w:sz w:val="20"/>
                <w:szCs w:val="20"/>
              </w:rPr>
              <w:t>reduction in H</w:t>
            </w:r>
            <w:r w:rsidRPr="00B364CB">
              <w:rPr>
                <w:rFonts w:cs="Arial"/>
                <w:sz w:val="20"/>
                <w:szCs w:val="20"/>
                <w:vertAlign w:val="subscript"/>
              </w:rPr>
              <w:t>2</w:t>
            </w:r>
            <w:r w:rsidRPr="00B364CB">
              <w:rPr>
                <w:rFonts w:cs="Arial"/>
                <w:sz w:val="20"/>
                <w:szCs w:val="20"/>
              </w:rPr>
              <w:t xml:space="preserve"> operation</w:t>
            </w:r>
          </w:p>
        </w:tc>
        <w:tc>
          <w:tcPr>
            <w:tcW w:w="616" w:type="pct"/>
            <w:shd w:val="clear" w:color="auto" w:fill="auto"/>
            <w:vAlign w:val="center"/>
          </w:tcPr>
          <w:p w14:paraId="37EDF819" w14:textId="77777777" w:rsidR="009D0C2E" w:rsidRPr="00B364CB" w:rsidRDefault="009D0C2E" w:rsidP="00037D31">
            <w:pPr>
              <w:widowControl/>
              <w:jc w:val="center"/>
              <w:rPr>
                <w:rFonts w:cs="Arial"/>
                <w:sz w:val="20"/>
                <w:szCs w:val="20"/>
                <w:lang w:eastAsia="en-GB" w:bidi="ar-SA"/>
              </w:rPr>
            </w:pPr>
            <w:r w:rsidRPr="00B364CB">
              <w:rPr>
                <w:rFonts w:cs="Arial"/>
                <w:sz w:val="20"/>
                <w:szCs w:val="20"/>
              </w:rPr>
              <w:t>% points</w:t>
            </w:r>
          </w:p>
        </w:tc>
        <w:tc>
          <w:tcPr>
            <w:tcW w:w="770" w:type="pct"/>
            <w:vAlign w:val="center"/>
          </w:tcPr>
          <w:p w14:paraId="3F539712" w14:textId="3C6A80BB" w:rsidR="009D0C2E" w:rsidRPr="00B364CB" w:rsidRDefault="00F07B97" w:rsidP="009D0C2E">
            <w:pPr>
              <w:widowControl/>
              <w:jc w:val="center"/>
              <w:rPr>
                <w:rFonts w:cs="Arial"/>
                <w:sz w:val="20"/>
                <w:szCs w:val="20"/>
                <w:highlight w:val="yellow"/>
                <w:lang w:eastAsia="en-GB" w:bidi="ar-SA"/>
              </w:rPr>
            </w:pPr>
            <w:r w:rsidRPr="00B364CB">
              <w:rPr>
                <w:rFonts w:cs="Arial"/>
                <w:sz w:val="20"/>
                <w:szCs w:val="20"/>
              </w:rPr>
              <w:t>10</w:t>
            </w:r>
            <w:r>
              <w:rPr>
                <w:rFonts w:cs="Arial"/>
                <w:sz w:val="20"/>
                <w:szCs w:val="20"/>
              </w:rPr>
              <w:t>@30% H2</w:t>
            </w:r>
          </w:p>
        </w:tc>
        <w:tc>
          <w:tcPr>
            <w:tcW w:w="770" w:type="pct"/>
            <w:vAlign w:val="center"/>
          </w:tcPr>
          <w:p w14:paraId="04D76C07" w14:textId="02D46856" w:rsidR="009D0C2E" w:rsidRPr="00B364CB" w:rsidRDefault="00F07B97" w:rsidP="009D0C2E">
            <w:pPr>
              <w:widowControl/>
              <w:jc w:val="center"/>
              <w:rPr>
                <w:rFonts w:cs="Arial"/>
                <w:sz w:val="20"/>
                <w:szCs w:val="20"/>
              </w:rPr>
            </w:pPr>
            <w:r w:rsidRPr="00B364CB">
              <w:rPr>
                <w:rFonts w:cs="Arial"/>
                <w:sz w:val="20"/>
                <w:szCs w:val="20"/>
              </w:rPr>
              <w:t>10</w:t>
            </w:r>
            <w:r>
              <w:rPr>
                <w:rFonts w:cs="Arial"/>
                <w:sz w:val="20"/>
                <w:szCs w:val="20"/>
              </w:rPr>
              <w:t>@70% H2</w:t>
            </w:r>
          </w:p>
        </w:tc>
        <w:tc>
          <w:tcPr>
            <w:tcW w:w="846" w:type="pct"/>
            <w:vAlign w:val="center"/>
          </w:tcPr>
          <w:p w14:paraId="5757FDE4" w14:textId="1CC77836" w:rsidR="009D0C2E" w:rsidRPr="00B364CB" w:rsidRDefault="00F07B97" w:rsidP="009D0C2E">
            <w:pPr>
              <w:widowControl/>
              <w:jc w:val="center"/>
              <w:rPr>
                <w:rFonts w:cs="Arial"/>
                <w:sz w:val="20"/>
                <w:szCs w:val="20"/>
              </w:rPr>
            </w:pPr>
            <w:r w:rsidRPr="00B364CB">
              <w:rPr>
                <w:rFonts w:cs="Arial"/>
                <w:sz w:val="20"/>
                <w:szCs w:val="20"/>
              </w:rPr>
              <w:t>10</w:t>
            </w:r>
            <w:r>
              <w:rPr>
                <w:rFonts w:cs="Arial"/>
                <w:sz w:val="20"/>
                <w:szCs w:val="20"/>
              </w:rPr>
              <w:t>@100% H2</w:t>
            </w:r>
          </w:p>
        </w:tc>
      </w:tr>
      <w:tr w:rsidR="009D0C2E" w:rsidRPr="00B364CB" w14:paraId="211D3647" w14:textId="77777777" w:rsidTr="001D12AA">
        <w:trPr>
          <w:trHeight w:val="315"/>
        </w:trPr>
        <w:tc>
          <w:tcPr>
            <w:tcW w:w="30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494751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w:t>
            </w:r>
          </w:p>
        </w:tc>
        <w:tc>
          <w:tcPr>
            <w:tcW w:w="169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E5BE4C5" w14:textId="77777777" w:rsidR="009D0C2E" w:rsidRPr="00B364CB" w:rsidRDefault="009D0C2E" w:rsidP="009D0C2E">
            <w:pPr>
              <w:widowControl/>
              <w:rPr>
                <w:rFonts w:cs="Arial"/>
                <w:sz w:val="20"/>
                <w:szCs w:val="20"/>
                <w:lang w:eastAsia="en-GB" w:bidi="ar-SA"/>
              </w:rPr>
            </w:pPr>
            <w:r w:rsidRPr="00B364CB">
              <w:rPr>
                <w:rFonts w:cs="Arial"/>
                <w:sz w:val="20"/>
                <w:szCs w:val="20"/>
              </w:rPr>
              <w:t>Minimum ramp rate</w:t>
            </w:r>
          </w:p>
        </w:tc>
        <w:tc>
          <w:tcPr>
            <w:tcW w:w="61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6641A00" w14:textId="77777777" w:rsidR="009D0C2E" w:rsidRPr="00B364CB" w:rsidRDefault="009D0C2E" w:rsidP="00037D31">
            <w:pPr>
              <w:widowControl/>
              <w:jc w:val="center"/>
              <w:rPr>
                <w:rFonts w:cs="Arial"/>
                <w:sz w:val="20"/>
                <w:szCs w:val="20"/>
                <w:lang w:eastAsia="en-GB" w:bidi="ar-SA"/>
              </w:rPr>
            </w:pPr>
            <w:r w:rsidRPr="00B364CB">
              <w:rPr>
                <w:rFonts w:cs="Arial"/>
                <w:sz w:val="20"/>
                <w:szCs w:val="20"/>
              </w:rPr>
              <w:t>% load / min</w:t>
            </w:r>
          </w:p>
        </w:tc>
        <w:tc>
          <w:tcPr>
            <w:tcW w:w="770" w:type="pct"/>
            <w:tcBorders>
              <w:top w:val="single" w:sz="8" w:space="0" w:color="000000"/>
              <w:left w:val="single" w:sz="8" w:space="0" w:color="000000"/>
              <w:bottom w:val="single" w:sz="8" w:space="0" w:color="000000"/>
              <w:right w:val="single" w:sz="8" w:space="0" w:color="000000"/>
            </w:tcBorders>
            <w:vAlign w:val="center"/>
          </w:tcPr>
          <w:p w14:paraId="79467A4B" w14:textId="398623D6" w:rsidR="009D0C2E" w:rsidRPr="00B364CB" w:rsidRDefault="00F07B97" w:rsidP="009D0C2E">
            <w:pPr>
              <w:widowControl/>
              <w:jc w:val="center"/>
              <w:rPr>
                <w:rFonts w:cs="Arial"/>
                <w:sz w:val="20"/>
                <w:szCs w:val="20"/>
                <w:highlight w:val="yellow"/>
              </w:rPr>
            </w:pPr>
            <w:r w:rsidRPr="00B364CB">
              <w:rPr>
                <w:rFonts w:cs="Arial"/>
                <w:sz w:val="20"/>
                <w:szCs w:val="20"/>
              </w:rPr>
              <w:t>10</w:t>
            </w:r>
            <w:r>
              <w:rPr>
                <w:rFonts w:cs="Arial"/>
                <w:sz w:val="20"/>
                <w:szCs w:val="20"/>
              </w:rPr>
              <w:t>@30% H2</w:t>
            </w:r>
          </w:p>
        </w:tc>
        <w:tc>
          <w:tcPr>
            <w:tcW w:w="770" w:type="pct"/>
            <w:tcBorders>
              <w:top w:val="single" w:sz="8" w:space="0" w:color="000000"/>
              <w:left w:val="single" w:sz="8" w:space="0" w:color="000000"/>
              <w:bottom w:val="single" w:sz="8" w:space="0" w:color="000000"/>
              <w:right w:val="single" w:sz="8" w:space="0" w:color="000000"/>
            </w:tcBorders>
            <w:vAlign w:val="center"/>
          </w:tcPr>
          <w:p w14:paraId="1FCE78AC" w14:textId="126065DC" w:rsidR="009D0C2E" w:rsidRPr="00B364CB" w:rsidRDefault="00F07B97" w:rsidP="009D0C2E">
            <w:pPr>
              <w:widowControl/>
              <w:jc w:val="center"/>
              <w:rPr>
                <w:rFonts w:cs="Arial"/>
                <w:sz w:val="20"/>
                <w:szCs w:val="20"/>
              </w:rPr>
            </w:pPr>
            <w:r w:rsidRPr="00B364CB">
              <w:rPr>
                <w:rFonts w:cs="Arial"/>
                <w:sz w:val="20"/>
                <w:szCs w:val="20"/>
              </w:rPr>
              <w:t>10</w:t>
            </w:r>
            <w:r>
              <w:rPr>
                <w:rFonts w:cs="Arial"/>
                <w:sz w:val="20"/>
                <w:szCs w:val="20"/>
              </w:rPr>
              <w:t>@70% H2</w:t>
            </w:r>
          </w:p>
        </w:tc>
        <w:tc>
          <w:tcPr>
            <w:tcW w:w="846" w:type="pct"/>
            <w:tcBorders>
              <w:top w:val="single" w:sz="8" w:space="0" w:color="000000"/>
              <w:left w:val="single" w:sz="8" w:space="0" w:color="000000"/>
              <w:bottom w:val="single" w:sz="8" w:space="0" w:color="000000"/>
              <w:right w:val="single" w:sz="8" w:space="0" w:color="000000"/>
            </w:tcBorders>
            <w:vAlign w:val="center"/>
          </w:tcPr>
          <w:p w14:paraId="4EF827D7" w14:textId="68D448AD" w:rsidR="009D0C2E" w:rsidRPr="00B364CB" w:rsidRDefault="009D0C2E" w:rsidP="009D0C2E">
            <w:pPr>
              <w:widowControl/>
              <w:jc w:val="center"/>
              <w:rPr>
                <w:rFonts w:cs="Arial"/>
                <w:sz w:val="20"/>
                <w:szCs w:val="20"/>
              </w:rPr>
            </w:pPr>
            <w:r w:rsidRPr="00B364CB">
              <w:rPr>
                <w:rFonts w:cs="Arial"/>
                <w:sz w:val="20"/>
                <w:szCs w:val="20"/>
              </w:rPr>
              <w:t>10</w:t>
            </w:r>
            <w:r w:rsidR="00F07B97">
              <w:rPr>
                <w:rFonts w:cs="Arial"/>
                <w:sz w:val="20"/>
                <w:szCs w:val="20"/>
              </w:rPr>
              <w:t>@100% H2</w:t>
            </w:r>
          </w:p>
        </w:tc>
      </w:tr>
      <w:tr w:rsidR="009D0C2E" w:rsidRPr="00B364CB" w14:paraId="72B0649C" w14:textId="77777777" w:rsidTr="001D12AA">
        <w:trPr>
          <w:trHeight w:val="315"/>
        </w:trPr>
        <w:tc>
          <w:tcPr>
            <w:tcW w:w="305" w:type="pct"/>
            <w:vMerge w:val="restart"/>
            <w:shd w:val="clear" w:color="auto" w:fill="auto"/>
            <w:vAlign w:val="center"/>
          </w:tcPr>
          <w:p w14:paraId="78B80D1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6</w:t>
            </w:r>
          </w:p>
        </w:tc>
        <w:tc>
          <w:tcPr>
            <w:tcW w:w="1694" w:type="pct"/>
            <w:vMerge w:val="restart"/>
            <w:shd w:val="clear" w:color="auto" w:fill="auto"/>
            <w:vAlign w:val="center"/>
          </w:tcPr>
          <w:p w14:paraId="47DB409D" w14:textId="77777777" w:rsidR="009D0C2E" w:rsidRPr="00B364CB" w:rsidRDefault="009D0C2E" w:rsidP="009D0C2E">
            <w:pPr>
              <w:widowControl/>
              <w:rPr>
                <w:rFonts w:cs="Arial"/>
                <w:sz w:val="20"/>
                <w:szCs w:val="20"/>
              </w:rPr>
            </w:pPr>
            <w:r w:rsidRPr="00B364CB">
              <w:rPr>
                <w:rFonts w:cs="Arial"/>
                <w:sz w:val="20"/>
                <w:szCs w:val="20"/>
              </w:rPr>
              <w:t>Ability to handle H</w:t>
            </w:r>
            <w:r w:rsidRPr="00B364CB">
              <w:rPr>
                <w:rFonts w:cs="Arial"/>
                <w:sz w:val="20"/>
                <w:szCs w:val="20"/>
                <w:vertAlign w:val="subscript"/>
              </w:rPr>
              <w:t>2</w:t>
            </w:r>
            <w:r w:rsidRPr="00B364CB">
              <w:rPr>
                <w:rFonts w:cs="Arial"/>
                <w:sz w:val="20"/>
                <w:szCs w:val="20"/>
              </w:rPr>
              <w:t xml:space="preserve"> </w:t>
            </w:r>
          </w:p>
          <w:p w14:paraId="414A9A48" w14:textId="77777777" w:rsidR="009D0C2E" w:rsidRPr="00B364CB" w:rsidRDefault="009D0C2E" w:rsidP="009D0C2E">
            <w:pPr>
              <w:widowControl/>
              <w:rPr>
                <w:rFonts w:cs="Arial"/>
                <w:sz w:val="20"/>
                <w:szCs w:val="20"/>
                <w:lang w:eastAsia="en-GB" w:bidi="ar-SA"/>
              </w:rPr>
            </w:pPr>
            <w:r w:rsidRPr="00B364CB">
              <w:rPr>
                <w:rFonts w:cs="Arial"/>
                <w:sz w:val="20"/>
                <w:szCs w:val="20"/>
              </w:rPr>
              <w:t>content fluctuations</w:t>
            </w:r>
          </w:p>
        </w:tc>
        <w:tc>
          <w:tcPr>
            <w:tcW w:w="616" w:type="pct"/>
            <w:shd w:val="clear" w:color="auto" w:fill="auto"/>
            <w:vAlign w:val="center"/>
          </w:tcPr>
          <w:p w14:paraId="660D8E6D" w14:textId="61F189D8" w:rsidR="009D0C2E" w:rsidRPr="00B364CB" w:rsidRDefault="009D0C2E" w:rsidP="00037D31">
            <w:pPr>
              <w:widowControl/>
              <w:jc w:val="center"/>
              <w:rPr>
                <w:rFonts w:cs="Arial"/>
                <w:sz w:val="20"/>
                <w:szCs w:val="20"/>
                <w:lang w:eastAsia="en-GB" w:bidi="ar-SA"/>
              </w:rPr>
            </w:pPr>
            <w:r w:rsidRPr="00B364CB">
              <w:rPr>
                <w:rFonts w:cs="Arial"/>
                <w:sz w:val="20"/>
                <w:szCs w:val="20"/>
              </w:rPr>
              <w:t>% mass / min</w:t>
            </w:r>
          </w:p>
        </w:tc>
        <w:tc>
          <w:tcPr>
            <w:tcW w:w="770" w:type="pct"/>
            <w:vAlign w:val="center"/>
          </w:tcPr>
          <w:p w14:paraId="311DD65F" w14:textId="77777777" w:rsidR="009D0C2E" w:rsidRPr="00B364CB" w:rsidRDefault="009D0C2E" w:rsidP="009D0C2E">
            <w:pPr>
              <w:widowControl/>
              <w:jc w:val="center"/>
              <w:rPr>
                <w:rFonts w:cs="Arial"/>
                <w:sz w:val="20"/>
                <w:szCs w:val="20"/>
                <w:highlight w:val="yellow"/>
                <w:lang w:eastAsia="en-GB" w:bidi="ar-SA"/>
              </w:rPr>
            </w:pPr>
            <w:r w:rsidRPr="00B364CB">
              <w:rPr>
                <w:rFonts w:cs="Arial"/>
                <w:sz w:val="20"/>
                <w:szCs w:val="20"/>
              </w:rPr>
              <w:t>±1.</w:t>
            </w:r>
            <w:r>
              <w:rPr>
                <w:rFonts w:cs="Arial"/>
                <w:sz w:val="20"/>
                <w:szCs w:val="20"/>
              </w:rPr>
              <w:t>4</w:t>
            </w:r>
          </w:p>
        </w:tc>
        <w:tc>
          <w:tcPr>
            <w:tcW w:w="770" w:type="pct"/>
            <w:vAlign w:val="center"/>
          </w:tcPr>
          <w:p w14:paraId="60B5CE21" w14:textId="77777777" w:rsidR="009D0C2E" w:rsidRPr="00B364CB" w:rsidRDefault="009D0C2E" w:rsidP="009D0C2E">
            <w:pPr>
              <w:widowControl/>
              <w:jc w:val="center"/>
              <w:rPr>
                <w:rFonts w:cs="Arial"/>
                <w:sz w:val="20"/>
                <w:szCs w:val="20"/>
              </w:rPr>
            </w:pPr>
            <w:r w:rsidRPr="00B364CB">
              <w:rPr>
                <w:rFonts w:cs="Arial"/>
                <w:sz w:val="20"/>
                <w:szCs w:val="20"/>
              </w:rPr>
              <w:t>±2.21</w:t>
            </w:r>
          </w:p>
        </w:tc>
        <w:tc>
          <w:tcPr>
            <w:tcW w:w="846" w:type="pct"/>
            <w:vAlign w:val="center"/>
          </w:tcPr>
          <w:p w14:paraId="39B1BD1A" w14:textId="77777777" w:rsidR="009D0C2E" w:rsidRPr="00B364CB" w:rsidRDefault="009D0C2E" w:rsidP="009D0C2E">
            <w:pPr>
              <w:widowControl/>
              <w:jc w:val="center"/>
              <w:rPr>
                <w:rFonts w:cs="Arial"/>
                <w:sz w:val="20"/>
                <w:szCs w:val="20"/>
              </w:rPr>
            </w:pPr>
            <w:r w:rsidRPr="00B364CB">
              <w:rPr>
                <w:rFonts w:cs="Arial"/>
                <w:sz w:val="20"/>
                <w:szCs w:val="20"/>
              </w:rPr>
              <w:t>±5.11</w:t>
            </w:r>
          </w:p>
        </w:tc>
      </w:tr>
      <w:tr w:rsidR="009D0C2E" w:rsidRPr="00B364CB" w14:paraId="7921234E" w14:textId="77777777" w:rsidTr="001D12AA">
        <w:trPr>
          <w:trHeight w:val="422"/>
        </w:trPr>
        <w:tc>
          <w:tcPr>
            <w:tcW w:w="305" w:type="pct"/>
            <w:vMerge/>
            <w:shd w:val="clear" w:color="auto" w:fill="auto"/>
            <w:vAlign w:val="center"/>
          </w:tcPr>
          <w:p w14:paraId="7410B087" w14:textId="77777777" w:rsidR="009D0C2E" w:rsidRPr="00B364CB" w:rsidRDefault="009D0C2E" w:rsidP="009D0C2E">
            <w:pPr>
              <w:widowControl/>
              <w:jc w:val="center"/>
              <w:rPr>
                <w:rFonts w:cs="Arial"/>
                <w:sz w:val="20"/>
                <w:szCs w:val="20"/>
                <w:lang w:eastAsia="en-GB" w:bidi="ar-SA"/>
              </w:rPr>
            </w:pPr>
          </w:p>
        </w:tc>
        <w:tc>
          <w:tcPr>
            <w:tcW w:w="1694" w:type="pct"/>
            <w:vMerge/>
            <w:shd w:val="clear" w:color="auto" w:fill="auto"/>
            <w:vAlign w:val="center"/>
          </w:tcPr>
          <w:p w14:paraId="3F510E9F" w14:textId="77777777" w:rsidR="009D0C2E" w:rsidRPr="00B364CB" w:rsidRDefault="009D0C2E" w:rsidP="009D0C2E">
            <w:pPr>
              <w:widowControl/>
              <w:jc w:val="center"/>
              <w:rPr>
                <w:rFonts w:cs="Arial"/>
                <w:sz w:val="20"/>
                <w:szCs w:val="20"/>
                <w:lang w:eastAsia="en-GB" w:bidi="ar-SA"/>
              </w:rPr>
            </w:pPr>
          </w:p>
        </w:tc>
        <w:tc>
          <w:tcPr>
            <w:tcW w:w="616" w:type="pct"/>
            <w:shd w:val="clear" w:color="auto" w:fill="auto"/>
            <w:vAlign w:val="center"/>
          </w:tcPr>
          <w:p w14:paraId="23AAD30A" w14:textId="77777777" w:rsidR="009D0C2E" w:rsidRPr="00B364CB" w:rsidRDefault="009D0C2E" w:rsidP="00037D31">
            <w:pPr>
              <w:widowControl/>
              <w:jc w:val="center"/>
              <w:rPr>
                <w:rFonts w:cs="Arial"/>
                <w:sz w:val="20"/>
                <w:szCs w:val="20"/>
                <w:lang w:eastAsia="en-GB" w:bidi="ar-SA"/>
              </w:rPr>
            </w:pPr>
            <w:r w:rsidRPr="00B364CB">
              <w:rPr>
                <w:rFonts w:cs="Arial"/>
                <w:sz w:val="20"/>
                <w:szCs w:val="20"/>
              </w:rPr>
              <w:t>% vol. / min</w:t>
            </w:r>
          </w:p>
        </w:tc>
        <w:tc>
          <w:tcPr>
            <w:tcW w:w="770" w:type="pct"/>
            <w:vAlign w:val="center"/>
          </w:tcPr>
          <w:p w14:paraId="6B6EE1F9" w14:textId="77777777" w:rsidR="009D0C2E" w:rsidRPr="00B364CB" w:rsidRDefault="009D0C2E" w:rsidP="009D0C2E">
            <w:pPr>
              <w:widowControl/>
              <w:jc w:val="center"/>
              <w:rPr>
                <w:rFonts w:cs="Arial"/>
                <w:sz w:val="20"/>
                <w:szCs w:val="20"/>
                <w:highlight w:val="yellow"/>
                <w:lang w:eastAsia="en-GB" w:bidi="ar-SA"/>
              </w:rPr>
            </w:pPr>
            <w:r w:rsidRPr="00B364CB">
              <w:rPr>
                <w:rFonts w:cs="Arial"/>
                <w:sz w:val="20"/>
                <w:szCs w:val="20"/>
              </w:rPr>
              <w:t>±10</w:t>
            </w:r>
          </w:p>
        </w:tc>
        <w:tc>
          <w:tcPr>
            <w:tcW w:w="770" w:type="pct"/>
            <w:vAlign w:val="center"/>
          </w:tcPr>
          <w:p w14:paraId="17E00844" w14:textId="77777777" w:rsidR="009D0C2E" w:rsidRPr="00B364CB" w:rsidRDefault="009D0C2E" w:rsidP="009D0C2E">
            <w:pPr>
              <w:widowControl/>
              <w:jc w:val="center"/>
              <w:rPr>
                <w:rFonts w:cs="Arial"/>
                <w:sz w:val="20"/>
                <w:szCs w:val="20"/>
              </w:rPr>
            </w:pPr>
            <w:r w:rsidRPr="00B364CB">
              <w:rPr>
                <w:rFonts w:cs="Arial"/>
                <w:sz w:val="20"/>
                <w:szCs w:val="20"/>
              </w:rPr>
              <w:t>±15</w:t>
            </w:r>
          </w:p>
        </w:tc>
        <w:tc>
          <w:tcPr>
            <w:tcW w:w="846" w:type="pct"/>
            <w:vAlign w:val="center"/>
          </w:tcPr>
          <w:p w14:paraId="08A9E775" w14:textId="77777777" w:rsidR="009D0C2E" w:rsidRPr="00B364CB" w:rsidRDefault="009D0C2E" w:rsidP="009D0C2E">
            <w:pPr>
              <w:widowControl/>
              <w:jc w:val="center"/>
              <w:rPr>
                <w:rFonts w:cs="Arial"/>
                <w:sz w:val="20"/>
                <w:szCs w:val="20"/>
              </w:rPr>
            </w:pPr>
            <w:r w:rsidRPr="00B364CB">
              <w:rPr>
                <w:rFonts w:cs="Arial"/>
                <w:sz w:val="20"/>
                <w:szCs w:val="20"/>
              </w:rPr>
              <w:t>±30</w:t>
            </w:r>
          </w:p>
        </w:tc>
      </w:tr>
    </w:tbl>
    <w:p w14:paraId="07546332"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br w:type="textWrapping" w:clear="all"/>
        <w:t>Notes:</w:t>
      </w:r>
    </w:p>
    <w:p w14:paraId="4B6E3261" w14:textId="3CB8DA6B"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KPI-1: </w:t>
      </w:r>
      <w:r w:rsidR="001D12AA">
        <w:rPr>
          <w:rFonts w:cstheme="minorHAnsi"/>
          <w:iCs/>
          <w:color w:val="auto"/>
          <w:sz w:val="16"/>
          <w:szCs w:val="16"/>
        </w:rPr>
        <w:t>H</w:t>
      </w:r>
      <w:r w:rsidRPr="00B364CB">
        <w:rPr>
          <w:rFonts w:cstheme="minorHAnsi"/>
          <w:iCs/>
          <w:color w:val="auto"/>
          <w:sz w:val="16"/>
          <w:szCs w:val="16"/>
        </w:rPr>
        <w:t>ydrogen percentage content in gas turbine fuel, by mass (volume).</w:t>
      </w:r>
    </w:p>
    <w:p w14:paraId="5D8F9C70"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Boundary Conditions: applicable only to DLE technology. WLE technologies are not in scope. While state-of-the-art gas turbines can already handle 20% hydrogen by vol (blended in natural gas), development of gas turbines (and more specifically combustors) able to handle 0-100% H</w:t>
      </w:r>
      <w:r w:rsidRPr="00E4788A">
        <w:rPr>
          <w:rFonts w:cstheme="minorHAnsi"/>
          <w:iCs/>
          <w:color w:val="auto"/>
          <w:sz w:val="16"/>
          <w:szCs w:val="16"/>
          <w:vertAlign w:val="subscript"/>
        </w:rPr>
        <w:t>2</w:t>
      </w:r>
      <w:r w:rsidRPr="00B364CB">
        <w:rPr>
          <w:rFonts w:cstheme="minorHAnsi"/>
          <w:iCs/>
          <w:color w:val="auto"/>
          <w:sz w:val="16"/>
          <w:szCs w:val="16"/>
        </w:rPr>
        <w:t xml:space="preserve"> is a challenging and necessary task. Gas turbines operating in the range 0-100% H</w:t>
      </w:r>
      <w:r w:rsidRPr="00E4788A">
        <w:rPr>
          <w:rFonts w:cstheme="minorHAnsi"/>
          <w:iCs/>
          <w:color w:val="auto"/>
          <w:sz w:val="16"/>
          <w:szCs w:val="16"/>
          <w:vertAlign w:val="subscript"/>
        </w:rPr>
        <w:t>2</w:t>
      </w:r>
      <w:r w:rsidRPr="00B364CB">
        <w:rPr>
          <w:rFonts w:cstheme="minorHAnsi"/>
          <w:iCs/>
          <w:color w:val="auto"/>
          <w:sz w:val="16"/>
          <w:szCs w:val="16"/>
        </w:rPr>
        <w:t xml:space="preserve"> are required by users in the power generation market to ensure security of power supply in case of H</w:t>
      </w:r>
      <w:r w:rsidRPr="00E4788A">
        <w:rPr>
          <w:rFonts w:cstheme="minorHAnsi"/>
          <w:iCs/>
          <w:color w:val="auto"/>
          <w:sz w:val="16"/>
          <w:szCs w:val="16"/>
          <w:vertAlign w:val="subscript"/>
        </w:rPr>
        <w:t>2</w:t>
      </w:r>
      <w:r w:rsidRPr="00B364CB">
        <w:rPr>
          <w:rFonts w:cstheme="minorHAnsi"/>
          <w:iCs/>
          <w:color w:val="auto"/>
          <w:sz w:val="16"/>
          <w:szCs w:val="16"/>
        </w:rPr>
        <w:t xml:space="preserve"> shortages or lack of availability. Development of such combustors can be reached by gradually increasing the amount of H</w:t>
      </w:r>
      <w:r w:rsidRPr="00E4788A">
        <w:rPr>
          <w:rFonts w:cstheme="minorHAnsi"/>
          <w:iCs/>
          <w:color w:val="auto"/>
          <w:sz w:val="16"/>
          <w:szCs w:val="16"/>
          <w:vertAlign w:val="subscript"/>
        </w:rPr>
        <w:t>2</w:t>
      </w:r>
      <w:r w:rsidRPr="00B364CB">
        <w:rPr>
          <w:rFonts w:cstheme="minorHAnsi"/>
          <w:iCs/>
          <w:color w:val="auto"/>
          <w:sz w:val="16"/>
          <w:szCs w:val="16"/>
        </w:rPr>
        <w:t xml:space="preserve"> in gas turbines in the years to come to reduce technical risks.</w:t>
      </w:r>
    </w:p>
    <w:p w14:paraId="69714F6C"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KPI-2: NOx (NO + NO2) content in exhausts.</w:t>
      </w:r>
    </w:p>
    <w:p w14:paraId="3B00E12A"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Boundary conditions: A fuel switch to hydrogen aims to retain all present strengths and ensure carbon-free energy conversion. Although the technological development of GT combustors aims to minimise NOx emissions, an increase in NOx formation is expected as the hydrogen content in the fuel is increased. This is a consequence of the higher reactivity of hydrogen and the related impact on flame stability, flame temperature etc. Conserving the same low-NOx emissions level of 25 ppmv@15%O2/dry when advancing from 30% (by volume) to 100% H</w:t>
      </w:r>
      <w:r w:rsidRPr="00E4788A">
        <w:rPr>
          <w:rFonts w:cstheme="minorHAnsi"/>
          <w:iCs/>
          <w:color w:val="auto"/>
          <w:sz w:val="16"/>
          <w:szCs w:val="16"/>
          <w:vertAlign w:val="subscript"/>
        </w:rPr>
        <w:t>2</w:t>
      </w:r>
      <w:r w:rsidRPr="00B364CB">
        <w:rPr>
          <w:rFonts w:cstheme="minorHAnsi"/>
          <w:iCs/>
          <w:color w:val="auto"/>
          <w:sz w:val="16"/>
          <w:szCs w:val="16"/>
        </w:rPr>
        <w:t xml:space="preserve"> remains a challenge. The conventional NOx normalisation method (15%O2/dry) is not designed to be translated across different fuels with different reactivity and exhaust gases. A more appropriate normalisation for NOx emissions is expressed in mg/MJ of fired-power, and therefore the KPI table also provides this alternative normalisation. </w:t>
      </w:r>
    </w:p>
    <w:p w14:paraId="2BCAD68F" w14:textId="6FBB41C9"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KPI-3: </w:t>
      </w:r>
      <w:r w:rsidR="001D12AA">
        <w:rPr>
          <w:rFonts w:cstheme="minorHAnsi"/>
          <w:iCs/>
          <w:color w:val="auto"/>
          <w:sz w:val="16"/>
          <w:szCs w:val="16"/>
        </w:rPr>
        <w:t>H</w:t>
      </w:r>
      <w:r w:rsidRPr="00B364CB">
        <w:rPr>
          <w:rFonts w:cstheme="minorHAnsi"/>
          <w:iCs/>
          <w:color w:val="auto"/>
          <w:sz w:val="16"/>
          <w:szCs w:val="16"/>
        </w:rPr>
        <w:t>ydrogen content during gas turbine start-up.</w:t>
      </w:r>
    </w:p>
    <w:p w14:paraId="1F95FEAC"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Boundary conditions: during start-up gas turbines are commonly fuelled with natural gas or liquid oil.</w:t>
      </w:r>
    </w:p>
    <w:p w14:paraId="6E45E316" w14:textId="666F21C3" w:rsidR="001D12AA" w:rsidRDefault="009D0C2E" w:rsidP="001D12AA">
      <w:pPr>
        <w:tabs>
          <w:tab w:val="left" w:pos="1805"/>
        </w:tabs>
        <w:spacing w:after="120"/>
        <w:jc w:val="both"/>
        <w:rPr>
          <w:rFonts w:cstheme="minorHAnsi"/>
          <w:iCs/>
          <w:color w:val="auto"/>
          <w:sz w:val="16"/>
          <w:szCs w:val="16"/>
        </w:rPr>
      </w:pPr>
      <w:r w:rsidRPr="00B364CB">
        <w:rPr>
          <w:rFonts w:cstheme="minorHAnsi"/>
          <w:iCs/>
          <w:color w:val="auto"/>
          <w:sz w:val="16"/>
          <w:szCs w:val="16"/>
        </w:rPr>
        <w:lastRenderedPageBreak/>
        <w:t xml:space="preserve">KPI-4: </w:t>
      </w:r>
      <w:r w:rsidR="001D12AA">
        <w:rPr>
          <w:rFonts w:cstheme="minorHAnsi"/>
          <w:iCs/>
          <w:color w:val="auto"/>
          <w:sz w:val="16"/>
          <w:szCs w:val="16"/>
        </w:rPr>
        <w:t>R</w:t>
      </w:r>
      <w:r w:rsidR="001D12AA" w:rsidRPr="00385330">
        <w:rPr>
          <w:rFonts w:cstheme="minorHAnsi"/>
          <w:iCs/>
          <w:color w:val="auto"/>
          <w:sz w:val="16"/>
          <w:szCs w:val="16"/>
        </w:rPr>
        <w:t>eduction in electric efficiency of power plant when hydrogen-firing of the gas turbine is introduced (overall efficiency of power plant may be unaffected or increased through CHP schemes)</w:t>
      </w:r>
    </w:p>
    <w:p w14:paraId="5857D457" w14:textId="77726D40"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Boundary conditions: Evaluated at Full Speed Full Load condition. It refers to combined cycle gas turbines with bottoming steam cycle (CCGT). For the SoA, the actual maximum efficiency reduction is class-specific and largely depends on the class of the gas turbine.KPI-3: H</w:t>
      </w:r>
      <w:r w:rsidRPr="00E4788A">
        <w:rPr>
          <w:rFonts w:cstheme="minorHAnsi"/>
          <w:iCs/>
          <w:color w:val="auto"/>
          <w:sz w:val="16"/>
          <w:szCs w:val="16"/>
          <w:vertAlign w:val="subscript"/>
        </w:rPr>
        <w:t>2</w:t>
      </w:r>
      <w:r w:rsidRPr="00B364CB">
        <w:rPr>
          <w:rFonts w:cstheme="minorHAnsi"/>
          <w:iCs/>
          <w:color w:val="auto"/>
          <w:sz w:val="16"/>
          <w:szCs w:val="16"/>
        </w:rPr>
        <w:t xml:space="preserve"> content during gas turbine start up (during start up gas turbines are commonly fuelled with natural gas or liquid oil)</w:t>
      </w:r>
    </w:p>
    <w:p w14:paraId="3C79EEDD" w14:textId="3B4DBD71" w:rsidR="009D0C2E" w:rsidRPr="00B364CB" w:rsidRDefault="001D12AA" w:rsidP="009D0C2E">
      <w:pPr>
        <w:tabs>
          <w:tab w:val="left" w:pos="1805"/>
        </w:tabs>
        <w:spacing w:after="120"/>
        <w:jc w:val="both"/>
        <w:rPr>
          <w:rFonts w:cstheme="minorHAnsi"/>
          <w:iCs/>
          <w:color w:val="auto"/>
          <w:sz w:val="16"/>
          <w:szCs w:val="16"/>
        </w:rPr>
      </w:pPr>
      <w:r>
        <w:rPr>
          <w:rFonts w:cstheme="minorHAnsi"/>
          <w:iCs/>
          <w:color w:val="auto"/>
          <w:sz w:val="16"/>
          <w:szCs w:val="16"/>
        </w:rPr>
        <w:t>(</w:t>
      </w:r>
      <w:r w:rsidR="009D0C2E" w:rsidRPr="00B364CB">
        <w:rPr>
          <w:rFonts w:cstheme="minorHAnsi"/>
          <w:iCs/>
          <w:color w:val="auto"/>
          <w:sz w:val="16"/>
          <w:szCs w:val="16"/>
        </w:rPr>
        <w:t>KP</w:t>
      </w:r>
      <w:r>
        <w:rPr>
          <w:rFonts w:cstheme="minorHAnsi"/>
          <w:iCs/>
          <w:color w:val="auto"/>
          <w:sz w:val="16"/>
          <w:szCs w:val="16"/>
        </w:rPr>
        <w:t>I</w:t>
      </w:r>
      <w:r w:rsidR="009D0C2E" w:rsidRPr="00B364CB">
        <w:rPr>
          <w:rFonts w:cstheme="minorHAnsi"/>
          <w:iCs/>
          <w:color w:val="auto"/>
          <w:sz w:val="16"/>
          <w:szCs w:val="16"/>
        </w:rPr>
        <w:t>-4</w:t>
      </w:r>
      <w:r>
        <w:rPr>
          <w:rFonts w:cstheme="minorHAnsi"/>
          <w:iCs/>
          <w:color w:val="auto"/>
          <w:sz w:val="16"/>
          <w:szCs w:val="16"/>
        </w:rPr>
        <w:t>)</w:t>
      </w:r>
      <w:r w:rsidR="009D0C2E" w:rsidRPr="00B364CB">
        <w:rPr>
          <w:rFonts w:cstheme="minorHAnsi"/>
          <w:iCs/>
          <w:color w:val="auto"/>
          <w:sz w:val="16"/>
          <w:szCs w:val="16"/>
        </w:rPr>
        <w:t xml:space="preserve"> and </w:t>
      </w:r>
      <w:r>
        <w:rPr>
          <w:rFonts w:cstheme="minorHAnsi"/>
          <w:iCs/>
          <w:color w:val="auto"/>
          <w:sz w:val="16"/>
          <w:szCs w:val="16"/>
        </w:rPr>
        <w:t>(</w:t>
      </w:r>
      <w:r w:rsidR="009D0C2E" w:rsidRPr="00B364CB">
        <w:rPr>
          <w:rFonts w:cstheme="minorHAnsi"/>
          <w:iCs/>
          <w:color w:val="auto"/>
          <w:sz w:val="16"/>
          <w:szCs w:val="16"/>
        </w:rPr>
        <w:t>KPI-2</w:t>
      </w:r>
      <w:r>
        <w:rPr>
          <w:rFonts w:cstheme="minorHAnsi"/>
          <w:iCs/>
          <w:color w:val="auto"/>
          <w:sz w:val="16"/>
          <w:szCs w:val="16"/>
        </w:rPr>
        <w:t>)</w:t>
      </w:r>
      <w:r w:rsidR="009D0C2E" w:rsidRPr="00B364CB">
        <w:rPr>
          <w:rFonts w:cstheme="minorHAnsi"/>
          <w:iCs/>
          <w:color w:val="auto"/>
          <w:sz w:val="16"/>
          <w:szCs w:val="16"/>
        </w:rPr>
        <w:t xml:space="preserve"> are interdependent, increasing efficiency may increase NOx emissions, thus these two parameters require optimisation.</w:t>
      </w:r>
    </w:p>
    <w:p w14:paraId="2CCD6549"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KPI-5:  Percentage variation per minute of the gas turbine load with respect to the full load</w:t>
      </w:r>
    </w:p>
    <w:p w14:paraId="22D8D4E7" w14:textId="7B90C2BE" w:rsidR="009D0C2E" w:rsidRPr="00B364CB" w:rsidRDefault="009D0C2E" w:rsidP="009D0C2E">
      <w:pPr>
        <w:tabs>
          <w:tab w:val="left" w:pos="1805"/>
        </w:tabs>
        <w:spacing w:after="120"/>
        <w:jc w:val="both"/>
        <w:rPr>
          <w:rFonts w:eastAsia="Arial" w:cs="Arial"/>
          <w:b/>
          <w:bCs/>
          <w:sz w:val="32"/>
          <w:szCs w:val="32"/>
          <w:lang w:eastAsia="sv-SE" w:bidi="sv-SE"/>
        </w:rPr>
      </w:pPr>
      <w:r w:rsidRPr="00B364CB">
        <w:rPr>
          <w:rFonts w:cstheme="minorHAnsi"/>
          <w:iCs/>
          <w:color w:val="auto"/>
          <w:sz w:val="16"/>
          <w:szCs w:val="16"/>
        </w:rPr>
        <w:t>KPI-6: Gas turbine ability to operate stably when facing unexpected H</w:t>
      </w:r>
      <w:r w:rsidRPr="00E4788A">
        <w:rPr>
          <w:rFonts w:cstheme="minorHAnsi"/>
          <w:iCs/>
          <w:color w:val="auto"/>
          <w:sz w:val="16"/>
          <w:szCs w:val="16"/>
          <w:vertAlign w:val="subscript"/>
        </w:rPr>
        <w:t>2</w:t>
      </w:r>
      <w:r w:rsidRPr="00B364CB">
        <w:rPr>
          <w:rFonts w:cstheme="minorHAnsi"/>
          <w:iCs/>
          <w:color w:val="auto"/>
          <w:sz w:val="16"/>
          <w:szCs w:val="16"/>
        </w:rPr>
        <w:t xml:space="preserve"> content in fuel. Evaluated with respect to nominal H</w:t>
      </w:r>
      <w:r w:rsidRPr="00E4788A">
        <w:rPr>
          <w:rFonts w:cstheme="minorHAnsi"/>
          <w:iCs/>
          <w:color w:val="auto"/>
          <w:sz w:val="16"/>
          <w:szCs w:val="16"/>
          <w:vertAlign w:val="subscript"/>
        </w:rPr>
        <w:t>2</w:t>
      </w:r>
      <w:r w:rsidRPr="00B364CB">
        <w:rPr>
          <w:rFonts w:cstheme="minorHAnsi"/>
          <w:iCs/>
          <w:color w:val="auto"/>
          <w:sz w:val="16"/>
          <w:szCs w:val="16"/>
        </w:rPr>
        <w:t xml:space="preserve"> content in fuel composition (blend of natural gas and H</w:t>
      </w:r>
      <w:r w:rsidRPr="00E4788A">
        <w:rPr>
          <w:rFonts w:cstheme="minorHAnsi"/>
          <w:iCs/>
          <w:color w:val="auto"/>
          <w:sz w:val="16"/>
          <w:szCs w:val="16"/>
          <w:vertAlign w:val="subscript"/>
        </w:rPr>
        <w:t>2</w:t>
      </w:r>
      <w:r w:rsidRPr="00B364CB">
        <w:rPr>
          <w:rFonts w:cstheme="minorHAnsi"/>
          <w:iCs/>
          <w:color w:val="auto"/>
          <w:sz w:val="16"/>
          <w:szCs w:val="16"/>
        </w:rPr>
        <w:t>).</w:t>
      </w:r>
      <w:r w:rsidRPr="00B364CB">
        <w:rPr>
          <w:rFonts w:eastAsia="Arial" w:cs="Arial"/>
          <w:b/>
          <w:bCs/>
          <w:sz w:val="32"/>
          <w:szCs w:val="32"/>
          <w:lang w:eastAsia="sv-SE" w:bidi="sv-SE"/>
        </w:rPr>
        <w:br w:type="page"/>
      </w:r>
    </w:p>
    <w:p w14:paraId="2136D149" w14:textId="7AAE2E5C" w:rsidR="009D0C2E" w:rsidRDefault="009D0C2E" w:rsidP="00D56449">
      <w:pPr>
        <w:pStyle w:val="Heading11"/>
        <w:keepNext/>
        <w:keepLines/>
        <w:shd w:val="clear" w:color="auto" w:fill="auto"/>
        <w:spacing w:line="276" w:lineRule="auto"/>
        <w:jc w:val="left"/>
        <w:rPr>
          <w:rStyle w:val="MAWPTitle"/>
          <w:lang w:val="en-GB"/>
        </w:rPr>
      </w:pPr>
      <w:bookmarkStart w:id="323" w:name="_Toc70088070"/>
      <w:bookmarkStart w:id="324" w:name="_Toc55283760"/>
      <w:bookmarkStart w:id="325" w:name="_Toc93907389"/>
      <w:r w:rsidRPr="006D2D4E">
        <w:rPr>
          <w:rStyle w:val="MAWPTitle"/>
          <w:lang w:val="en-GB"/>
        </w:rPr>
        <w:lastRenderedPageBreak/>
        <w:t>Annex 6 - State-of-the-art and future targets</w:t>
      </w:r>
      <w:r w:rsidR="00D56449">
        <w:rPr>
          <w:rStyle w:val="MAWPTitle"/>
          <w:lang w:val="en-GB"/>
        </w:rPr>
        <w:t xml:space="preserve"> </w:t>
      </w:r>
      <w:r w:rsidRPr="006D2D4E">
        <w:rPr>
          <w:rStyle w:val="MAWPTitle"/>
          <w:lang w:val="en-GB"/>
        </w:rPr>
        <w:t>–</w:t>
      </w:r>
      <w:bookmarkEnd w:id="323"/>
      <w:r w:rsidRPr="006D2D4E">
        <w:rPr>
          <w:rStyle w:val="MAWPTitle"/>
          <w:lang w:val="en-GB"/>
        </w:rPr>
        <w:t xml:space="preserve"> </w:t>
      </w:r>
      <w:bookmarkStart w:id="326" w:name="_Toc70088071"/>
      <w:r w:rsidRPr="006D2D4E">
        <w:rPr>
          <w:rStyle w:val="MAWPTitle"/>
          <w:lang w:val="en-GB"/>
        </w:rPr>
        <w:t>Cross-cutting issues</w:t>
      </w:r>
      <w:bookmarkEnd w:id="324"/>
      <w:bookmarkEnd w:id="325"/>
      <w:bookmarkEnd w:id="326"/>
    </w:p>
    <w:p w14:paraId="042DFA86" w14:textId="77777777" w:rsidR="00D56449" w:rsidRPr="006D2D4E" w:rsidRDefault="00D56449" w:rsidP="006D2D4E">
      <w:pPr>
        <w:pStyle w:val="MAWP-Bodytext"/>
        <w:rPr>
          <w:rStyle w:val="MAWPTitle"/>
          <w:lang w:val="en-GB"/>
        </w:rPr>
      </w:pPr>
    </w:p>
    <w:p w14:paraId="706F1703" w14:textId="156EA110" w:rsidR="009D0C2E" w:rsidRPr="00B364CB" w:rsidRDefault="009D0C2E" w:rsidP="009D0C2E">
      <w:pPr>
        <w:pStyle w:val="Caption"/>
        <w:rPr>
          <w:sz w:val="24"/>
        </w:rPr>
      </w:pPr>
      <w:r w:rsidRPr="00B364CB">
        <w:rPr>
          <w:sz w:val="24"/>
        </w:rPr>
        <w:t xml:space="preserve">Table </w:t>
      </w:r>
      <w:r w:rsidRPr="00B364CB">
        <w:rPr>
          <w:sz w:val="24"/>
        </w:rPr>
        <w:fldChar w:fldCharType="begin"/>
      </w:r>
      <w:r w:rsidRPr="00B364CB">
        <w:rPr>
          <w:sz w:val="24"/>
        </w:rPr>
        <w:instrText xml:space="preserve"> SEQ Table \* ARABIC </w:instrText>
      </w:r>
      <w:r w:rsidRPr="00B364CB">
        <w:rPr>
          <w:sz w:val="24"/>
        </w:rPr>
        <w:fldChar w:fldCharType="separate"/>
      </w:r>
      <w:r w:rsidR="00797920">
        <w:rPr>
          <w:noProof/>
          <w:sz w:val="24"/>
        </w:rPr>
        <w:t>23</w:t>
      </w:r>
      <w:r w:rsidRPr="00B364CB">
        <w:rPr>
          <w:sz w:val="24"/>
        </w:rPr>
        <w:fldChar w:fldCharType="end"/>
      </w:r>
      <w:r w:rsidRPr="00B364CB">
        <w:rPr>
          <w:sz w:val="24"/>
        </w:rPr>
        <w:t>: KPIs on recycling processes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110"/>
        <w:gridCol w:w="3999"/>
        <w:gridCol w:w="1121"/>
        <w:gridCol w:w="960"/>
        <w:gridCol w:w="960"/>
        <w:gridCol w:w="960"/>
      </w:tblGrid>
      <w:tr w:rsidR="009D0C2E" w:rsidRPr="00B364CB" w14:paraId="7A5D6BDD" w14:textId="77777777" w:rsidTr="00120F40">
        <w:trPr>
          <w:trHeight w:val="315"/>
        </w:trPr>
        <w:tc>
          <w:tcPr>
            <w:tcW w:w="609" w:type="pct"/>
            <w:vMerge w:val="restart"/>
            <w:shd w:val="clear" w:color="auto" w:fill="BFBFBF" w:themeFill="background1" w:themeFillShade="BF"/>
            <w:vAlign w:val="center"/>
            <w:hideMark/>
          </w:tcPr>
          <w:p w14:paraId="70D2CAFE"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No</w:t>
            </w:r>
          </w:p>
        </w:tc>
        <w:tc>
          <w:tcPr>
            <w:tcW w:w="2195" w:type="pct"/>
            <w:vMerge w:val="restart"/>
            <w:shd w:val="clear" w:color="auto" w:fill="BFBFBF" w:themeFill="background1" w:themeFillShade="BF"/>
            <w:vAlign w:val="center"/>
            <w:hideMark/>
          </w:tcPr>
          <w:p w14:paraId="61C26AAE" w14:textId="77777777" w:rsidR="009D0C2E" w:rsidRPr="00B364CB" w:rsidRDefault="009D0C2E" w:rsidP="009D0C2E">
            <w:pPr>
              <w:widowControl/>
              <w:ind w:firstLineChars="600" w:firstLine="1200"/>
              <w:rPr>
                <w:rFonts w:cs="Arial"/>
                <w:b/>
                <w:bCs/>
                <w:sz w:val="20"/>
                <w:szCs w:val="20"/>
                <w:lang w:eastAsia="en-GB" w:bidi="ar-SA"/>
              </w:rPr>
            </w:pPr>
            <w:r w:rsidRPr="00B364CB">
              <w:rPr>
                <w:rFonts w:cs="Arial"/>
                <w:b/>
                <w:bCs/>
                <w:sz w:val="20"/>
                <w:szCs w:val="20"/>
                <w:lang w:eastAsia="en-GB" w:bidi="ar-SA"/>
              </w:rPr>
              <w:t>Parameter</w:t>
            </w:r>
          </w:p>
        </w:tc>
        <w:tc>
          <w:tcPr>
            <w:tcW w:w="615" w:type="pct"/>
            <w:vMerge w:val="restart"/>
            <w:shd w:val="clear" w:color="auto" w:fill="BFBFBF" w:themeFill="background1" w:themeFillShade="BF"/>
            <w:vAlign w:val="center"/>
            <w:hideMark/>
          </w:tcPr>
          <w:p w14:paraId="7A839184"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Unit</w:t>
            </w:r>
          </w:p>
        </w:tc>
        <w:tc>
          <w:tcPr>
            <w:tcW w:w="527" w:type="pct"/>
            <w:shd w:val="clear" w:color="auto" w:fill="BFBFBF" w:themeFill="background1" w:themeFillShade="BF"/>
            <w:vAlign w:val="center"/>
          </w:tcPr>
          <w:p w14:paraId="24725BE8"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053" w:type="pct"/>
            <w:gridSpan w:val="2"/>
            <w:shd w:val="clear" w:color="auto" w:fill="BFBFBF" w:themeFill="background1" w:themeFillShade="BF"/>
          </w:tcPr>
          <w:p w14:paraId="523C9CEF"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09B4E2BD" w14:textId="77777777" w:rsidTr="00120F40">
        <w:trPr>
          <w:trHeight w:val="468"/>
        </w:trPr>
        <w:tc>
          <w:tcPr>
            <w:tcW w:w="609" w:type="pct"/>
            <w:vMerge/>
            <w:tcBorders>
              <w:bottom w:val="single" w:sz="8" w:space="0" w:color="000000"/>
            </w:tcBorders>
            <w:shd w:val="clear" w:color="auto" w:fill="BFBFBF" w:themeFill="background1" w:themeFillShade="BF"/>
            <w:vAlign w:val="center"/>
            <w:hideMark/>
          </w:tcPr>
          <w:p w14:paraId="6D0004D4" w14:textId="77777777" w:rsidR="009D0C2E" w:rsidRPr="00B364CB" w:rsidRDefault="009D0C2E" w:rsidP="009D0C2E">
            <w:pPr>
              <w:widowControl/>
              <w:jc w:val="center"/>
              <w:rPr>
                <w:rFonts w:cs="Arial"/>
                <w:b/>
                <w:bCs/>
                <w:sz w:val="20"/>
                <w:szCs w:val="20"/>
                <w:lang w:eastAsia="en-GB" w:bidi="ar-SA"/>
              </w:rPr>
            </w:pPr>
          </w:p>
        </w:tc>
        <w:tc>
          <w:tcPr>
            <w:tcW w:w="2195" w:type="pct"/>
            <w:vMerge/>
            <w:tcBorders>
              <w:bottom w:val="single" w:sz="8" w:space="0" w:color="000000"/>
            </w:tcBorders>
            <w:shd w:val="clear" w:color="auto" w:fill="BFBFBF" w:themeFill="background1" w:themeFillShade="BF"/>
            <w:vAlign w:val="center"/>
            <w:hideMark/>
          </w:tcPr>
          <w:p w14:paraId="34C6297C" w14:textId="77777777" w:rsidR="009D0C2E" w:rsidRPr="00B364CB" w:rsidRDefault="009D0C2E" w:rsidP="009D0C2E">
            <w:pPr>
              <w:widowControl/>
              <w:jc w:val="center"/>
              <w:rPr>
                <w:rFonts w:cs="Arial"/>
                <w:b/>
                <w:bCs/>
                <w:sz w:val="20"/>
                <w:szCs w:val="20"/>
                <w:lang w:eastAsia="en-GB" w:bidi="ar-SA"/>
              </w:rPr>
            </w:pPr>
          </w:p>
        </w:tc>
        <w:tc>
          <w:tcPr>
            <w:tcW w:w="615" w:type="pct"/>
            <w:vMerge/>
            <w:tcBorders>
              <w:bottom w:val="single" w:sz="8" w:space="0" w:color="000000"/>
            </w:tcBorders>
            <w:shd w:val="clear" w:color="auto" w:fill="BFBFBF" w:themeFill="background1" w:themeFillShade="BF"/>
            <w:vAlign w:val="center"/>
            <w:hideMark/>
          </w:tcPr>
          <w:p w14:paraId="31324640" w14:textId="77777777" w:rsidR="009D0C2E" w:rsidRPr="00B364CB" w:rsidRDefault="009D0C2E" w:rsidP="009D0C2E">
            <w:pPr>
              <w:widowControl/>
              <w:jc w:val="center"/>
              <w:rPr>
                <w:rFonts w:cs="Arial"/>
                <w:b/>
                <w:bCs/>
                <w:sz w:val="20"/>
                <w:szCs w:val="20"/>
                <w:lang w:eastAsia="en-GB" w:bidi="ar-SA"/>
              </w:rPr>
            </w:pPr>
          </w:p>
        </w:tc>
        <w:tc>
          <w:tcPr>
            <w:tcW w:w="527" w:type="pct"/>
            <w:tcBorders>
              <w:bottom w:val="single" w:sz="8" w:space="0" w:color="000000"/>
            </w:tcBorders>
            <w:shd w:val="clear" w:color="auto" w:fill="BFBFBF" w:themeFill="background1" w:themeFillShade="BF"/>
            <w:vAlign w:val="center"/>
          </w:tcPr>
          <w:p w14:paraId="70BDD4AC"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527" w:type="pct"/>
            <w:tcBorders>
              <w:bottom w:val="single" w:sz="8" w:space="0" w:color="000000"/>
            </w:tcBorders>
            <w:shd w:val="clear" w:color="auto" w:fill="BFBFBF" w:themeFill="background1" w:themeFillShade="BF"/>
            <w:vAlign w:val="center"/>
          </w:tcPr>
          <w:p w14:paraId="3D94B901"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527" w:type="pct"/>
            <w:tcBorders>
              <w:bottom w:val="single" w:sz="8" w:space="0" w:color="000000"/>
            </w:tcBorders>
            <w:shd w:val="clear" w:color="auto" w:fill="BFBFBF" w:themeFill="background1" w:themeFillShade="BF"/>
            <w:vAlign w:val="center"/>
          </w:tcPr>
          <w:p w14:paraId="0D8A3235"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0B6D1217" w14:textId="77777777" w:rsidTr="00120F40">
        <w:trPr>
          <w:trHeight w:val="315"/>
        </w:trPr>
        <w:tc>
          <w:tcPr>
            <w:tcW w:w="609" w:type="pct"/>
            <w:shd w:val="clear" w:color="auto" w:fill="auto"/>
            <w:vAlign w:val="center"/>
            <w:hideMark/>
          </w:tcPr>
          <w:p w14:paraId="7B6B2B12" w14:textId="77777777" w:rsidR="009D0C2E" w:rsidRPr="00B364CB" w:rsidRDefault="009D0C2E" w:rsidP="009D0C2E">
            <w:pPr>
              <w:widowControl/>
              <w:jc w:val="center"/>
              <w:rPr>
                <w:rFonts w:cs="Arial"/>
                <w:sz w:val="20"/>
                <w:szCs w:val="20"/>
                <w:lang w:eastAsia="en-GB" w:bidi="ar-SA"/>
              </w:rPr>
            </w:pPr>
            <w:r w:rsidRPr="00B364CB">
              <w:rPr>
                <w:sz w:val="20"/>
                <w:szCs w:val="20"/>
              </w:rPr>
              <w:t>1</w:t>
            </w:r>
          </w:p>
        </w:tc>
        <w:tc>
          <w:tcPr>
            <w:tcW w:w="2195" w:type="pct"/>
            <w:shd w:val="clear" w:color="auto" w:fill="auto"/>
            <w:vAlign w:val="center"/>
          </w:tcPr>
          <w:p w14:paraId="59605D81" w14:textId="77777777" w:rsidR="009D0C2E" w:rsidRPr="00B364CB" w:rsidRDefault="009D0C2E" w:rsidP="009D0C2E">
            <w:pPr>
              <w:widowControl/>
              <w:jc w:val="center"/>
              <w:rPr>
                <w:rFonts w:cs="Arial"/>
                <w:sz w:val="20"/>
                <w:szCs w:val="20"/>
              </w:rPr>
            </w:pPr>
            <w:r w:rsidRPr="00B364CB">
              <w:rPr>
                <w:rFonts w:cs="Arial"/>
                <w:sz w:val="20"/>
                <w:szCs w:val="20"/>
              </w:rPr>
              <w:t>Minimum CRMs/PGMs (other than Pt) recycled from scraps and wastes</w:t>
            </w:r>
          </w:p>
        </w:tc>
        <w:tc>
          <w:tcPr>
            <w:tcW w:w="615" w:type="pct"/>
            <w:shd w:val="clear" w:color="auto" w:fill="auto"/>
            <w:vAlign w:val="center"/>
          </w:tcPr>
          <w:p w14:paraId="60F0036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527" w:type="pct"/>
            <w:vAlign w:val="center"/>
          </w:tcPr>
          <w:p w14:paraId="72BEF1E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n/a</w:t>
            </w:r>
          </w:p>
        </w:tc>
        <w:tc>
          <w:tcPr>
            <w:tcW w:w="527" w:type="pct"/>
            <w:vAlign w:val="center"/>
          </w:tcPr>
          <w:p w14:paraId="2252742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30</w:t>
            </w:r>
          </w:p>
        </w:tc>
        <w:tc>
          <w:tcPr>
            <w:tcW w:w="527" w:type="pct"/>
            <w:vAlign w:val="center"/>
          </w:tcPr>
          <w:p w14:paraId="503E91D2"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50</w:t>
            </w:r>
          </w:p>
        </w:tc>
      </w:tr>
      <w:tr w:rsidR="009D0C2E" w:rsidRPr="00B364CB" w14:paraId="6AEFB0D7" w14:textId="77777777" w:rsidTr="00120F40">
        <w:trPr>
          <w:trHeight w:val="422"/>
        </w:trPr>
        <w:tc>
          <w:tcPr>
            <w:tcW w:w="609" w:type="pct"/>
            <w:shd w:val="clear" w:color="auto" w:fill="auto"/>
            <w:vAlign w:val="center"/>
            <w:hideMark/>
          </w:tcPr>
          <w:p w14:paraId="725BA5F0" w14:textId="77777777" w:rsidR="009D0C2E" w:rsidRPr="00B364CB" w:rsidRDefault="009D0C2E" w:rsidP="009D0C2E">
            <w:pPr>
              <w:widowControl/>
              <w:jc w:val="center"/>
              <w:rPr>
                <w:rFonts w:cs="Arial"/>
                <w:sz w:val="20"/>
                <w:szCs w:val="20"/>
                <w:lang w:eastAsia="en-GB" w:bidi="ar-SA"/>
              </w:rPr>
            </w:pPr>
            <w:r w:rsidRPr="00B364CB">
              <w:rPr>
                <w:sz w:val="20"/>
                <w:szCs w:val="20"/>
              </w:rPr>
              <w:t>2</w:t>
            </w:r>
          </w:p>
        </w:tc>
        <w:tc>
          <w:tcPr>
            <w:tcW w:w="2195" w:type="pct"/>
            <w:shd w:val="clear" w:color="auto" w:fill="auto"/>
            <w:vAlign w:val="center"/>
          </w:tcPr>
          <w:p w14:paraId="40F9E11F" w14:textId="77777777" w:rsidR="009D0C2E" w:rsidRPr="00B364CB" w:rsidRDefault="009D0C2E" w:rsidP="009D0C2E">
            <w:pPr>
              <w:widowControl/>
              <w:jc w:val="center"/>
              <w:rPr>
                <w:rFonts w:cs="Arial"/>
                <w:sz w:val="20"/>
                <w:szCs w:val="20"/>
              </w:rPr>
            </w:pPr>
            <w:r w:rsidRPr="00B364CB">
              <w:rPr>
                <w:rFonts w:cs="Arial"/>
                <w:sz w:val="20"/>
                <w:szCs w:val="20"/>
              </w:rPr>
              <w:t xml:space="preserve">Minimum Pt recycled </w:t>
            </w:r>
          </w:p>
          <w:p w14:paraId="4D3E42B2" w14:textId="77777777" w:rsidR="009D0C2E" w:rsidRPr="00B364CB" w:rsidRDefault="009D0C2E" w:rsidP="009D0C2E">
            <w:pPr>
              <w:widowControl/>
              <w:jc w:val="center"/>
              <w:rPr>
                <w:rFonts w:cs="Arial"/>
                <w:sz w:val="20"/>
                <w:szCs w:val="20"/>
              </w:rPr>
            </w:pPr>
            <w:r w:rsidRPr="00B364CB">
              <w:rPr>
                <w:rFonts w:cs="Arial"/>
                <w:sz w:val="20"/>
                <w:szCs w:val="20"/>
              </w:rPr>
              <w:t>from scraps and wastes</w:t>
            </w:r>
          </w:p>
        </w:tc>
        <w:tc>
          <w:tcPr>
            <w:tcW w:w="615" w:type="pct"/>
            <w:shd w:val="clear" w:color="auto" w:fill="auto"/>
            <w:vAlign w:val="center"/>
          </w:tcPr>
          <w:p w14:paraId="689177BC"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527" w:type="pct"/>
            <w:vAlign w:val="center"/>
          </w:tcPr>
          <w:p w14:paraId="2FAB55A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n/a</w:t>
            </w:r>
          </w:p>
        </w:tc>
        <w:tc>
          <w:tcPr>
            <w:tcW w:w="527" w:type="pct"/>
            <w:vAlign w:val="center"/>
          </w:tcPr>
          <w:p w14:paraId="5B0249F3"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95</w:t>
            </w:r>
          </w:p>
        </w:tc>
        <w:tc>
          <w:tcPr>
            <w:tcW w:w="527" w:type="pct"/>
            <w:vAlign w:val="center"/>
          </w:tcPr>
          <w:p w14:paraId="01DBDE6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99</w:t>
            </w:r>
          </w:p>
        </w:tc>
      </w:tr>
      <w:tr w:rsidR="009D0C2E" w:rsidRPr="00B364CB" w14:paraId="23A8EEF7" w14:textId="77777777" w:rsidTr="00120F40">
        <w:trPr>
          <w:trHeight w:val="315"/>
        </w:trPr>
        <w:tc>
          <w:tcPr>
            <w:tcW w:w="609" w:type="pct"/>
            <w:shd w:val="clear" w:color="auto" w:fill="auto"/>
            <w:vAlign w:val="center"/>
            <w:hideMark/>
          </w:tcPr>
          <w:p w14:paraId="08601462" w14:textId="77777777" w:rsidR="009D0C2E" w:rsidRPr="00B364CB" w:rsidRDefault="009D0C2E" w:rsidP="009D0C2E">
            <w:pPr>
              <w:widowControl/>
              <w:jc w:val="center"/>
              <w:rPr>
                <w:rFonts w:cs="Arial"/>
                <w:sz w:val="20"/>
                <w:szCs w:val="20"/>
                <w:lang w:eastAsia="en-GB" w:bidi="ar-SA"/>
              </w:rPr>
            </w:pPr>
            <w:r w:rsidRPr="00B364CB">
              <w:rPr>
                <w:sz w:val="20"/>
                <w:szCs w:val="20"/>
              </w:rPr>
              <w:t>3</w:t>
            </w:r>
          </w:p>
        </w:tc>
        <w:tc>
          <w:tcPr>
            <w:tcW w:w="2195" w:type="pct"/>
            <w:shd w:val="clear" w:color="auto" w:fill="auto"/>
            <w:vAlign w:val="center"/>
          </w:tcPr>
          <w:p w14:paraId="68FAA9C6" w14:textId="77777777" w:rsidR="009D0C2E" w:rsidRPr="00B364CB" w:rsidRDefault="009D0C2E" w:rsidP="009D0C2E">
            <w:pPr>
              <w:widowControl/>
              <w:jc w:val="center"/>
              <w:rPr>
                <w:rFonts w:cs="Arial"/>
                <w:sz w:val="20"/>
                <w:szCs w:val="20"/>
              </w:rPr>
            </w:pPr>
            <w:r w:rsidRPr="00B364CB">
              <w:rPr>
                <w:rFonts w:cs="Arial"/>
                <w:sz w:val="20"/>
                <w:szCs w:val="20"/>
              </w:rPr>
              <w:t xml:space="preserve">Minimum ionomer recycled </w:t>
            </w:r>
          </w:p>
          <w:p w14:paraId="734FF747" w14:textId="77777777" w:rsidR="009D0C2E" w:rsidRPr="00B364CB" w:rsidRDefault="009D0C2E" w:rsidP="009D0C2E">
            <w:pPr>
              <w:widowControl/>
              <w:jc w:val="center"/>
              <w:rPr>
                <w:rFonts w:cs="Arial"/>
                <w:sz w:val="20"/>
                <w:szCs w:val="20"/>
              </w:rPr>
            </w:pPr>
            <w:r w:rsidRPr="00B364CB">
              <w:rPr>
                <w:rFonts w:cs="Arial"/>
                <w:sz w:val="20"/>
                <w:szCs w:val="20"/>
              </w:rPr>
              <w:t>from scraps and wastes</w:t>
            </w:r>
          </w:p>
        </w:tc>
        <w:tc>
          <w:tcPr>
            <w:tcW w:w="615" w:type="pct"/>
            <w:shd w:val="clear" w:color="auto" w:fill="auto"/>
            <w:vAlign w:val="center"/>
          </w:tcPr>
          <w:p w14:paraId="5DCE63A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527" w:type="pct"/>
            <w:vAlign w:val="center"/>
          </w:tcPr>
          <w:p w14:paraId="51D1665D"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n/a</w:t>
            </w:r>
          </w:p>
        </w:tc>
        <w:tc>
          <w:tcPr>
            <w:tcW w:w="527" w:type="pct"/>
            <w:vAlign w:val="center"/>
          </w:tcPr>
          <w:p w14:paraId="6950EB2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70</w:t>
            </w:r>
          </w:p>
        </w:tc>
        <w:tc>
          <w:tcPr>
            <w:tcW w:w="527" w:type="pct"/>
            <w:vAlign w:val="center"/>
          </w:tcPr>
          <w:p w14:paraId="605B250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80</w:t>
            </w:r>
          </w:p>
        </w:tc>
      </w:tr>
    </w:tbl>
    <w:p w14:paraId="22E436A6"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28114BA2" w14:textId="77777777" w:rsidR="009D0C2E" w:rsidRPr="00B364CB" w:rsidRDefault="009D0C2E" w:rsidP="009D0C2E">
      <w:pPr>
        <w:pStyle w:val="CommentText"/>
        <w:spacing w:after="120"/>
        <w:jc w:val="both"/>
        <w:rPr>
          <w:rFonts w:cstheme="minorHAnsi"/>
          <w:iCs/>
          <w:color w:val="auto"/>
          <w:sz w:val="16"/>
          <w:szCs w:val="16"/>
        </w:rPr>
      </w:pPr>
      <w:r w:rsidRPr="00B364CB">
        <w:rPr>
          <w:rFonts w:cstheme="minorHAnsi"/>
          <w:iCs/>
          <w:color w:val="auto"/>
          <w:sz w:val="16"/>
          <w:szCs w:val="16"/>
        </w:rPr>
        <w:t>KPI-1: [amount recycled]/[amount present in the whole system (including main equipment and BoP)] in %</w:t>
      </w:r>
    </w:p>
    <w:p w14:paraId="3A8F4AB6" w14:textId="77777777" w:rsidR="009D0C2E" w:rsidRPr="00B364CB" w:rsidRDefault="009D0C2E" w:rsidP="009D0C2E">
      <w:pPr>
        <w:pStyle w:val="CommentText"/>
        <w:spacing w:after="120"/>
        <w:jc w:val="both"/>
        <w:rPr>
          <w:rFonts w:cstheme="minorHAnsi"/>
          <w:iCs/>
          <w:color w:val="auto"/>
          <w:sz w:val="16"/>
          <w:szCs w:val="16"/>
        </w:rPr>
      </w:pPr>
      <w:r w:rsidRPr="00B364CB">
        <w:rPr>
          <w:rFonts w:cstheme="minorHAnsi"/>
          <w:iCs/>
          <w:color w:val="auto"/>
          <w:sz w:val="16"/>
          <w:szCs w:val="16"/>
        </w:rPr>
        <w:t>KPI-2: amount of Pt recycled from FC/ electrolysers at end-of-life</w:t>
      </w:r>
    </w:p>
    <w:p w14:paraId="2631FF30" w14:textId="40BC779C" w:rsidR="009D0C2E" w:rsidRPr="00B364CB" w:rsidRDefault="009D0C2E" w:rsidP="009D0C2E">
      <w:pPr>
        <w:spacing w:after="120" w:line="276" w:lineRule="auto"/>
        <w:jc w:val="both"/>
        <w:rPr>
          <w:rFonts w:cstheme="minorHAnsi"/>
          <w:iCs/>
          <w:color w:val="auto"/>
          <w:sz w:val="16"/>
          <w:szCs w:val="16"/>
        </w:rPr>
      </w:pPr>
      <w:r w:rsidRPr="00B364CB">
        <w:rPr>
          <w:rFonts w:cstheme="minorHAnsi"/>
          <w:iCs/>
          <w:color w:val="auto"/>
          <w:sz w:val="16"/>
          <w:szCs w:val="16"/>
        </w:rPr>
        <w:t>KPI-3: amount of ionomer recycled from FC/electrolysers at end-of-life</w:t>
      </w:r>
    </w:p>
    <w:p w14:paraId="5F152B01" w14:textId="77777777" w:rsidR="001D12AA" w:rsidRPr="00C327E9" w:rsidRDefault="001D12AA" w:rsidP="001D12AA">
      <w:pPr>
        <w:pStyle w:val="CommentText"/>
        <w:rPr>
          <w:rFonts w:cstheme="minorHAnsi"/>
          <w:iCs/>
          <w:color w:val="auto"/>
          <w:sz w:val="16"/>
          <w:szCs w:val="16"/>
        </w:rPr>
      </w:pPr>
      <w:r w:rsidRPr="00C327E9">
        <w:rPr>
          <w:rFonts w:cstheme="minorHAnsi"/>
          <w:iCs/>
          <w:color w:val="auto"/>
          <w:sz w:val="16"/>
          <w:szCs w:val="16"/>
        </w:rPr>
        <w:t>Th</w:t>
      </w:r>
      <w:r>
        <w:rPr>
          <w:rFonts w:cstheme="minorHAnsi"/>
          <w:iCs/>
          <w:color w:val="auto"/>
          <w:sz w:val="16"/>
          <w:szCs w:val="16"/>
        </w:rPr>
        <w:t>ese</w:t>
      </w:r>
      <w:r w:rsidRPr="00C327E9">
        <w:rPr>
          <w:rFonts w:cstheme="minorHAnsi"/>
          <w:iCs/>
          <w:color w:val="auto"/>
          <w:sz w:val="16"/>
          <w:szCs w:val="16"/>
        </w:rPr>
        <w:t xml:space="preserve"> recycled rate values refer to a TRL 7 </w:t>
      </w:r>
      <w:r>
        <w:rPr>
          <w:rFonts w:cstheme="minorHAnsi"/>
          <w:iCs/>
          <w:color w:val="auto"/>
          <w:sz w:val="16"/>
          <w:szCs w:val="16"/>
        </w:rPr>
        <w:t>(</w:t>
      </w:r>
      <w:r w:rsidRPr="00C327E9">
        <w:rPr>
          <w:rFonts w:cstheme="minorHAnsi"/>
          <w:iCs/>
          <w:color w:val="auto"/>
          <w:sz w:val="16"/>
          <w:szCs w:val="16"/>
        </w:rPr>
        <w:t>system prototype demonstration in operational environment</w:t>
      </w:r>
      <w:r>
        <w:rPr>
          <w:rFonts w:cstheme="minorHAnsi"/>
          <w:iCs/>
          <w:color w:val="auto"/>
          <w:sz w:val="16"/>
          <w:szCs w:val="16"/>
        </w:rPr>
        <w:t>)</w:t>
      </w:r>
    </w:p>
    <w:p w14:paraId="67178A75" w14:textId="77777777" w:rsidR="009D0C2E" w:rsidRPr="00B364CB" w:rsidRDefault="009D0C2E" w:rsidP="009D0C2E">
      <w:pPr>
        <w:spacing w:after="120" w:line="276" w:lineRule="auto"/>
        <w:jc w:val="both"/>
        <w:rPr>
          <w:rFonts w:asciiTheme="minorHAnsi" w:eastAsiaTheme="minorHAnsi" w:hAnsiTheme="minorHAnsi" w:cstheme="minorBidi"/>
          <w:i/>
          <w:iCs/>
          <w:color w:val="1F497D" w:themeColor="text2"/>
          <w:sz w:val="24"/>
          <w:szCs w:val="18"/>
          <w:u w:val="single"/>
          <w:lang w:bidi="ar-SA"/>
        </w:rPr>
      </w:pPr>
    </w:p>
    <w:p w14:paraId="0D27A949" w14:textId="1C26C192" w:rsidR="009D0C2E" w:rsidRPr="00B364CB" w:rsidRDefault="009D0C2E" w:rsidP="009D0C2E">
      <w:pPr>
        <w:rPr>
          <w:rFonts w:eastAsia="Arial"/>
          <w:lang w:bidi="ar-SA"/>
        </w:rPr>
      </w:pPr>
      <w:r w:rsidRPr="00B364CB">
        <w:rPr>
          <w:rFonts w:asciiTheme="minorHAnsi" w:eastAsiaTheme="minorHAnsi" w:hAnsiTheme="minorHAnsi" w:cstheme="minorBidi"/>
          <w:i/>
          <w:iCs/>
          <w:color w:val="1F497D" w:themeColor="text2"/>
          <w:sz w:val="24"/>
          <w:szCs w:val="18"/>
          <w:u w:val="single"/>
          <w:lang w:bidi="ar-SA"/>
        </w:rPr>
        <w:t xml:space="preserve">Table </w:t>
      </w:r>
      <w:r w:rsidRPr="00B364CB">
        <w:rPr>
          <w:rFonts w:asciiTheme="minorHAnsi" w:eastAsiaTheme="minorHAnsi" w:hAnsiTheme="minorHAnsi" w:cstheme="minorBidi"/>
          <w:i/>
          <w:iCs/>
          <w:color w:val="1F497D" w:themeColor="text2"/>
          <w:sz w:val="24"/>
          <w:szCs w:val="18"/>
          <w:u w:val="single"/>
          <w:lang w:bidi="ar-SA"/>
        </w:rPr>
        <w:fldChar w:fldCharType="begin"/>
      </w:r>
      <w:r w:rsidRPr="00B364CB">
        <w:rPr>
          <w:rFonts w:asciiTheme="minorHAnsi" w:eastAsiaTheme="minorHAnsi" w:hAnsiTheme="minorHAnsi" w:cstheme="minorBidi"/>
          <w:i/>
          <w:iCs/>
          <w:color w:val="1F497D" w:themeColor="text2"/>
          <w:sz w:val="24"/>
          <w:szCs w:val="18"/>
          <w:u w:val="single"/>
          <w:lang w:bidi="ar-SA"/>
        </w:rPr>
        <w:instrText xml:space="preserve"> SEQ Table \* ARABIC </w:instrText>
      </w:r>
      <w:r w:rsidRPr="00B364CB">
        <w:rPr>
          <w:rFonts w:asciiTheme="minorHAnsi" w:eastAsiaTheme="minorHAnsi" w:hAnsiTheme="minorHAnsi" w:cstheme="minorBidi"/>
          <w:i/>
          <w:iCs/>
          <w:color w:val="1F497D" w:themeColor="text2"/>
          <w:sz w:val="24"/>
          <w:szCs w:val="18"/>
          <w:u w:val="single"/>
          <w:lang w:bidi="ar-SA"/>
        </w:rPr>
        <w:fldChar w:fldCharType="separate"/>
      </w:r>
      <w:r w:rsidR="00797920">
        <w:rPr>
          <w:rFonts w:asciiTheme="minorHAnsi" w:eastAsiaTheme="minorHAnsi" w:hAnsiTheme="minorHAnsi" w:cstheme="minorBidi"/>
          <w:i/>
          <w:iCs/>
          <w:noProof/>
          <w:color w:val="1F497D" w:themeColor="text2"/>
          <w:sz w:val="24"/>
          <w:szCs w:val="18"/>
          <w:u w:val="single"/>
          <w:lang w:bidi="ar-SA"/>
        </w:rPr>
        <w:t>24</w:t>
      </w:r>
      <w:r w:rsidRPr="00B364CB">
        <w:rPr>
          <w:rFonts w:asciiTheme="minorHAnsi" w:eastAsiaTheme="minorHAnsi" w:hAnsiTheme="minorHAnsi" w:cstheme="minorBidi"/>
          <w:i/>
          <w:iCs/>
          <w:color w:val="1F497D" w:themeColor="text2"/>
          <w:sz w:val="24"/>
          <w:szCs w:val="18"/>
          <w:u w:val="single"/>
          <w:lang w:bidi="ar-SA"/>
        </w:rPr>
        <w:fldChar w:fldCharType="end"/>
      </w:r>
      <w:r w:rsidRPr="00B364CB">
        <w:rPr>
          <w:rFonts w:asciiTheme="minorHAnsi" w:eastAsiaTheme="minorHAnsi" w:hAnsiTheme="minorHAnsi" w:cstheme="minorBidi"/>
          <w:i/>
          <w:iCs/>
          <w:color w:val="1F497D" w:themeColor="text2"/>
          <w:sz w:val="24"/>
          <w:szCs w:val="18"/>
          <w:u w:val="single"/>
          <w:lang w:bidi="ar-SA"/>
        </w:rPr>
        <w:t>: KPIs for Education and Public Awareness</w:t>
      </w:r>
    </w:p>
    <w:p w14:paraId="459615E2" w14:textId="77777777" w:rsidR="009D0C2E" w:rsidRPr="00B364CB" w:rsidRDefault="009D0C2E" w:rsidP="009D0C2E">
      <w:pPr>
        <w:rPr>
          <w:rFonts w:eastAsia="Arial"/>
          <w:lang w:bidi="ar-SA"/>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27"/>
        <w:gridCol w:w="1706"/>
        <w:gridCol w:w="712"/>
        <w:gridCol w:w="853"/>
        <w:gridCol w:w="855"/>
        <w:gridCol w:w="853"/>
        <w:gridCol w:w="855"/>
        <w:gridCol w:w="997"/>
        <w:gridCol w:w="997"/>
        <w:gridCol w:w="855"/>
      </w:tblGrid>
      <w:tr w:rsidR="009D0C2E" w:rsidRPr="00B364CB" w14:paraId="0F543424" w14:textId="77777777" w:rsidTr="00120F40">
        <w:trPr>
          <w:trHeight w:val="276"/>
        </w:trPr>
        <w:tc>
          <w:tcPr>
            <w:tcW w:w="235" w:type="pct"/>
            <w:vMerge w:val="restart"/>
            <w:shd w:val="clear" w:color="auto" w:fill="BFBFBF" w:themeFill="background1" w:themeFillShade="BF"/>
            <w:vAlign w:val="center"/>
            <w:hideMark/>
          </w:tcPr>
          <w:p w14:paraId="29D25A11" w14:textId="77777777" w:rsidR="009D0C2E" w:rsidRPr="00B364CB" w:rsidRDefault="009D0C2E" w:rsidP="009D0C2E">
            <w:pPr>
              <w:widowControl/>
              <w:jc w:val="both"/>
              <w:rPr>
                <w:rFonts w:cs="Arial"/>
                <w:b/>
                <w:bCs/>
                <w:sz w:val="18"/>
                <w:szCs w:val="18"/>
                <w:lang w:eastAsia="en-GB" w:bidi="ar-SA"/>
              </w:rPr>
            </w:pPr>
            <w:r w:rsidRPr="00B364CB">
              <w:rPr>
                <w:rFonts w:cs="Arial"/>
                <w:b/>
                <w:bCs/>
                <w:sz w:val="18"/>
                <w:szCs w:val="18"/>
                <w:lang w:eastAsia="en-GB" w:bidi="ar-SA"/>
              </w:rPr>
              <w:t>No</w:t>
            </w:r>
          </w:p>
        </w:tc>
        <w:tc>
          <w:tcPr>
            <w:tcW w:w="937" w:type="pct"/>
            <w:vMerge w:val="restart"/>
            <w:shd w:val="clear" w:color="auto" w:fill="BFBFBF" w:themeFill="background1" w:themeFillShade="BF"/>
            <w:vAlign w:val="center"/>
            <w:hideMark/>
          </w:tcPr>
          <w:p w14:paraId="05D60549" w14:textId="77777777" w:rsidR="009D0C2E" w:rsidRPr="00B364CB" w:rsidRDefault="009D0C2E" w:rsidP="009D0C2E">
            <w:pPr>
              <w:widowControl/>
              <w:ind w:leftChars="-47" w:left="1" w:hangingChars="52" w:hanging="104"/>
              <w:jc w:val="center"/>
              <w:rPr>
                <w:rFonts w:cs="Arial"/>
                <w:b/>
                <w:bCs/>
                <w:sz w:val="20"/>
                <w:szCs w:val="20"/>
                <w:lang w:eastAsia="en-GB" w:bidi="ar-SA"/>
              </w:rPr>
            </w:pPr>
            <w:r w:rsidRPr="00B364CB">
              <w:rPr>
                <w:rFonts w:cs="Arial"/>
                <w:b/>
                <w:bCs/>
                <w:sz w:val="20"/>
                <w:szCs w:val="20"/>
                <w:lang w:eastAsia="en-GB" w:bidi="ar-SA"/>
              </w:rPr>
              <w:t>Parameter</w:t>
            </w:r>
          </w:p>
        </w:tc>
        <w:tc>
          <w:tcPr>
            <w:tcW w:w="391" w:type="pct"/>
            <w:vMerge w:val="restart"/>
            <w:shd w:val="clear" w:color="auto" w:fill="BFBFBF" w:themeFill="background1" w:themeFillShade="BF"/>
            <w:vAlign w:val="center"/>
            <w:hideMark/>
          </w:tcPr>
          <w:p w14:paraId="7E958374"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Unit</w:t>
            </w:r>
          </w:p>
        </w:tc>
        <w:tc>
          <w:tcPr>
            <w:tcW w:w="468" w:type="pct"/>
            <w:shd w:val="clear" w:color="auto" w:fill="BFBFBF" w:themeFill="background1" w:themeFillShade="BF"/>
            <w:vAlign w:val="center"/>
          </w:tcPr>
          <w:p w14:paraId="48E0F359"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406" w:type="pct"/>
            <w:gridSpan w:val="3"/>
            <w:shd w:val="clear" w:color="auto" w:fill="BFBFBF" w:themeFill="background1" w:themeFillShade="BF"/>
            <w:vAlign w:val="center"/>
          </w:tcPr>
          <w:p w14:paraId="78E4810F"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 2024</w:t>
            </w:r>
          </w:p>
        </w:tc>
        <w:tc>
          <w:tcPr>
            <w:tcW w:w="1562" w:type="pct"/>
            <w:gridSpan w:val="3"/>
            <w:shd w:val="clear" w:color="auto" w:fill="BFBFBF" w:themeFill="background1" w:themeFillShade="BF"/>
            <w:vAlign w:val="center"/>
          </w:tcPr>
          <w:p w14:paraId="71381395"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 2030</w:t>
            </w:r>
          </w:p>
        </w:tc>
      </w:tr>
      <w:tr w:rsidR="00120F40" w:rsidRPr="00B364CB" w14:paraId="26904030" w14:textId="77777777" w:rsidTr="00D46C9B">
        <w:trPr>
          <w:trHeight w:val="410"/>
        </w:trPr>
        <w:tc>
          <w:tcPr>
            <w:tcW w:w="235" w:type="pct"/>
            <w:vMerge/>
            <w:tcBorders>
              <w:bottom w:val="single" w:sz="8" w:space="0" w:color="000000"/>
            </w:tcBorders>
            <w:shd w:val="clear" w:color="auto" w:fill="BFBFBF" w:themeFill="background1" w:themeFillShade="BF"/>
            <w:vAlign w:val="center"/>
            <w:hideMark/>
          </w:tcPr>
          <w:p w14:paraId="2C610A0B" w14:textId="77777777" w:rsidR="009D0C2E" w:rsidRPr="00B364CB" w:rsidRDefault="009D0C2E" w:rsidP="009D0C2E">
            <w:pPr>
              <w:widowControl/>
              <w:jc w:val="center"/>
              <w:rPr>
                <w:rFonts w:cs="Arial"/>
                <w:b/>
                <w:bCs/>
                <w:sz w:val="20"/>
                <w:szCs w:val="20"/>
                <w:lang w:eastAsia="en-GB" w:bidi="ar-SA"/>
              </w:rPr>
            </w:pPr>
          </w:p>
        </w:tc>
        <w:tc>
          <w:tcPr>
            <w:tcW w:w="937" w:type="pct"/>
            <w:vMerge/>
            <w:tcBorders>
              <w:bottom w:val="single" w:sz="8" w:space="0" w:color="000000"/>
            </w:tcBorders>
            <w:shd w:val="clear" w:color="auto" w:fill="BFBFBF" w:themeFill="background1" w:themeFillShade="BF"/>
            <w:vAlign w:val="center"/>
            <w:hideMark/>
          </w:tcPr>
          <w:p w14:paraId="21CB0DFB" w14:textId="77777777" w:rsidR="009D0C2E" w:rsidRPr="00B364CB" w:rsidRDefault="009D0C2E" w:rsidP="009D0C2E">
            <w:pPr>
              <w:widowControl/>
              <w:jc w:val="center"/>
              <w:rPr>
                <w:rFonts w:cs="Arial"/>
                <w:b/>
                <w:bCs/>
                <w:sz w:val="20"/>
                <w:szCs w:val="20"/>
                <w:lang w:eastAsia="en-GB" w:bidi="ar-SA"/>
              </w:rPr>
            </w:pPr>
          </w:p>
        </w:tc>
        <w:tc>
          <w:tcPr>
            <w:tcW w:w="391" w:type="pct"/>
            <w:vMerge/>
            <w:tcBorders>
              <w:bottom w:val="single" w:sz="8" w:space="0" w:color="000000"/>
            </w:tcBorders>
            <w:shd w:val="clear" w:color="auto" w:fill="BFBFBF" w:themeFill="background1" w:themeFillShade="BF"/>
            <w:vAlign w:val="center"/>
            <w:hideMark/>
          </w:tcPr>
          <w:p w14:paraId="05E422B0" w14:textId="77777777" w:rsidR="009D0C2E" w:rsidRPr="00B364CB" w:rsidRDefault="009D0C2E" w:rsidP="009D0C2E">
            <w:pPr>
              <w:widowControl/>
              <w:jc w:val="center"/>
              <w:rPr>
                <w:rFonts w:cs="Arial"/>
                <w:b/>
                <w:bCs/>
                <w:sz w:val="20"/>
                <w:szCs w:val="20"/>
                <w:lang w:eastAsia="en-GB" w:bidi="ar-SA"/>
              </w:rPr>
            </w:pPr>
          </w:p>
        </w:tc>
        <w:tc>
          <w:tcPr>
            <w:tcW w:w="468" w:type="pct"/>
            <w:tcBorders>
              <w:bottom w:val="single" w:sz="8" w:space="0" w:color="000000"/>
            </w:tcBorders>
            <w:shd w:val="clear" w:color="auto" w:fill="BFBFBF" w:themeFill="background1" w:themeFillShade="BF"/>
            <w:vAlign w:val="center"/>
          </w:tcPr>
          <w:p w14:paraId="1C137EE0"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469" w:type="pct"/>
            <w:tcBorders>
              <w:bottom w:val="single" w:sz="8" w:space="0" w:color="000000"/>
            </w:tcBorders>
            <w:shd w:val="clear" w:color="auto" w:fill="BFBFBF" w:themeFill="background1" w:themeFillShade="BF"/>
            <w:vAlign w:val="center"/>
          </w:tcPr>
          <w:p w14:paraId="32F70F0C"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Tier 1</w:t>
            </w:r>
          </w:p>
        </w:tc>
        <w:tc>
          <w:tcPr>
            <w:tcW w:w="468" w:type="pct"/>
            <w:tcBorders>
              <w:bottom w:val="single" w:sz="8" w:space="0" w:color="000000"/>
            </w:tcBorders>
            <w:shd w:val="clear" w:color="auto" w:fill="BFBFBF" w:themeFill="background1" w:themeFillShade="BF"/>
            <w:vAlign w:val="center"/>
          </w:tcPr>
          <w:p w14:paraId="4B0917A0"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Tier 2</w:t>
            </w:r>
          </w:p>
        </w:tc>
        <w:tc>
          <w:tcPr>
            <w:tcW w:w="469" w:type="pct"/>
            <w:tcBorders>
              <w:bottom w:val="single" w:sz="8" w:space="0" w:color="000000"/>
            </w:tcBorders>
            <w:shd w:val="clear" w:color="auto" w:fill="BFBFBF" w:themeFill="background1" w:themeFillShade="BF"/>
            <w:vAlign w:val="center"/>
            <w:hideMark/>
          </w:tcPr>
          <w:p w14:paraId="36DC2DEA"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Tier 3</w:t>
            </w:r>
          </w:p>
        </w:tc>
        <w:tc>
          <w:tcPr>
            <w:tcW w:w="547" w:type="pct"/>
            <w:tcBorders>
              <w:bottom w:val="single" w:sz="8" w:space="0" w:color="000000"/>
            </w:tcBorders>
            <w:shd w:val="clear" w:color="auto" w:fill="BFBFBF" w:themeFill="background1" w:themeFillShade="BF"/>
            <w:vAlign w:val="center"/>
          </w:tcPr>
          <w:p w14:paraId="37DA4D37"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Tier 1</w:t>
            </w:r>
          </w:p>
        </w:tc>
        <w:tc>
          <w:tcPr>
            <w:tcW w:w="547" w:type="pct"/>
            <w:tcBorders>
              <w:bottom w:val="single" w:sz="8" w:space="0" w:color="000000"/>
            </w:tcBorders>
            <w:shd w:val="clear" w:color="auto" w:fill="BFBFBF" w:themeFill="background1" w:themeFillShade="BF"/>
            <w:vAlign w:val="center"/>
            <w:hideMark/>
          </w:tcPr>
          <w:p w14:paraId="4CD0FD56"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Tier 2</w:t>
            </w:r>
          </w:p>
        </w:tc>
        <w:tc>
          <w:tcPr>
            <w:tcW w:w="469" w:type="pct"/>
            <w:tcBorders>
              <w:bottom w:val="single" w:sz="8" w:space="0" w:color="000000"/>
            </w:tcBorders>
            <w:shd w:val="clear" w:color="auto" w:fill="BFBFBF" w:themeFill="background1" w:themeFillShade="BF"/>
            <w:vAlign w:val="center"/>
            <w:hideMark/>
          </w:tcPr>
          <w:p w14:paraId="0893BB97"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Tier 3</w:t>
            </w:r>
          </w:p>
        </w:tc>
      </w:tr>
      <w:tr w:rsidR="009D0C2E" w:rsidRPr="00B364CB" w14:paraId="6CACCC34" w14:textId="77777777" w:rsidTr="00120F40">
        <w:trPr>
          <w:trHeight w:val="425"/>
        </w:trPr>
        <w:tc>
          <w:tcPr>
            <w:tcW w:w="5000" w:type="pct"/>
            <w:gridSpan w:val="10"/>
            <w:shd w:val="clear" w:color="auto" w:fill="D9D9D9" w:themeFill="background1" w:themeFillShade="D9"/>
            <w:vAlign w:val="center"/>
          </w:tcPr>
          <w:p w14:paraId="06FB2AFC" w14:textId="77777777" w:rsidR="009D0C2E" w:rsidRPr="00B364CB" w:rsidRDefault="009D0C2E" w:rsidP="009D0C2E">
            <w:pPr>
              <w:widowControl/>
              <w:jc w:val="center"/>
              <w:rPr>
                <w:rFonts w:ascii="Calibri" w:hAnsi="Calibri"/>
                <w:b/>
                <w:bCs/>
                <w:sz w:val="20"/>
                <w:szCs w:val="20"/>
                <w:lang w:eastAsia="en-GB" w:bidi="ar-SA"/>
              </w:rPr>
            </w:pPr>
            <w:r w:rsidRPr="00B364CB">
              <w:rPr>
                <w:rFonts w:ascii="Calibri" w:hAnsi="Calibri"/>
                <w:b/>
                <w:bCs/>
                <w:sz w:val="20"/>
                <w:szCs w:val="20"/>
                <w:lang w:eastAsia="en-GB" w:bidi="ar-SA"/>
              </w:rPr>
              <w:t>Education</w:t>
            </w:r>
          </w:p>
        </w:tc>
      </w:tr>
      <w:tr w:rsidR="009D0C2E" w:rsidRPr="00B364CB" w14:paraId="65264D8B" w14:textId="77777777" w:rsidTr="00120F40">
        <w:trPr>
          <w:trHeight w:val="276"/>
        </w:trPr>
        <w:tc>
          <w:tcPr>
            <w:tcW w:w="235" w:type="pct"/>
            <w:shd w:val="clear" w:color="auto" w:fill="auto"/>
            <w:vAlign w:val="center"/>
            <w:hideMark/>
          </w:tcPr>
          <w:p w14:paraId="3C22CBBF"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w:t>
            </w:r>
          </w:p>
        </w:tc>
        <w:tc>
          <w:tcPr>
            <w:tcW w:w="937" w:type="pct"/>
            <w:shd w:val="clear" w:color="auto" w:fill="auto"/>
            <w:vAlign w:val="center"/>
          </w:tcPr>
          <w:p w14:paraId="1DEF24BF" w14:textId="77777777" w:rsidR="009D0C2E" w:rsidRPr="00B364CB" w:rsidRDefault="009D0C2E" w:rsidP="009D0C2E">
            <w:pPr>
              <w:widowControl/>
              <w:rPr>
                <w:rFonts w:cs="Arial"/>
                <w:sz w:val="20"/>
                <w:szCs w:val="20"/>
                <w:lang w:eastAsia="en-GB" w:bidi="ar-SA"/>
              </w:rPr>
            </w:pPr>
            <w:r w:rsidRPr="00B364CB">
              <w:rPr>
                <w:rFonts w:cs="Arial"/>
                <w:sz w:val="20"/>
                <w:szCs w:val="20"/>
                <w:lang w:eastAsia="en-GB" w:bidi="ar-SA"/>
              </w:rPr>
              <w:t xml:space="preserve">Trained pupils in primary and secondary education </w:t>
            </w:r>
          </w:p>
        </w:tc>
        <w:tc>
          <w:tcPr>
            <w:tcW w:w="391" w:type="pct"/>
            <w:shd w:val="clear" w:color="auto" w:fill="auto"/>
            <w:vAlign w:val="center"/>
          </w:tcPr>
          <w:p w14:paraId="7A617C5D" w14:textId="77777777" w:rsidR="009D0C2E" w:rsidRPr="00B364CB" w:rsidRDefault="009D0C2E" w:rsidP="009D0C2E">
            <w:pPr>
              <w:widowControl/>
              <w:jc w:val="center"/>
              <w:rPr>
                <w:rFonts w:ascii="Calibri" w:hAnsi="Calibri" w:cs="Calibri"/>
                <w:sz w:val="20"/>
                <w:szCs w:val="20"/>
                <w:lang w:eastAsia="en-GB" w:bidi="ar-SA"/>
              </w:rPr>
            </w:pPr>
            <w:r w:rsidRPr="00B364CB">
              <w:rPr>
                <w:rFonts w:ascii="Calibri" w:hAnsi="Calibri" w:cs="Calibri"/>
                <w:sz w:val="20"/>
                <w:szCs w:val="20"/>
                <w:lang w:eastAsia="en-GB" w:bidi="ar-SA"/>
              </w:rPr>
              <w:t>No</w:t>
            </w:r>
          </w:p>
        </w:tc>
        <w:tc>
          <w:tcPr>
            <w:tcW w:w="468" w:type="pct"/>
            <w:vAlign w:val="center"/>
          </w:tcPr>
          <w:p w14:paraId="08ECF8D8" w14:textId="77777777" w:rsidR="009D0C2E" w:rsidRPr="00B364CB" w:rsidRDefault="009D0C2E" w:rsidP="009D0C2E">
            <w:pPr>
              <w:widowControl/>
              <w:jc w:val="center"/>
              <w:rPr>
                <w:rFonts w:cs="Arial"/>
                <w:sz w:val="20"/>
                <w:szCs w:val="20"/>
              </w:rPr>
            </w:pPr>
            <w:r w:rsidRPr="00B364CB">
              <w:rPr>
                <w:rFonts w:cs="Arial"/>
                <w:sz w:val="20"/>
                <w:szCs w:val="20"/>
              </w:rPr>
              <w:t>1,300</w:t>
            </w:r>
          </w:p>
        </w:tc>
        <w:tc>
          <w:tcPr>
            <w:tcW w:w="469" w:type="pct"/>
            <w:vAlign w:val="center"/>
          </w:tcPr>
          <w:p w14:paraId="06133018"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9,000</w:t>
            </w:r>
          </w:p>
        </w:tc>
        <w:tc>
          <w:tcPr>
            <w:tcW w:w="468" w:type="pct"/>
            <w:vAlign w:val="center"/>
          </w:tcPr>
          <w:p w14:paraId="2928AFFC"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4,000</w:t>
            </w:r>
          </w:p>
        </w:tc>
        <w:tc>
          <w:tcPr>
            <w:tcW w:w="469" w:type="pct"/>
            <w:shd w:val="clear" w:color="auto" w:fill="auto"/>
            <w:vAlign w:val="center"/>
          </w:tcPr>
          <w:p w14:paraId="18F410EB"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3,000</w:t>
            </w:r>
          </w:p>
        </w:tc>
        <w:tc>
          <w:tcPr>
            <w:tcW w:w="547" w:type="pct"/>
            <w:vAlign w:val="center"/>
          </w:tcPr>
          <w:p w14:paraId="6639CDF4" w14:textId="77777777" w:rsidR="009D0C2E" w:rsidRPr="00B364CB" w:rsidRDefault="009D0C2E" w:rsidP="009D0C2E">
            <w:pPr>
              <w:widowControl/>
              <w:jc w:val="center"/>
              <w:rPr>
                <w:rFonts w:cs="Arial"/>
                <w:sz w:val="20"/>
                <w:szCs w:val="20"/>
              </w:rPr>
            </w:pPr>
            <w:r w:rsidRPr="00B364CB">
              <w:rPr>
                <w:rFonts w:cs="Arial"/>
                <w:sz w:val="20"/>
                <w:szCs w:val="20"/>
              </w:rPr>
              <w:t>23,000</w:t>
            </w:r>
          </w:p>
        </w:tc>
        <w:tc>
          <w:tcPr>
            <w:tcW w:w="547" w:type="pct"/>
            <w:shd w:val="clear" w:color="auto" w:fill="auto"/>
            <w:vAlign w:val="center"/>
          </w:tcPr>
          <w:p w14:paraId="529EE78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12,000</w:t>
            </w:r>
          </w:p>
        </w:tc>
        <w:tc>
          <w:tcPr>
            <w:tcW w:w="469" w:type="pct"/>
            <w:shd w:val="clear" w:color="auto" w:fill="auto"/>
            <w:vAlign w:val="center"/>
          </w:tcPr>
          <w:p w14:paraId="3524F05F"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11,000</w:t>
            </w:r>
          </w:p>
        </w:tc>
      </w:tr>
      <w:tr w:rsidR="009D0C2E" w:rsidRPr="00B364CB" w14:paraId="41EDE800" w14:textId="77777777" w:rsidTr="00120F40">
        <w:trPr>
          <w:trHeight w:val="276"/>
        </w:trPr>
        <w:tc>
          <w:tcPr>
            <w:tcW w:w="235" w:type="pct"/>
            <w:shd w:val="clear" w:color="auto" w:fill="auto"/>
            <w:vAlign w:val="center"/>
            <w:hideMark/>
          </w:tcPr>
          <w:p w14:paraId="0979AFF5"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2</w:t>
            </w:r>
          </w:p>
        </w:tc>
        <w:tc>
          <w:tcPr>
            <w:tcW w:w="937" w:type="pct"/>
            <w:shd w:val="clear" w:color="auto" w:fill="auto"/>
            <w:vAlign w:val="center"/>
          </w:tcPr>
          <w:p w14:paraId="1C5FF10B" w14:textId="77777777" w:rsidR="009D0C2E" w:rsidRPr="00B364CB" w:rsidRDefault="009D0C2E" w:rsidP="009D0C2E">
            <w:pPr>
              <w:widowControl/>
              <w:rPr>
                <w:rFonts w:cs="Arial"/>
                <w:sz w:val="20"/>
                <w:szCs w:val="20"/>
                <w:lang w:eastAsia="en-GB" w:bidi="ar-SA"/>
              </w:rPr>
            </w:pPr>
            <w:r w:rsidRPr="00B364CB">
              <w:rPr>
                <w:rFonts w:cs="Arial"/>
                <w:sz w:val="20"/>
                <w:szCs w:val="20"/>
                <w:lang w:eastAsia="en-GB" w:bidi="ar-SA"/>
              </w:rPr>
              <w:t xml:space="preserve">Trained professionals </w:t>
            </w:r>
          </w:p>
        </w:tc>
        <w:tc>
          <w:tcPr>
            <w:tcW w:w="391" w:type="pct"/>
            <w:shd w:val="clear" w:color="auto" w:fill="auto"/>
            <w:vAlign w:val="center"/>
          </w:tcPr>
          <w:p w14:paraId="27AEFED3" w14:textId="77777777" w:rsidR="009D0C2E" w:rsidRPr="00B364CB" w:rsidRDefault="009D0C2E" w:rsidP="009D0C2E">
            <w:pPr>
              <w:widowControl/>
              <w:jc w:val="center"/>
              <w:rPr>
                <w:rFonts w:ascii="Calibri" w:hAnsi="Calibri" w:cs="Calibri"/>
                <w:sz w:val="20"/>
                <w:szCs w:val="20"/>
                <w:lang w:eastAsia="en-GB" w:bidi="ar-SA"/>
              </w:rPr>
            </w:pPr>
            <w:r w:rsidRPr="00B364CB">
              <w:rPr>
                <w:rFonts w:ascii="Calibri" w:hAnsi="Calibri" w:cs="Calibri"/>
                <w:sz w:val="20"/>
                <w:szCs w:val="20"/>
                <w:lang w:eastAsia="en-GB" w:bidi="ar-SA"/>
              </w:rPr>
              <w:t>No</w:t>
            </w:r>
          </w:p>
        </w:tc>
        <w:tc>
          <w:tcPr>
            <w:tcW w:w="468" w:type="pct"/>
            <w:vAlign w:val="center"/>
          </w:tcPr>
          <w:p w14:paraId="7F72B798" w14:textId="77777777" w:rsidR="009D0C2E" w:rsidRPr="00B364CB" w:rsidRDefault="009D0C2E" w:rsidP="009D0C2E">
            <w:pPr>
              <w:widowControl/>
              <w:jc w:val="center"/>
              <w:rPr>
                <w:rFonts w:cs="Arial"/>
                <w:sz w:val="20"/>
                <w:szCs w:val="20"/>
              </w:rPr>
            </w:pPr>
            <w:r w:rsidRPr="00B364CB">
              <w:rPr>
                <w:rFonts w:cs="Arial"/>
                <w:sz w:val="20"/>
                <w:szCs w:val="20"/>
              </w:rPr>
              <w:t>1,000</w:t>
            </w:r>
          </w:p>
        </w:tc>
        <w:tc>
          <w:tcPr>
            <w:tcW w:w="469" w:type="pct"/>
            <w:vAlign w:val="center"/>
          </w:tcPr>
          <w:p w14:paraId="6EFA4557"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50,000</w:t>
            </w:r>
          </w:p>
        </w:tc>
        <w:tc>
          <w:tcPr>
            <w:tcW w:w="468" w:type="pct"/>
            <w:vAlign w:val="center"/>
          </w:tcPr>
          <w:p w14:paraId="12431604"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7,500</w:t>
            </w:r>
          </w:p>
        </w:tc>
        <w:tc>
          <w:tcPr>
            <w:tcW w:w="469" w:type="pct"/>
            <w:shd w:val="clear" w:color="auto" w:fill="auto"/>
            <w:vAlign w:val="center"/>
          </w:tcPr>
          <w:p w14:paraId="32B05139"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5,000</w:t>
            </w:r>
          </w:p>
        </w:tc>
        <w:tc>
          <w:tcPr>
            <w:tcW w:w="547" w:type="pct"/>
            <w:vAlign w:val="center"/>
          </w:tcPr>
          <w:p w14:paraId="3128D345" w14:textId="77777777" w:rsidR="009D0C2E" w:rsidRPr="00B364CB" w:rsidRDefault="009D0C2E" w:rsidP="009D0C2E">
            <w:pPr>
              <w:widowControl/>
              <w:jc w:val="center"/>
              <w:rPr>
                <w:rFonts w:cs="Arial"/>
                <w:sz w:val="20"/>
                <w:szCs w:val="20"/>
              </w:rPr>
            </w:pPr>
            <w:r w:rsidRPr="00B364CB">
              <w:rPr>
                <w:rFonts w:cs="Arial"/>
                <w:sz w:val="20"/>
                <w:szCs w:val="20"/>
              </w:rPr>
              <w:t>120,000</w:t>
            </w:r>
          </w:p>
        </w:tc>
        <w:tc>
          <w:tcPr>
            <w:tcW w:w="547" w:type="pct"/>
            <w:shd w:val="clear" w:color="auto" w:fill="auto"/>
            <w:vAlign w:val="center"/>
          </w:tcPr>
          <w:p w14:paraId="063DD690" w14:textId="7B336825" w:rsidR="009D0C2E" w:rsidRPr="00B364CB" w:rsidRDefault="009D0C2E" w:rsidP="009D0C2E">
            <w:pPr>
              <w:widowControl/>
              <w:jc w:val="center"/>
              <w:rPr>
                <w:rFonts w:cs="Arial"/>
                <w:sz w:val="20"/>
                <w:szCs w:val="20"/>
                <w:lang w:eastAsia="en-GB" w:bidi="ar-SA"/>
              </w:rPr>
            </w:pPr>
            <w:r w:rsidRPr="00B364CB">
              <w:rPr>
                <w:rFonts w:cs="Arial"/>
                <w:sz w:val="20"/>
                <w:szCs w:val="20"/>
              </w:rPr>
              <w:t>40,000</w:t>
            </w:r>
          </w:p>
        </w:tc>
        <w:tc>
          <w:tcPr>
            <w:tcW w:w="469" w:type="pct"/>
            <w:shd w:val="clear" w:color="auto" w:fill="auto"/>
            <w:vAlign w:val="center"/>
          </w:tcPr>
          <w:p w14:paraId="0D5CF349"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20,000</w:t>
            </w:r>
          </w:p>
        </w:tc>
      </w:tr>
      <w:tr w:rsidR="009D0C2E" w:rsidRPr="00B364CB" w14:paraId="381D3FB3" w14:textId="77777777" w:rsidTr="00120F40">
        <w:trPr>
          <w:trHeight w:val="324"/>
        </w:trPr>
        <w:tc>
          <w:tcPr>
            <w:tcW w:w="235" w:type="pct"/>
            <w:shd w:val="clear" w:color="auto" w:fill="auto"/>
            <w:vAlign w:val="center"/>
            <w:hideMark/>
          </w:tcPr>
          <w:p w14:paraId="5EEA0F7B"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3</w:t>
            </w:r>
          </w:p>
        </w:tc>
        <w:tc>
          <w:tcPr>
            <w:tcW w:w="937" w:type="pct"/>
            <w:shd w:val="clear" w:color="auto" w:fill="auto"/>
            <w:vAlign w:val="center"/>
          </w:tcPr>
          <w:p w14:paraId="5460C676" w14:textId="77777777" w:rsidR="009D0C2E" w:rsidRPr="00B364CB" w:rsidRDefault="009D0C2E" w:rsidP="009D0C2E">
            <w:pPr>
              <w:widowControl/>
              <w:rPr>
                <w:rFonts w:cs="Arial"/>
                <w:sz w:val="20"/>
                <w:szCs w:val="20"/>
                <w:lang w:eastAsia="en-GB" w:bidi="ar-SA"/>
              </w:rPr>
            </w:pPr>
            <w:r w:rsidRPr="00B364CB">
              <w:rPr>
                <w:rFonts w:cs="Arial"/>
                <w:sz w:val="20"/>
                <w:szCs w:val="20"/>
                <w:lang w:eastAsia="en-GB" w:bidi="ar-SA"/>
              </w:rPr>
              <w:t>Universities/</w:t>
            </w:r>
          </w:p>
          <w:p w14:paraId="1FAA8279" w14:textId="77777777" w:rsidR="009D0C2E" w:rsidRPr="00B364CB" w:rsidRDefault="009D0C2E" w:rsidP="009D0C2E">
            <w:pPr>
              <w:widowControl/>
              <w:rPr>
                <w:rFonts w:cs="Arial"/>
                <w:sz w:val="20"/>
                <w:szCs w:val="20"/>
                <w:lang w:eastAsia="en-GB" w:bidi="ar-SA"/>
              </w:rPr>
            </w:pPr>
            <w:r w:rsidRPr="00B364CB">
              <w:rPr>
                <w:rFonts w:cs="Arial"/>
                <w:sz w:val="20"/>
                <w:szCs w:val="20"/>
                <w:lang w:eastAsia="en-GB" w:bidi="ar-SA"/>
              </w:rPr>
              <w:t xml:space="preserve">Institutes offering courses on hydrogen </w:t>
            </w:r>
          </w:p>
        </w:tc>
        <w:tc>
          <w:tcPr>
            <w:tcW w:w="391" w:type="pct"/>
            <w:shd w:val="clear" w:color="auto" w:fill="auto"/>
            <w:vAlign w:val="center"/>
          </w:tcPr>
          <w:p w14:paraId="6B5C1B1F" w14:textId="77777777" w:rsidR="009D0C2E" w:rsidRPr="00B364CB" w:rsidRDefault="009D0C2E" w:rsidP="009D0C2E">
            <w:pPr>
              <w:widowControl/>
              <w:jc w:val="center"/>
              <w:rPr>
                <w:rFonts w:ascii="Calibri" w:hAnsi="Calibri" w:cs="Calibri"/>
                <w:sz w:val="20"/>
                <w:szCs w:val="20"/>
                <w:lang w:eastAsia="en-GB" w:bidi="ar-SA"/>
              </w:rPr>
            </w:pPr>
            <w:r w:rsidRPr="00B364CB">
              <w:rPr>
                <w:rFonts w:ascii="Calibri" w:hAnsi="Calibri" w:cs="Calibri"/>
                <w:sz w:val="20"/>
                <w:szCs w:val="20"/>
                <w:lang w:eastAsia="en-GB" w:bidi="ar-SA"/>
              </w:rPr>
              <w:t>No</w:t>
            </w:r>
          </w:p>
          <w:p w14:paraId="478952D2" w14:textId="77777777" w:rsidR="009D0C2E" w:rsidRPr="00B364CB" w:rsidRDefault="009D0C2E" w:rsidP="009D0C2E">
            <w:pPr>
              <w:widowControl/>
              <w:jc w:val="center"/>
              <w:rPr>
                <w:rFonts w:cs="Arial"/>
                <w:sz w:val="20"/>
                <w:szCs w:val="20"/>
                <w:lang w:eastAsia="en-GB" w:bidi="ar-SA"/>
              </w:rPr>
            </w:pPr>
          </w:p>
        </w:tc>
        <w:tc>
          <w:tcPr>
            <w:tcW w:w="468" w:type="pct"/>
            <w:vAlign w:val="center"/>
          </w:tcPr>
          <w:p w14:paraId="7A3B251E" w14:textId="77777777" w:rsidR="009D0C2E" w:rsidRPr="00B364CB" w:rsidRDefault="009D0C2E" w:rsidP="009D0C2E">
            <w:pPr>
              <w:widowControl/>
              <w:jc w:val="center"/>
              <w:rPr>
                <w:rFonts w:cs="Arial"/>
                <w:sz w:val="20"/>
                <w:szCs w:val="20"/>
              </w:rPr>
            </w:pPr>
            <w:r w:rsidRPr="00B364CB">
              <w:rPr>
                <w:rFonts w:cs="Arial"/>
                <w:sz w:val="20"/>
                <w:szCs w:val="20"/>
              </w:rPr>
              <w:t>12</w:t>
            </w:r>
          </w:p>
        </w:tc>
        <w:tc>
          <w:tcPr>
            <w:tcW w:w="469" w:type="pct"/>
            <w:vAlign w:val="center"/>
          </w:tcPr>
          <w:p w14:paraId="4A0BE024"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300</w:t>
            </w:r>
          </w:p>
        </w:tc>
        <w:tc>
          <w:tcPr>
            <w:tcW w:w="468" w:type="pct"/>
            <w:vAlign w:val="center"/>
          </w:tcPr>
          <w:p w14:paraId="44A2A2D0"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100</w:t>
            </w:r>
          </w:p>
        </w:tc>
        <w:tc>
          <w:tcPr>
            <w:tcW w:w="469" w:type="pct"/>
            <w:shd w:val="clear" w:color="auto" w:fill="auto"/>
            <w:vAlign w:val="center"/>
          </w:tcPr>
          <w:p w14:paraId="2E4CE852"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40</w:t>
            </w:r>
          </w:p>
        </w:tc>
        <w:tc>
          <w:tcPr>
            <w:tcW w:w="547" w:type="pct"/>
            <w:vAlign w:val="center"/>
          </w:tcPr>
          <w:p w14:paraId="577954B3" w14:textId="77777777" w:rsidR="009D0C2E" w:rsidRPr="00B364CB" w:rsidRDefault="009D0C2E" w:rsidP="009D0C2E">
            <w:pPr>
              <w:widowControl/>
              <w:jc w:val="center"/>
              <w:rPr>
                <w:rFonts w:cs="Arial"/>
                <w:sz w:val="20"/>
                <w:szCs w:val="20"/>
              </w:rPr>
            </w:pPr>
            <w:r w:rsidRPr="00B364CB">
              <w:rPr>
                <w:rFonts w:cs="Arial"/>
                <w:sz w:val="20"/>
                <w:szCs w:val="20"/>
              </w:rPr>
              <w:t>550</w:t>
            </w:r>
          </w:p>
        </w:tc>
        <w:tc>
          <w:tcPr>
            <w:tcW w:w="547" w:type="pct"/>
            <w:shd w:val="clear" w:color="auto" w:fill="auto"/>
            <w:vAlign w:val="center"/>
          </w:tcPr>
          <w:p w14:paraId="64B338BB"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200</w:t>
            </w:r>
          </w:p>
        </w:tc>
        <w:tc>
          <w:tcPr>
            <w:tcW w:w="469" w:type="pct"/>
            <w:shd w:val="clear" w:color="auto" w:fill="auto"/>
            <w:vAlign w:val="center"/>
          </w:tcPr>
          <w:p w14:paraId="4A9458BE"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200</w:t>
            </w:r>
          </w:p>
        </w:tc>
      </w:tr>
    </w:tbl>
    <w:p w14:paraId="5521853A" w14:textId="77777777" w:rsidR="009D0C2E" w:rsidRPr="00B364CB" w:rsidRDefault="009D0C2E" w:rsidP="009D0C2E">
      <w:pPr>
        <w:rPr>
          <w:rFonts w:eastAsia="Arial"/>
          <w:lang w:bidi="ar-SA"/>
        </w:rPr>
      </w:pPr>
    </w:p>
    <w:p w14:paraId="0200DBB0"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75F8ABB4" w14:textId="7E2F566A"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 xml:space="preserve">(General) </w:t>
      </w:r>
      <w:r w:rsidR="001D12AA" w:rsidRPr="00C327E9">
        <w:rPr>
          <w:rFonts w:cstheme="minorHAnsi"/>
          <w:iCs/>
          <w:color w:val="auto"/>
          <w:sz w:val="16"/>
          <w:szCs w:val="16"/>
        </w:rPr>
        <w:t>Thes</w:t>
      </w:r>
      <w:r w:rsidR="001D12AA">
        <w:rPr>
          <w:rFonts w:cstheme="minorHAnsi"/>
          <w:iCs/>
          <w:color w:val="auto"/>
          <w:sz w:val="16"/>
          <w:szCs w:val="16"/>
        </w:rPr>
        <w:t>e KPI's consider</w:t>
      </w:r>
      <w:r w:rsidR="001D12AA" w:rsidRPr="00C327E9">
        <w:rPr>
          <w:rFonts w:cstheme="minorHAnsi"/>
          <w:iCs/>
          <w:color w:val="auto"/>
          <w:sz w:val="16"/>
          <w:szCs w:val="16"/>
        </w:rPr>
        <w:t xml:space="preserve"> different awar</w:t>
      </w:r>
      <w:r w:rsidR="001D12AA">
        <w:rPr>
          <w:rFonts w:cstheme="minorHAnsi"/>
          <w:iCs/>
          <w:color w:val="auto"/>
          <w:sz w:val="16"/>
          <w:szCs w:val="16"/>
        </w:rPr>
        <w:t>eness levels in the EU ba</w:t>
      </w:r>
      <w:r w:rsidR="001D12AA" w:rsidRPr="00C327E9">
        <w:rPr>
          <w:rFonts w:cstheme="minorHAnsi"/>
          <w:iCs/>
          <w:color w:val="auto"/>
          <w:sz w:val="16"/>
          <w:szCs w:val="16"/>
        </w:rPr>
        <w:t>sed on the HyLaw anal</w:t>
      </w:r>
      <w:r w:rsidR="001D12AA">
        <w:rPr>
          <w:rFonts w:cstheme="minorHAnsi"/>
          <w:iCs/>
          <w:color w:val="auto"/>
          <w:sz w:val="16"/>
          <w:szCs w:val="16"/>
        </w:rPr>
        <w:t>ysi</w:t>
      </w:r>
      <w:r w:rsidR="001D12AA" w:rsidRPr="00C327E9">
        <w:rPr>
          <w:rFonts w:cstheme="minorHAnsi"/>
          <w:iCs/>
          <w:color w:val="auto"/>
          <w:sz w:val="16"/>
          <w:szCs w:val="16"/>
        </w:rPr>
        <w:t>s, target are set for each of the 3 tiers</w:t>
      </w:r>
      <w:r w:rsidR="001D12AA">
        <w:rPr>
          <w:rFonts w:cstheme="minorHAnsi"/>
          <w:iCs/>
          <w:color w:val="auto"/>
          <w:sz w:val="16"/>
          <w:szCs w:val="16"/>
        </w:rPr>
        <w:t>:</w:t>
      </w:r>
    </w:p>
    <w:p w14:paraId="5FDFFE25" w14:textId="77777777" w:rsidR="009D0C2E" w:rsidRPr="00B364CB" w:rsidRDefault="009D0C2E" w:rsidP="002256F6">
      <w:pPr>
        <w:pStyle w:val="ListParagraph"/>
        <w:numPr>
          <w:ilvl w:val="0"/>
          <w:numId w:val="46"/>
        </w:numPr>
        <w:tabs>
          <w:tab w:val="left" w:pos="1805"/>
        </w:tabs>
        <w:spacing w:after="120"/>
        <w:jc w:val="both"/>
        <w:rPr>
          <w:rFonts w:ascii="Arial" w:hAnsi="Arial" w:cs="Arial"/>
          <w:iCs/>
          <w:sz w:val="16"/>
          <w:szCs w:val="16"/>
        </w:rPr>
      </w:pPr>
      <w:r w:rsidRPr="00B364CB">
        <w:rPr>
          <w:rFonts w:ascii="Arial" w:hAnsi="Arial" w:cs="Arial"/>
          <w:iCs/>
          <w:sz w:val="16"/>
          <w:szCs w:val="16"/>
        </w:rPr>
        <w:t>Tier 1 countries: Germany, Denmark, United Kingdom and France;</w:t>
      </w:r>
    </w:p>
    <w:p w14:paraId="2F25B59F" w14:textId="77777777" w:rsidR="009D0C2E" w:rsidRPr="00B364CB" w:rsidRDefault="009D0C2E" w:rsidP="002256F6">
      <w:pPr>
        <w:pStyle w:val="ListParagraph"/>
        <w:numPr>
          <w:ilvl w:val="0"/>
          <w:numId w:val="46"/>
        </w:numPr>
        <w:tabs>
          <w:tab w:val="left" w:pos="1805"/>
        </w:tabs>
        <w:spacing w:after="120"/>
        <w:jc w:val="both"/>
        <w:rPr>
          <w:rFonts w:ascii="Arial" w:hAnsi="Arial" w:cs="Arial"/>
          <w:iCs/>
          <w:sz w:val="16"/>
          <w:szCs w:val="16"/>
        </w:rPr>
      </w:pPr>
      <w:r w:rsidRPr="00B364CB">
        <w:rPr>
          <w:rFonts w:ascii="Arial" w:hAnsi="Arial" w:cs="Arial"/>
          <w:iCs/>
          <w:sz w:val="16"/>
          <w:szCs w:val="16"/>
        </w:rPr>
        <w:t>Tier 2 countries: Belgium, Netherlands, Austria, Sweden, Norway, Finland, Latvia, Spain and Italy;</w:t>
      </w:r>
    </w:p>
    <w:p w14:paraId="54B568FB" w14:textId="2EB76974" w:rsidR="009D0C2E" w:rsidRPr="00B364CB" w:rsidRDefault="009D0C2E" w:rsidP="002256F6">
      <w:pPr>
        <w:pStyle w:val="ListParagraph"/>
        <w:numPr>
          <w:ilvl w:val="0"/>
          <w:numId w:val="46"/>
        </w:numPr>
        <w:tabs>
          <w:tab w:val="left" w:pos="1805"/>
        </w:tabs>
        <w:spacing w:after="120"/>
        <w:jc w:val="both"/>
        <w:rPr>
          <w:rFonts w:ascii="Arial" w:hAnsi="Arial" w:cs="Arial"/>
          <w:iCs/>
          <w:sz w:val="16"/>
          <w:szCs w:val="16"/>
        </w:rPr>
      </w:pPr>
      <w:r w:rsidRPr="00B364CB">
        <w:rPr>
          <w:rFonts w:ascii="Arial" w:hAnsi="Arial" w:cs="Arial"/>
          <w:iCs/>
          <w:sz w:val="16"/>
          <w:szCs w:val="16"/>
        </w:rPr>
        <w:t>Tier 3 countries: rest of EU countries and associated countries</w:t>
      </w:r>
    </w:p>
    <w:p w14:paraId="4E894551"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KPI-1: Number of trained pupils (primary and secondary education).</w:t>
      </w:r>
    </w:p>
    <w:p w14:paraId="03350FFE" w14:textId="77777777"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KPI-2: Number of trained professionals (qualified workers, technicians and engineers).</w:t>
      </w:r>
    </w:p>
    <w:p w14:paraId="25B33567" w14:textId="67C1F59F" w:rsidR="009D0C2E" w:rsidRPr="00B364CB" w:rsidRDefault="009D0C2E" w:rsidP="009D0C2E">
      <w:pPr>
        <w:tabs>
          <w:tab w:val="left" w:pos="1805"/>
        </w:tabs>
        <w:spacing w:after="120"/>
        <w:jc w:val="both"/>
        <w:rPr>
          <w:rFonts w:cstheme="minorHAnsi"/>
          <w:iCs/>
          <w:color w:val="auto"/>
          <w:sz w:val="16"/>
          <w:szCs w:val="16"/>
        </w:rPr>
      </w:pPr>
      <w:r w:rsidRPr="00B364CB">
        <w:rPr>
          <w:rFonts w:cstheme="minorHAnsi"/>
          <w:iCs/>
          <w:color w:val="auto"/>
          <w:sz w:val="16"/>
          <w:szCs w:val="16"/>
        </w:rPr>
        <w:t>KPI-3: Number of educative centres and/or universities offering higher education course modules and/or fully dedicated educational programmes on hydrogen and/or fuel cells</w:t>
      </w:r>
      <w:r w:rsidR="0054287D" w:rsidRPr="0054287D">
        <w:rPr>
          <w:rFonts w:cstheme="minorHAnsi"/>
          <w:iCs/>
          <w:color w:val="auto"/>
          <w:sz w:val="16"/>
          <w:szCs w:val="16"/>
        </w:rPr>
        <w:t xml:space="preserve"> (included in existing curricula and not full academic diploma on hydrogen exclusively).</w:t>
      </w:r>
    </w:p>
    <w:p w14:paraId="671477C0" w14:textId="5D400855" w:rsidR="009D0C2E" w:rsidRPr="00B364CB" w:rsidRDefault="009D0C2E" w:rsidP="009D0C2E">
      <w:pPr>
        <w:ind w:right="15"/>
        <w:rPr>
          <w:rFonts w:cstheme="minorHAnsi"/>
          <w:iCs/>
          <w:color w:val="auto"/>
          <w:sz w:val="16"/>
          <w:szCs w:val="16"/>
        </w:rPr>
      </w:pPr>
    </w:p>
    <w:p w14:paraId="1742EE99" w14:textId="77777777" w:rsidR="009D0C2E" w:rsidRPr="00B364CB" w:rsidRDefault="009D0C2E" w:rsidP="009D0C2E">
      <w:pPr>
        <w:ind w:right="15"/>
        <w:rPr>
          <w:rFonts w:cstheme="minorHAnsi"/>
          <w:iCs/>
          <w:color w:val="auto"/>
          <w:sz w:val="16"/>
          <w:szCs w:val="16"/>
        </w:rPr>
      </w:pPr>
    </w:p>
    <w:p w14:paraId="7DC821FE" w14:textId="77777777" w:rsidR="009D0C2E" w:rsidRPr="00B364CB" w:rsidRDefault="009D0C2E" w:rsidP="009D0C2E">
      <w:pPr>
        <w:ind w:right="15"/>
        <w:rPr>
          <w:rFonts w:cstheme="minorHAnsi"/>
          <w:iCs/>
          <w:color w:val="auto"/>
          <w:sz w:val="16"/>
          <w:szCs w:val="16"/>
        </w:rPr>
      </w:pPr>
    </w:p>
    <w:p w14:paraId="01CD193E" w14:textId="77777777" w:rsidR="009D0C2E" w:rsidRPr="00B364CB" w:rsidRDefault="009D0C2E" w:rsidP="009D0C2E">
      <w:pPr>
        <w:ind w:right="15"/>
        <w:rPr>
          <w:rFonts w:cstheme="minorHAnsi"/>
          <w:iCs/>
          <w:color w:val="auto"/>
          <w:sz w:val="16"/>
          <w:szCs w:val="16"/>
        </w:rPr>
      </w:pPr>
    </w:p>
    <w:p w14:paraId="344E1EB0" w14:textId="77777777" w:rsidR="009D0C2E" w:rsidRPr="00B364CB" w:rsidRDefault="009D0C2E" w:rsidP="009D0C2E">
      <w:pPr>
        <w:ind w:right="15"/>
        <w:rPr>
          <w:rFonts w:cstheme="minorHAnsi"/>
          <w:iCs/>
          <w:color w:val="auto"/>
          <w:sz w:val="16"/>
          <w:szCs w:val="16"/>
        </w:rPr>
      </w:pPr>
    </w:p>
    <w:p w14:paraId="33FC2480" w14:textId="77777777" w:rsidR="009D0C2E" w:rsidRPr="00B364CB" w:rsidRDefault="009D0C2E" w:rsidP="009D0C2E">
      <w:pPr>
        <w:ind w:right="15"/>
        <w:rPr>
          <w:rFonts w:cstheme="minorHAnsi"/>
          <w:iCs/>
          <w:color w:val="auto"/>
          <w:sz w:val="16"/>
          <w:szCs w:val="16"/>
        </w:rPr>
      </w:pPr>
    </w:p>
    <w:p w14:paraId="6B1115D1" w14:textId="77777777" w:rsidR="009D0C2E" w:rsidRPr="00B364CB" w:rsidRDefault="009D0C2E" w:rsidP="009D0C2E">
      <w:pPr>
        <w:ind w:right="15"/>
        <w:rPr>
          <w:rFonts w:cstheme="minorHAnsi"/>
          <w:iCs/>
          <w:color w:val="auto"/>
          <w:sz w:val="16"/>
          <w:szCs w:val="16"/>
        </w:rPr>
      </w:pPr>
    </w:p>
    <w:p w14:paraId="4FB0A8E4" w14:textId="3ED4F084" w:rsidR="009D0C2E" w:rsidRPr="00B364CB" w:rsidRDefault="009D0C2E" w:rsidP="009D0C2E">
      <w:pPr>
        <w:rPr>
          <w:rFonts w:asciiTheme="minorHAnsi" w:eastAsiaTheme="minorHAnsi" w:hAnsiTheme="minorHAnsi" w:cstheme="minorBidi"/>
          <w:i/>
          <w:iCs/>
          <w:color w:val="1F497D" w:themeColor="text2"/>
          <w:sz w:val="24"/>
          <w:szCs w:val="18"/>
          <w:u w:val="single"/>
          <w:lang w:bidi="ar-SA"/>
        </w:rPr>
      </w:pPr>
      <w:r w:rsidRPr="00B364CB">
        <w:rPr>
          <w:rFonts w:asciiTheme="minorHAnsi" w:eastAsiaTheme="minorHAnsi" w:hAnsiTheme="minorHAnsi" w:cstheme="minorBidi"/>
          <w:i/>
          <w:iCs/>
          <w:color w:val="1F497D" w:themeColor="text2"/>
          <w:sz w:val="24"/>
          <w:szCs w:val="18"/>
          <w:u w:val="single"/>
          <w:lang w:bidi="ar-SA"/>
        </w:rPr>
        <w:t xml:space="preserve">Table </w:t>
      </w:r>
      <w:r w:rsidRPr="00B364CB">
        <w:rPr>
          <w:rFonts w:asciiTheme="minorHAnsi" w:eastAsiaTheme="minorHAnsi" w:hAnsiTheme="minorHAnsi" w:cstheme="minorBidi"/>
          <w:i/>
          <w:iCs/>
          <w:color w:val="1F497D" w:themeColor="text2"/>
          <w:sz w:val="24"/>
          <w:szCs w:val="18"/>
          <w:u w:val="single"/>
          <w:lang w:bidi="ar-SA"/>
        </w:rPr>
        <w:fldChar w:fldCharType="begin"/>
      </w:r>
      <w:r w:rsidRPr="00B364CB">
        <w:rPr>
          <w:rFonts w:asciiTheme="minorHAnsi" w:eastAsiaTheme="minorHAnsi" w:hAnsiTheme="minorHAnsi" w:cstheme="minorBidi"/>
          <w:i/>
          <w:iCs/>
          <w:color w:val="1F497D" w:themeColor="text2"/>
          <w:sz w:val="24"/>
          <w:szCs w:val="18"/>
          <w:u w:val="single"/>
          <w:lang w:bidi="ar-SA"/>
        </w:rPr>
        <w:instrText xml:space="preserve"> SEQ Table \* ARABIC </w:instrText>
      </w:r>
      <w:r w:rsidRPr="00B364CB">
        <w:rPr>
          <w:rFonts w:asciiTheme="minorHAnsi" w:eastAsiaTheme="minorHAnsi" w:hAnsiTheme="minorHAnsi" w:cstheme="minorBidi"/>
          <w:i/>
          <w:iCs/>
          <w:color w:val="1F497D" w:themeColor="text2"/>
          <w:sz w:val="24"/>
          <w:szCs w:val="18"/>
          <w:u w:val="single"/>
          <w:lang w:bidi="ar-SA"/>
        </w:rPr>
        <w:fldChar w:fldCharType="separate"/>
      </w:r>
      <w:r w:rsidR="00797920">
        <w:rPr>
          <w:rFonts w:asciiTheme="minorHAnsi" w:eastAsiaTheme="minorHAnsi" w:hAnsiTheme="minorHAnsi" w:cstheme="minorBidi"/>
          <w:i/>
          <w:iCs/>
          <w:noProof/>
          <w:color w:val="1F497D" w:themeColor="text2"/>
          <w:sz w:val="24"/>
          <w:szCs w:val="18"/>
          <w:u w:val="single"/>
          <w:lang w:bidi="ar-SA"/>
        </w:rPr>
        <w:t>25</w:t>
      </w:r>
      <w:r w:rsidRPr="00B364CB">
        <w:rPr>
          <w:rFonts w:asciiTheme="minorHAnsi" w:eastAsiaTheme="minorHAnsi" w:hAnsiTheme="minorHAnsi" w:cstheme="minorBidi"/>
          <w:i/>
          <w:iCs/>
          <w:color w:val="1F497D" w:themeColor="text2"/>
          <w:sz w:val="24"/>
          <w:szCs w:val="18"/>
          <w:u w:val="single"/>
          <w:lang w:bidi="ar-SA"/>
        </w:rPr>
        <w:fldChar w:fldCharType="end"/>
      </w:r>
      <w:r w:rsidRPr="00B364CB">
        <w:rPr>
          <w:rFonts w:asciiTheme="minorHAnsi" w:eastAsiaTheme="minorHAnsi" w:hAnsiTheme="minorHAnsi" w:cstheme="minorBidi"/>
          <w:i/>
          <w:iCs/>
          <w:color w:val="1F497D" w:themeColor="text2"/>
          <w:sz w:val="24"/>
          <w:szCs w:val="18"/>
          <w:u w:val="single"/>
          <w:lang w:bidi="ar-SA"/>
        </w:rPr>
        <w:t>: KPIs for Safety, PNR &amp; RCS</w:t>
      </w:r>
    </w:p>
    <w:p w14:paraId="474C06AC" w14:textId="77777777" w:rsidR="009D0C2E" w:rsidRPr="00B364CB" w:rsidRDefault="009D0C2E" w:rsidP="009D0C2E">
      <w:pPr>
        <w:rPr>
          <w:rFonts w:asciiTheme="minorHAnsi" w:eastAsiaTheme="minorHAnsi" w:hAnsiTheme="minorHAnsi" w:cstheme="minorBidi"/>
          <w:i/>
          <w:iCs/>
          <w:color w:val="1F497D" w:themeColor="text2"/>
          <w:sz w:val="24"/>
          <w:szCs w:val="18"/>
          <w:u w:val="single"/>
          <w:lang w:bidi="ar-SA"/>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111"/>
        <w:gridCol w:w="3680"/>
        <w:gridCol w:w="1441"/>
        <w:gridCol w:w="960"/>
        <w:gridCol w:w="960"/>
        <w:gridCol w:w="958"/>
      </w:tblGrid>
      <w:tr w:rsidR="009D0C2E" w:rsidRPr="00B364CB" w14:paraId="4EE62896" w14:textId="77777777" w:rsidTr="00120F40">
        <w:trPr>
          <w:trHeight w:val="315"/>
        </w:trPr>
        <w:tc>
          <w:tcPr>
            <w:tcW w:w="609" w:type="pct"/>
            <w:vMerge w:val="restart"/>
            <w:shd w:val="clear" w:color="auto" w:fill="BFBFBF" w:themeFill="background1" w:themeFillShade="BF"/>
            <w:vAlign w:val="center"/>
            <w:hideMark/>
          </w:tcPr>
          <w:p w14:paraId="4AA8D824"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No</w:t>
            </w:r>
          </w:p>
        </w:tc>
        <w:tc>
          <w:tcPr>
            <w:tcW w:w="2020" w:type="pct"/>
            <w:vMerge w:val="restart"/>
            <w:shd w:val="clear" w:color="auto" w:fill="BFBFBF" w:themeFill="background1" w:themeFillShade="BF"/>
            <w:vAlign w:val="center"/>
            <w:hideMark/>
          </w:tcPr>
          <w:p w14:paraId="4A78A6E2" w14:textId="77777777" w:rsidR="009D0C2E" w:rsidRPr="00B364CB" w:rsidRDefault="009D0C2E" w:rsidP="009D0C2E">
            <w:pPr>
              <w:widowControl/>
              <w:ind w:firstLineChars="600" w:firstLine="1200"/>
              <w:rPr>
                <w:rFonts w:cs="Arial"/>
                <w:b/>
                <w:bCs/>
                <w:sz w:val="20"/>
                <w:szCs w:val="20"/>
                <w:lang w:eastAsia="en-GB" w:bidi="ar-SA"/>
              </w:rPr>
            </w:pPr>
            <w:r w:rsidRPr="00B364CB">
              <w:rPr>
                <w:rFonts w:cs="Arial"/>
                <w:b/>
                <w:bCs/>
                <w:sz w:val="20"/>
                <w:szCs w:val="20"/>
                <w:lang w:eastAsia="en-GB" w:bidi="ar-SA"/>
              </w:rPr>
              <w:t>Parameter</w:t>
            </w:r>
          </w:p>
        </w:tc>
        <w:tc>
          <w:tcPr>
            <w:tcW w:w="791" w:type="pct"/>
            <w:vMerge w:val="restart"/>
            <w:shd w:val="clear" w:color="auto" w:fill="BFBFBF" w:themeFill="background1" w:themeFillShade="BF"/>
            <w:vAlign w:val="center"/>
            <w:hideMark/>
          </w:tcPr>
          <w:p w14:paraId="11A702B9"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Unit</w:t>
            </w:r>
          </w:p>
        </w:tc>
        <w:tc>
          <w:tcPr>
            <w:tcW w:w="527" w:type="pct"/>
            <w:shd w:val="clear" w:color="auto" w:fill="BFBFBF" w:themeFill="background1" w:themeFillShade="BF"/>
            <w:vAlign w:val="center"/>
          </w:tcPr>
          <w:p w14:paraId="4F2025C8"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SoA</w:t>
            </w:r>
          </w:p>
        </w:tc>
        <w:tc>
          <w:tcPr>
            <w:tcW w:w="1053" w:type="pct"/>
            <w:gridSpan w:val="2"/>
            <w:shd w:val="clear" w:color="auto" w:fill="BFBFBF" w:themeFill="background1" w:themeFillShade="BF"/>
          </w:tcPr>
          <w:p w14:paraId="1F565ACD"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Targets</w:t>
            </w:r>
          </w:p>
        </w:tc>
      </w:tr>
      <w:tr w:rsidR="009D0C2E" w:rsidRPr="00B364CB" w14:paraId="672DB1FD" w14:textId="77777777" w:rsidTr="00120F40">
        <w:trPr>
          <w:trHeight w:val="468"/>
        </w:trPr>
        <w:tc>
          <w:tcPr>
            <w:tcW w:w="609" w:type="pct"/>
            <w:vMerge/>
            <w:tcBorders>
              <w:bottom w:val="single" w:sz="8" w:space="0" w:color="000000"/>
            </w:tcBorders>
            <w:shd w:val="clear" w:color="auto" w:fill="BFBFBF" w:themeFill="background1" w:themeFillShade="BF"/>
            <w:vAlign w:val="center"/>
            <w:hideMark/>
          </w:tcPr>
          <w:p w14:paraId="6EAFF295" w14:textId="77777777" w:rsidR="009D0C2E" w:rsidRPr="00B364CB" w:rsidRDefault="009D0C2E" w:rsidP="009D0C2E">
            <w:pPr>
              <w:widowControl/>
              <w:jc w:val="center"/>
              <w:rPr>
                <w:rFonts w:cs="Arial"/>
                <w:b/>
                <w:bCs/>
                <w:sz w:val="20"/>
                <w:szCs w:val="20"/>
                <w:lang w:eastAsia="en-GB" w:bidi="ar-SA"/>
              </w:rPr>
            </w:pPr>
          </w:p>
        </w:tc>
        <w:tc>
          <w:tcPr>
            <w:tcW w:w="2020" w:type="pct"/>
            <w:vMerge/>
            <w:tcBorders>
              <w:bottom w:val="single" w:sz="8" w:space="0" w:color="000000"/>
            </w:tcBorders>
            <w:shd w:val="clear" w:color="auto" w:fill="BFBFBF" w:themeFill="background1" w:themeFillShade="BF"/>
            <w:vAlign w:val="center"/>
            <w:hideMark/>
          </w:tcPr>
          <w:p w14:paraId="6EFA3423" w14:textId="77777777" w:rsidR="009D0C2E" w:rsidRPr="00B364CB" w:rsidRDefault="009D0C2E" w:rsidP="009D0C2E">
            <w:pPr>
              <w:widowControl/>
              <w:jc w:val="center"/>
              <w:rPr>
                <w:rFonts w:cs="Arial"/>
                <w:b/>
                <w:bCs/>
                <w:sz w:val="20"/>
                <w:szCs w:val="20"/>
                <w:lang w:eastAsia="en-GB" w:bidi="ar-SA"/>
              </w:rPr>
            </w:pPr>
          </w:p>
        </w:tc>
        <w:tc>
          <w:tcPr>
            <w:tcW w:w="791" w:type="pct"/>
            <w:vMerge/>
            <w:tcBorders>
              <w:bottom w:val="single" w:sz="8" w:space="0" w:color="000000"/>
            </w:tcBorders>
            <w:shd w:val="clear" w:color="auto" w:fill="BFBFBF" w:themeFill="background1" w:themeFillShade="BF"/>
            <w:vAlign w:val="center"/>
            <w:hideMark/>
          </w:tcPr>
          <w:p w14:paraId="0FAF2638" w14:textId="77777777" w:rsidR="009D0C2E" w:rsidRPr="00B364CB" w:rsidRDefault="009D0C2E" w:rsidP="009D0C2E">
            <w:pPr>
              <w:widowControl/>
              <w:jc w:val="center"/>
              <w:rPr>
                <w:rFonts w:cs="Arial"/>
                <w:b/>
                <w:bCs/>
                <w:sz w:val="20"/>
                <w:szCs w:val="20"/>
                <w:lang w:eastAsia="en-GB" w:bidi="ar-SA"/>
              </w:rPr>
            </w:pPr>
          </w:p>
        </w:tc>
        <w:tc>
          <w:tcPr>
            <w:tcW w:w="527" w:type="pct"/>
            <w:tcBorders>
              <w:bottom w:val="single" w:sz="8" w:space="0" w:color="000000"/>
            </w:tcBorders>
            <w:shd w:val="clear" w:color="auto" w:fill="BFBFBF" w:themeFill="background1" w:themeFillShade="BF"/>
            <w:vAlign w:val="center"/>
          </w:tcPr>
          <w:p w14:paraId="4D59DD6D"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2020</w:t>
            </w:r>
          </w:p>
        </w:tc>
        <w:tc>
          <w:tcPr>
            <w:tcW w:w="527" w:type="pct"/>
            <w:tcBorders>
              <w:bottom w:val="single" w:sz="8" w:space="0" w:color="000000"/>
            </w:tcBorders>
            <w:shd w:val="clear" w:color="auto" w:fill="BFBFBF" w:themeFill="background1" w:themeFillShade="BF"/>
            <w:vAlign w:val="center"/>
          </w:tcPr>
          <w:p w14:paraId="0B908973"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2024</w:t>
            </w:r>
          </w:p>
        </w:tc>
        <w:tc>
          <w:tcPr>
            <w:tcW w:w="527" w:type="pct"/>
            <w:tcBorders>
              <w:bottom w:val="single" w:sz="8" w:space="0" w:color="000000"/>
            </w:tcBorders>
            <w:shd w:val="clear" w:color="auto" w:fill="BFBFBF" w:themeFill="background1" w:themeFillShade="BF"/>
            <w:vAlign w:val="center"/>
          </w:tcPr>
          <w:p w14:paraId="42F5B501" w14:textId="77777777" w:rsidR="009D0C2E" w:rsidRPr="00B364CB" w:rsidRDefault="009D0C2E" w:rsidP="009D0C2E">
            <w:pPr>
              <w:widowControl/>
              <w:jc w:val="center"/>
              <w:rPr>
                <w:rFonts w:cs="Arial"/>
                <w:b/>
                <w:bCs/>
                <w:sz w:val="20"/>
                <w:szCs w:val="20"/>
                <w:lang w:eastAsia="en-GB" w:bidi="ar-SA"/>
              </w:rPr>
            </w:pPr>
            <w:r w:rsidRPr="00B364CB">
              <w:rPr>
                <w:rFonts w:cs="Arial"/>
                <w:b/>
                <w:bCs/>
                <w:sz w:val="20"/>
                <w:szCs w:val="20"/>
                <w:lang w:eastAsia="en-GB" w:bidi="ar-SA"/>
              </w:rPr>
              <w:t>2030</w:t>
            </w:r>
          </w:p>
        </w:tc>
      </w:tr>
      <w:tr w:rsidR="009D0C2E" w:rsidRPr="00B364CB" w14:paraId="57E1F348" w14:textId="77777777" w:rsidTr="00120F40">
        <w:trPr>
          <w:trHeight w:val="315"/>
        </w:trPr>
        <w:tc>
          <w:tcPr>
            <w:tcW w:w="609" w:type="pct"/>
            <w:shd w:val="clear" w:color="auto" w:fill="auto"/>
            <w:vAlign w:val="center"/>
            <w:hideMark/>
          </w:tcPr>
          <w:p w14:paraId="5F1233D0" w14:textId="77777777" w:rsidR="009D0C2E" w:rsidRPr="00B364CB" w:rsidRDefault="009D0C2E" w:rsidP="009D0C2E">
            <w:pPr>
              <w:widowControl/>
              <w:jc w:val="center"/>
              <w:rPr>
                <w:rFonts w:cs="Arial"/>
                <w:sz w:val="20"/>
                <w:szCs w:val="20"/>
                <w:lang w:eastAsia="en-GB" w:bidi="ar-SA"/>
              </w:rPr>
            </w:pPr>
            <w:r w:rsidRPr="00B364CB">
              <w:rPr>
                <w:sz w:val="20"/>
                <w:szCs w:val="20"/>
              </w:rPr>
              <w:t>1</w:t>
            </w:r>
          </w:p>
        </w:tc>
        <w:tc>
          <w:tcPr>
            <w:tcW w:w="2020" w:type="pct"/>
            <w:shd w:val="clear" w:color="auto" w:fill="auto"/>
            <w:vAlign w:val="center"/>
          </w:tcPr>
          <w:p w14:paraId="585AAAE5" w14:textId="77777777" w:rsidR="009D0C2E" w:rsidRPr="00B364CB" w:rsidRDefault="009D0C2E" w:rsidP="009D0C2E">
            <w:pPr>
              <w:widowControl/>
              <w:jc w:val="center"/>
              <w:rPr>
                <w:rFonts w:cs="Arial"/>
                <w:sz w:val="20"/>
                <w:szCs w:val="20"/>
              </w:rPr>
            </w:pPr>
            <w:r w:rsidRPr="00B364CB">
              <w:rPr>
                <w:rFonts w:cs="Arial"/>
                <w:sz w:val="20"/>
                <w:szCs w:val="20"/>
                <w:lang w:eastAsia="en-GB" w:bidi="ar-SA"/>
              </w:rPr>
              <w:t>Projects with proactive safety management</w:t>
            </w:r>
          </w:p>
        </w:tc>
        <w:tc>
          <w:tcPr>
            <w:tcW w:w="791" w:type="pct"/>
            <w:shd w:val="clear" w:color="auto" w:fill="auto"/>
            <w:vAlign w:val="center"/>
          </w:tcPr>
          <w:p w14:paraId="295B087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527" w:type="pct"/>
            <w:vAlign w:val="center"/>
          </w:tcPr>
          <w:p w14:paraId="24602E3F" w14:textId="77777777" w:rsidR="009D0C2E" w:rsidRPr="00B364CB" w:rsidRDefault="009D0C2E" w:rsidP="009D0C2E">
            <w:pPr>
              <w:widowControl/>
              <w:jc w:val="center"/>
              <w:rPr>
                <w:rFonts w:cs="Arial"/>
                <w:sz w:val="20"/>
                <w:szCs w:val="20"/>
                <w:lang w:eastAsia="en-GB" w:bidi="ar-SA"/>
              </w:rPr>
            </w:pPr>
            <w:r w:rsidRPr="00B364CB">
              <w:rPr>
                <w:rFonts w:cs="Arial"/>
                <w:sz w:val="20"/>
                <w:szCs w:val="20"/>
              </w:rPr>
              <w:t>0</w:t>
            </w:r>
          </w:p>
        </w:tc>
        <w:tc>
          <w:tcPr>
            <w:tcW w:w="527" w:type="pct"/>
            <w:vAlign w:val="center"/>
          </w:tcPr>
          <w:p w14:paraId="18DAF424"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80</w:t>
            </w:r>
          </w:p>
        </w:tc>
        <w:tc>
          <w:tcPr>
            <w:tcW w:w="527" w:type="pct"/>
            <w:vAlign w:val="center"/>
          </w:tcPr>
          <w:p w14:paraId="22D4C6F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w:t>
            </w:r>
          </w:p>
        </w:tc>
      </w:tr>
      <w:tr w:rsidR="009D0C2E" w:rsidRPr="00B364CB" w14:paraId="4EBBEFA0" w14:textId="77777777" w:rsidTr="00120F40">
        <w:trPr>
          <w:trHeight w:val="315"/>
        </w:trPr>
        <w:tc>
          <w:tcPr>
            <w:tcW w:w="609" w:type="pct"/>
            <w:shd w:val="clear" w:color="auto" w:fill="auto"/>
            <w:vAlign w:val="center"/>
            <w:hideMark/>
          </w:tcPr>
          <w:p w14:paraId="123EED2C" w14:textId="77777777" w:rsidR="009D0C2E" w:rsidRPr="00B364CB" w:rsidRDefault="009D0C2E" w:rsidP="009D0C2E">
            <w:pPr>
              <w:widowControl/>
              <w:jc w:val="center"/>
              <w:rPr>
                <w:rFonts w:cs="Arial"/>
                <w:sz w:val="20"/>
                <w:szCs w:val="20"/>
                <w:lang w:eastAsia="en-GB" w:bidi="ar-SA"/>
              </w:rPr>
            </w:pPr>
            <w:r w:rsidRPr="00B364CB">
              <w:rPr>
                <w:sz w:val="20"/>
                <w:szCs w:val="20"/>
              </w:rPr>
              <w:t>2</w:t>
            </w:r>
          </w:p>
        </w:tc>
        <w:tc>
          <w:tcPr>
            <w:tcW w:w="2020" w:type="pct"/>
            <w:shd w:val="clear" w:color="auto" w:fill="auto"/>
            <w:vAlign w:val="center"/>
          </w:tcPr>
          <w:p w14:paraId="131D6690" w14:textId="77777777" w:rsidR="009D0C2E" w:rsidRPr="00B364CB" w:rsidRDefault="009D0C2E" w:rsidP="009D0C2E">
            <w:pPr>
              <w:widowControl/>
              <w:jc w:val="center"/>
              <w:rPr>
                <w:rFonts w:cs="Arial"/>
                <w:sz w:val="20"/>
                <w:szCs w:val="20"/>
              </w:rPr>
            </w:pPr>
            <w:r w:rsidRPr="00B364CB">
              <w:rPr>
                <w:rFonts w:cs="Arial"/>
                <w:sz w:val="20"/>
                <w:szCs w:val="20"/>
                <w:lang w:eastAsia="en-GB" w:bidi="ar-SA"/>
              </w:rPr>
              <w:t>Safety reporting</w:t>
            </w:r>
          </w:p>
        </w:tc>
        <w:tc>
          <w:tcPr>
            <w:tcW w:w="791" w:type="pct"/>
            <w:shd w:val="clear" w:color="auto" w:fill="auto"/>
            <w:vAlign w:val="center"/>
          </w:tcPr>
          <w:p w14:paraId="69F450E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w:t>
            </w:r>
          </w:p>
        </w:tc>
        <w:tc>
          <w:tcPr>
            <w:tcW w:w="527" w:type="pct"/>
            <w:vAlign w:val="center"/>
          </w:tcPr>
          <w:p w14:paraId="5CD12076"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w:t>
            </w:r>
          </w:p>
        </w:tc>
        <w:tc>
          <w:tcPr>
            <w:tcW w:w="527" w:type="pct"/>
            <w:vAlign w:val="center"/>
          </w:tcPr>
          <w:p w14:paraId="5DD72795"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80</w:t>
            </w:r>
          </w:p>
        </w:tc>
        <w:tc>
          <w:tcPr>
            <w:tcW w:w="527" w:type="pct"/>
            <w:vAlign w:val="center"/>
          </w:tcPr>
          <w:p w14:paraId="22165B5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100</w:t>
            </w:r>
          </w:p>
        </w:tc>
      </w:tr>
      <w:tr w:rsidR="009D0C2E" w:rsidRPr="00B364CB" w14:paraId="3AFEB1ED" w14:textId="77777777" w:rsidTr="00120F40">
        <w:trPr>
          <w:trHeight w:val="422"/>
        </w:trPr>
        <w:tc>
          <w:tcPr>
            <w:tcW w:w="609" w:type="pct"/>
            <w:shd w:val="clear" w:color="auto" w:fill="auto"/>
            <w:vAlign w:val="center"/>
            <w:hideMark/>
          </w:tcPr>
          <w:p w14:paraId="1AE4BC19"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3</w:t>
            </w:r>
          </w:p>
        </w:tc>
        <w:tc>
          <w:tcPr>
            <w:tcW w:w="2020" w:type="pct"/>
            <w:shd w:val="clear" w:color="auto" w:fill="auto"/>
            <w:vAlign w:val="center"/>
          </w:tcPr>
          <w:p w14:paraId="5410BEEE"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Safety, PNR/ RCS Workshops</w:t>
            </w:r>
          </w:p>
        </w:tc>
        <w:tc>
          <w:tcPr>
            <w:tcW w:w="791" w:type="pct"/>
            <w:shd w:val="clear" w:color="auto" w:fill="auto"/>
            <w:vAlign w:val="center"/>
          </w:tcPr>
          <w:p w14:paraId="2179A4F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No/ y</w:t>
            </w:r>
          </w:p>
        </w:tc>
        <w:tc>
          <w:tcPr>
            <w:tcW w:w="527" w:type="pct"/>
            <w:vAlign w:val="center"/>
          </w:tcPr>
          <w:p w14:paraId="52BACF9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c>
          <w:tcPr>
            <w:tcW w:w="527" w:type="pct"/>
            <w:vAlign w:val="center"/>
          </w:tcPr>
          <w:p w14:paraId="63BB3D6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2</w:t>
            </w:r>
          </w:p>
        </w:tc>
        <w:tc>
          <w:tcPr>
            <w:tcW w:w="527" w:type="pct"/>
            <w:vAlign w:val="center"/>
          </w:tcPr>
          <w:p w14:paraId="212F9F4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r>
      <w:tr w:rsidR="009D0C2E" w:rsidRPr="00B364CB" w14:paraId="2C993652" w14:textId="77777777" w:rsidTr="00120F40">
        <w:trPr>
          <w:trHeight w:val="315"/>
        </w:trPr>
        <w:tc>
          <w:tcPr>
            <w:tcW w:w="609" w:type="pct"/>
            <w:shd w:val="clear" w:color="auto" w:fill="auto"/>
            <w:vAlign w:val="center"/>
          </w:tcPr>
          <w:p w14:paraId="57FC94FB"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4</w:t>
            </w:r>
          </w:p>
        </w:tc>
        <w:tc>
          <w:tcPr>
            <w:tcW w:w="2020" w:type="pct"/>
            <w:shd w:val="clear" w:color="auto" w:fill="auto"/>
            <w:vAlign w:val="center"/>
          </w:tcPr>
          <w:p w14:paraId="0FEC50C1"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Impact on standards at scope</w:t>
            </w:r>
          </w:p>
        </w:tc>
        <w:tc>
          <w:tcPr>
            <w:tcW w:w="791" w:type="pct"/>
            <w:shd w:val="clear" w:color="auto" w:fill="auto"/>
            <w:vAlign w:val="center"/>
          </w:tcPr>
          <w:p w14:paraId="77E2C15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No/ project</w:t>
            </w:r>
          </w:p>
        </w:tc>
        <w:tc>
          <w:tcPr>
            <w:tcW w:w="527" w:type="pct"/>
            <w:vAlign w:val="center"/>
          </w:tcPr>
          <w:p w14:paraId="512046E0"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0.6</w:t>
            </w:r>
          </w:p>
        </w:tc>
        <w:tc>
          <w:tcPr>
            <w:tcW w:w="527" w:type="pct"/>
            <w:vAlign w:val="center"/>
          </w:tcPr>
          <w:p w14:paraId="5E4BED98"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0.9</w:t>
            </w:r>
          </w:p>
        </w:tc>
        <w:tc>
          <w:tcPr>
            <w:tcW w:w="527" w:type="pct"/>
            <w:vAlign w:val="center"/>
          </w:tcPr>
          <w:p w14:paraId="21E6C17A" w14:textId="77777777" w:rsidR="009D0C2E" w:rsidRPr="00B364CB" w:rsidRDefault="009D0C2E" w:rsidP="009D0C2E">
            <w:pPr>
              <w:widowControl/>
              <w:jc w:val="center"/>
              <w:rPr>
                <w:rFonts w:cs="Arial"/>
                <w:sz w:val="20"/>
                <w:szCs w:val="20"/>
                <w:lang w:eastAsia="en-GB" w:bidi="ar-SA"/>
              </w:rPr>
            </w:pPr>
            <w:r w:rsidRPr="00B364CB">
              <w:rPr>
                <w:rFonts w:cs="Arial"/>
                <w:sz w:val="20"/>
                <w:szCs w:val="20"/>
                <w:lang w:eastAsia="en-GB" w:bidi="ar-SA"/>
              </w:rPr>
              <w:t>1</w:t>
            </w:r>
          </w:p>
        </w:tc>
      </w:tr>
    </w:tbl>
    <w:p w14:paraId="0CC5A8D5" w14:textId="77777777" w:rsidR="009D0C2E" w:rsidRPr="00B364CB" w:rsidRDefault="009D0C2E" w:rsidP="009D0C2E">
      <w:pPr>
        <w:rPr>
          <w:rFonts w:asciiTheme="minorHAnsi" w:eastAsiaTheme="minorHAnsi" w:hAnsiTheme="minorHAnsi" w:cstheme="minorBidi"/>
          <w:i/>
          <w:iCs/>
          <w:color w:val="1F497D" w:themeColor="text2"/>
          <w:sz w:val="24"/>
          <w:szCs w:val="18"/>
          <w:u w:val="single"/>
          <w:lang w:bidi="ar-SA"/>
        </w:rPr>
      </w:pPr>
    </w:p>
    <w:p w14:paraId="64218779" w14:textId="77777777" w:rsidR="009D0C2E" w:rsidRPr="00B364CB" w:rsidRDefault="009D0C2E" w:rsidP="009D0C2E">
      <w:pPr>
        <w:tabs>
          <w:tab w:val="left" w:pos="1805"/>
        </w:tabs>
        <w:spacing w:after="120"/>
        <w:jc w:val="both"/>
        <w:rPr>
          <w:rFonts w:cstheme="minorHAnsi"/>
          <w:b/>
          <w:iCs/>
          <w:color w:val="auto"/>
          <w:sz w:val="16"/>
          <w:szCs w:val="16"/>
          <w:u w:val="single"/>
        </w:rPr>
      </w:pPr>
      <w:r w:rsidRPr="00B364CB">
        <w:rPr>
          <w:rFonts w:cstheme="minorHAnsi"/>
          <w:b/>
          <w:iCs/>
          <w:color w:val="auto"/>
          <w:sz w:val="16"/>
          <w:szCs w:val="16"/>
          <w:u w:val="single"/>
        </w:rPr>
        <w:t>Notes:</w:t>
      </w:r>
    </w:p>
    <w:p w14:paraId="755718A0" w14:textId="77777777" w:rsidR="009D0C2E" w:rsidRPr="00B364CB" w:rsidRDefault="009D0C2E" w:rsidP="009D0C2E">
      <w:pPr>
        <w:pStyle w:val="CommentText"/>
        <w:spacing w:after="120"/>
        <w:jc w:val="both"/>
        <w:rPr>
          <w:rFonts w:cstheme="minorHAnsi"/>
          <w:iCs/>
          <w:color w:val="auto"/>
          <w:sz w:val="16"/>
          <w:szCs w:val="16"/>
        </w:rPr>
      </w:pPr>
      <w:r w:rsidRPr="00B364CB">
        <w:rPr>
          <w:rFonts w:cstheme="minorHAnsi"/>
          <w:iCs/>
          <w:color w:val="auto"/>
          <w:sz w:val="16"/>
          <w:szCs w:val="16"/>
        </w:rPr>
        <w:t>KPI-1: Critical projects with pro-active safety management, including a periodically reviewed safety plan, educational measures, monitoring, etc. in percentage. Critical projects will be identified by the European Hydrogen Safety Panel, which will also assess the project safety management.</w:t>
      </w:r>
    </w:p>
    <w:p w14:paraId="2958B301" w14:textId="77777777" w:rsidR="009D0C2E" w:rsidRPr="00B364CB" w:rsidRDefault="009D0C2E" w:rsidP="009D0C2E">
      <w:pPr>
        <w:jc w:val="both"/>
        <w:rPr>
          <w:rFonts w:cstheme="minorHAnsi"/>
          <w:iCs/>
          <w:color w:val="auto"/>
          <w:sz w:val="16"/>
          <w:szCs w:val="16"/>
        </w:rPr>
      </w:pPr>
      <w:r w:rsidRPr="00B364CB">
        <w:rPr>
          <w:rFonts w:cstheme="minorHAnsi"/>
          <w:iCs/>
          <w:color w:val="auto"/>
          <w:sz w:val="16"/>
          <w:szCs w:val="16"/>
        </w:rPr>
        <w:t>KPI-2: Projects reporting on safety (no events, near misses, incidents, accidents). Definitions of near-miss, incident, and accident according to EIGA document (INCIDENT/ACCIDENT INVESTIGATION AND ANALYSIS SAC Doc 90/13/E). Off-normal conditions to be reported in HIAD2.0 and/or HELLEN databases.</w:t>
      </w:r>
    </w:p>
    <w:p w14:paraId="4AD7F106" w14:textId="77777777" w:rsidR="009D0C2E" w:rsidRPr="00B364CB" w:rsidRDefault="009D0C2E" w:rsidP="009D0C2E">
      <w:pPr>
        <w:jc w:val="both"/>
        <w:rPr>
          <w:rFonts w:cstheme="minorHAnsi"/>
          <w:iCs/>
          <w:color w:val="auto"/>
          <w:sz w:val="16"/>
          <w:szCs w:val="16"/>
        </w:rPr>
      </w:pPr>
    </w:p>
    <w:p w14:paraId="59464DD7" w14:textId="77777777" w:rsidR="009D0C2E" w:rsidRPr="00B364CB" w:rsidRDefault="009D0C2E" w:rsidP="009D0C2E">
      <w:pPr>
        <w:jc w:val="both"/>
        <w:rPr>
          <w:rFonts w:cstheme="minorHAnsi"/>
          <w:iCs/>
          <w:color w:val="auto"/>
          <w:sz w:val="16"/>
          <w:szCs w:val="16"/>
        </w:rPr>
      </w:pPr>
      <w:r w:rsidRPr="00B364CB">
        <w:rPr>
          <w:rFonts w:cstheme="minorHAnsi"/>
          <w:iCs/>
          <w:color w:val="auto"/>
          <w:sz w:val="16"/>
          <w:szCs w:val="16"/>
        </w:rPr>
        <w:t>KPI-3: Number of safety workshops (e.g. on research priorities, risk assessment, end-use safety, etc.) and/or PNR/RCS workshops (e.g. permitting procedures for end-use installations, gaps analyses in specific aspects of the supply chain, etc.) at the programme level.</w:t>
      </w:r>
    </w:p>
    <w:p w14:paraId="79252910" w14:textId="77777777" w:rsidR="009D0C2E" w:rsidRPr="00B364CB" w:rsidRDefault="009D0C2E" w:rsidP="009D0C2E">
      <w:pPr>
        <w:rPr>
          <w:rFonts w:cstheme="minorHAnsi"/>
          <w:iCs/>
          <w:color w:val="auto"/>
          <w:sz w:val="16"/>
          <w:szCs w:val="16"/>
        </w:rPr>
      </w:pPr>
    </w:p>
    <w:p w14:paraId="21A54399" w14:textId="77777777" w:rsidR="009D0C2E" w:rsidRPr="00B364CB" w:rsidRDefault="009D0C2E" w:rsidP="009D0C2E">
      <w:pPr>
        <w:rPr>
          <w:rFonts w:cstheme="minorHAnsi"/>
          <w:iCs/>
          <w:color w:val="auto"/>
          <w:sz w:val="16"/>
          <w:szCs w:val="16"/>
        </w:rPr>
      </w:pPr>
      <w:r w:rsidRPr="00B364CB">
        <w:rPr>
          <w:rFonts w:cstheme="minorHAnsi"/>
          <w:iCs/>
          <w:color w:val="auto"/>
          <w:sz w:val="16"/>
          <w:szCs w:val="16"/>
        </w:rPr>
        <w:t>KPI-4: Number of Standards, Technical Specifications or Technical Reports at the scope of a PNR project. The impact will be measured after the end of the project, because of the different timelines of a PNR project and the SDO activities.</w:t>
      </w:r>
    </w:p>
    <w:p w14:paraId="5C1F16ED" w14:textId="77777777" w:rsidR="009D0C2E" w:rsidRPr="00B364CB" w:rsidRDefault="009D0C2E" w:rsidP="009D0C2E">
      <w:pPr>
        <w:rPr>
          <w:rFonts w:eastAsia="Arial" w:cs="Arial"/>
          <w:b/>
          <w:bCs/>
          <w:sz w:val="32"/>
          <w:szCs w:val="32"/>
          <w:lang w:eastAsia="sv-SE" w:bidi="sv-SE"/>
        </w:rPr>
      </w:pPr>
    </w:p>
    <w:p w14:paraId="27EB1CD6" w14:textId="77777777" w:rsidR="000525AF" w:rsidRPr="00B364CB" w:rsidRDefault="000525AF" w:rsidP="000525AF">
      <w:pPr>
        <w:rPr>
          <w:rFonts w:eastAsia="Arial" w:cs="Arial"/>
          <w:b/>
          <w:bCs/>
          <w:sz w:val="32"/>
          <w:szCs w:val="32"/>
          <w:lang w:eastAsia="sv-SE" w:bidi="sv-SE"/>
        </w:rPr>
      </w:pPr>
    </w:p>
    <w:p w14:paraId="01BE08C0" w14:textId="77777777" w:rsidR="000525AF" w:rsidRPr="00B364CB" w:rsidRDefault="000525AF" w:rsidP="000525AF">
      <w:pPr>
        <w:rPr>
          <w:rFonts w:cstheme="minorHAnsi"/>
          <w:iCs/>
          <w:color w:val="auto"/>
          <w:sz w:val="16"/>
          <w:szCs w:val="16"/>
        </w:rPr>
      </w:pPr>
      <w:bookmarkStart w:id="327" w:name="_Toc52184099"/>
      <w:bookmarkEnd w:id="311"/>
    </w:p>
    <w:p w14:paraId="00067127" w14:textId="77777777" w:rsidR="000466BB" w:rsidRPr="00B364CB" w:rsidRDefault="000466BB">
      <w:pPr>
        <w:rPr>
          <w:rStyle w:val="MAWPTitle"/>
          <w:b/>
          <w:bCs w:val="0"/>
          <w:lang w:val="en-GB"/>
        </w:rPr>
      </w:pPr>
      <w:bookmarkStart w:id="328" w:name="_Toc70088072"/>
      <w:r w:rsidRPr="00B364CB">
        <w:rPr>
          <w:rStyle w:val="MAWPTitle"/>
          <w:lang w:val="en-GB"/>
        </w:rPr>
        <w:br w:type="page"/>
      </w:r>
    </w:p>
    <w:bookmarkEnd w:id="327"/>
    <w:bookmarkEnd w:id="328"/>
    <w:p w14:paraId="202E6795" w14:textId="1FE14DE3" w:rsidR="000525AF" w:rsidRPr="00B364CB" w:rsidRDefault="000525AF" w:rsidP="000525AF">
      <w:pPr>
        <w:rPr>
          <w:rFonts w:eastAsia="Arial" w:cs="Arial"/>
          <w:i/>
          <w:iCs/>
          <w:sz w:val="18"/>
          <w:szCs w:val="18"/>
        </w:rPr>
      </w:pPr>
    </w:p>
    <w:p w14:paraId="2F4872E8" w14:textId="3A6BF294" w:rsidR="000525AF" w:rsidRPr="00B364CB" w:rsidRDefault="000525AF" w:rsidP="000525AF">
      <w:pPr>
        <w:pStyle w:val="Heading11"/>
        <w:keepNext/>
        <w:keepLines/>
        <w:shd w:val="clear" w:color="auto" w:fill="auto"/>
        <w:spacing w:line="276" w:lineRule="auto"/>
        <w:jc w:val="left"/>
        <w:rPr>
          <w:rStyle w:val="MAWPTitle"/>
          <w:lang w:val="en-GB"/>
        </w:rPr>
      </w:pPr>
      <w:bookmarkStart w:id="329" w:name="_Toc93907390"/>
      <w:bookmarkStart w:id="330" w:name="_Toc70088073"/>
      <w:r w:rsidRPr="00B364CB">
        <w:rPr>
          <w:rStyle w:val="MAWPTitle"/>
          <w:lang w:val="en-GB"/>
        </w:rPr>
        <w:t xml:space="preserve">Annex </w:t>
      </w:r>
      <w:r w:rsidR="00956DED" w:rsidRPr="00B364CB">
        <w:rPr>
          <w:rStyle w:val="MAWPTitle"/>
          <w:lang w:val="en-GB"/>
        </w:rPr>
        <w:t xml:space="preserve">7 </w:t>
      </w:r>
      <w:r w:rsidRPr="00B364CB">
        <w:rPr>
          <w:rStyle w:val="MAWPTitle"/>
          <w:lang w:val="en-GB"/>
        </w:rPr>
        <w:t xml:space="preserve">– </w:t>
      </w:r>
      <w:r w:rsidR="00664BCD">
        <w:rPr>
          <w:rStyle w:val="MAWPTitle"/>
          <w:lang w:val="en-GB"/>
        </w:rPr>
        <w:t xml:space="preserve">Common </w:t>
      </w:r>
      <w:r w:rsidR="00971048">
        <w:rPr>
          <w:rStyle w:val="MAWPTitle"/>
          <w:lang w:val="en-GB"/>
        </w:rPr>
        <w:t>R&amp;</w:t>
      </w:r>
      <w:r w:rsidR="003A6331">
        <w:rPr>
          <w:rStyle w:val="MAWPTitle"/>
          <w:lang w:val="en-GB"/>
        </w:rPr>
        <w:t>I</w:t>
      </w:r>
      <w:r w:rsidR="00971048">
        <w:rPr>
          <w:rStyle w:val="MAWPTitle"/>
          <w:lang w:val="en-GB"/>
        </w:rPr>
        <w:t xml:space="preserve"> </w:t>
      </w:r>
      <w:r w:rsidRPr="00B364CB">
        <w:rPr>
          <w:rStyle w:val="MAWPTitle"/>
          <w:lang w:val="en-GB"/>
        </w:rPr>
        <w:t>Roadmaps</w:t>
      </w:r>
      <w:bookmarkEnd w:id="329"/>
      <w:r w:rsidRPr="00B364CB">
        <w:rPr>
          <w:rStyle w:val="MAWPTitle"/>
          <w:lang w:val="en-GB"/>
        </w:rPr>
        <w:t xml:space="preserve"> </w:t>
      </w:r>
      <w:bookmarkEnd w:id="330"/>
    </w:p>
    <w:p w14:paraId="096CF577" w14:textId="77777777" w:rsidR="000525AF" w:rsidRPr="00B364CB" w:rsidRDefault="000525AF" w:rsidP="000525AF">
      <w:pPr>
        <w:pStyle w:val="MAWP-Bodytext"/>
      </w:pPr>
    </w:p>
    <w:p w14:paraId="72B27F25" w14:textId="702562AF" w:rsidR="00664BCD" w:rsidRPr="00C372CA" w:rsidRDefault="00C372CA" w:rsidP="00C372CA">
      <w:pPr>
        <w:pStyle w:val="MAWP-Bodytext"/>
      </w:pPr>
      <w:r w:rsidRPr="00C372CA">
        <w:t xml:space="preserve">The </w:t>
      </w:r>
      <w:r w:rsidR="007B70F5">
        <w:t xml:space="preserve">Clean Hydrogen </w:t>
      </w:r>
      <w:r w:rsidRPr="00C372CA">
        <w:t xml:space="preserve">JU </w:t>
      </w:r>
      <w:r w:rsidR="008D237B">
        <w:t xml:space="preserve">co-operated closely </w:t>
      </w:r>
      <w:r w:rsidRPr="00C372CA">
        <w:t xml:space="preserve">with other </w:t>
      </w:r>
      <w:r w:rsidR="00CF6388">
        <w:t>partnership</w:t>
      </w:r>
      <w:r w:rsidRPr="00C372CA">
        <w:t>s</w:t>
      </w:r>
      <w:r w:rsidR="008D237B">
        <w:t xml:space="preserve"> in an effort to align their work Programmes and identify synergies. </w:t>
      </w:r>
      <w:r w:rsidR="003A6331">
        <w:t xml:space="preserve">When possible, they </w:t>
      </w:r>
      <w:r w:rsidRPr="00C372CA">
        <w:t xml:space="preserve">developed common Roadmaps, aiming to better coordinate the planned activities per </w:t>
      </w:r>
      <w:r w:rsidR="00CF6388">
        <w:t>partnership</w:t>
      </w:r>
      <w:r w:rsidRPr="00C372CA">
        <w:t xml:space="preserve"> in the context of R&amp;</w:t>
      </w:r>
      <w:r w:rsidR="003A6331">
        <w:t>I</w:t>
      </w:r>
      <w:r w:rsidRPr="00C372CA">
        <w:t xml:space="preserve"> in hydrogen technologies. This common planning should prevent overlaps, enable synergies and lead to a more effective allocation of funds towards hydrogen technologies in the context of the Horizon Europe Programme.</w:t>
      </w:r>
    </w:p>
    <w:p w14:paraId="0E0E606C" w14:textId="6B47AAE5" w:rsidR="00664BCD" w:rsidRDefault="00C372CA" w:rsidP="00C372CA">
      <w:pPr>
        <w:pStyle w:val="MAWP-Bodytext"/>
      </w:pPr>
      <w:r>
        <w:t>This Annex presents t</w:t>
      </w:r>
      <w:r w:rsidR="00B0427E">
        <w:t>he</w:t>
      </w:r>
      <w:r>
        <w:t xml:space="preserve"> commonly developed Roadmaps with the following </w:t>
      </w:r>
      <w:r w:rsidR="00CF6388">
        <w:t>partnership</w:t>
      </w:r>
      <w:r>
        <w:t>s:</w:t>
      </w:r>
    </w:p>
    <w:p w14:paraId="52A01D35" w14:textId="1C13E26D" w:rsidR="00C372CA" w:rsidRDefault="00EA61D6" w:rsidP="002256F6">
      <w:pPr>
        <w:pStyle w:val="MAWP-Bodytext"/>
        <w:numPr>
          <w:ilvl w:val="0"/>
          <w:numId w:val="59"/>
        </w:numPr>
      </w:pPr>
      <w:r>
        <w:t>Processes4Planet (</w:t>
      </w:r>
      <w:r w:rsidR="00C372CA">
        <w:t>P4P</w:t>
      </w:r>
      <w:r>
        <w:t>)</w:t>
      </w:r>
    </w:p>
    <w:p w14:paraId="76C98C27" w14:textId="02717FF2" w:rsidR="00C372CA" w:rsidRDefault="00C372CA" w:rsidP="002256F6">
      <w:pPr>
        <w:pStyle w:val="MAWP-Bodytext"/>
        <w:numPr>
          <w:ilvl w:val="0"/>
          <w:numId w:val="59"/>
        </w:numPr>
      </w:pPr>
      <w:r>
        <w:t>Clean Steel</w:t>
      </w:r>
    </w:p>
    <w:p w14:paraId="57460868" w14:textId="5BB1D8D6" w:rsidR="00C372CA" w:rsidRDefault="00C372CA" w:rsidP="002256F6">
      <w:pPr>
        <w:pStyle w:val="MAWP-Bodytext"/>
        <w:numPr>
          <w:ilvl w:val="0"/>
          <w:numId w:val="59"/>
        </w:numPr>
      </w:pPr>
      <w:r>
        <w:t>2ZERO</w:t>
      </w:r>
    </w:p>
    <w:p w14:paraId="50D85F89" w14:textId="5FE9C893" w:rsidR="00C372CA" w:rsidRDefault="00C372CA" w:rsidP="002256F6">
      <w:pPr>
        <w:pStyle w:val="MAWP-Bodytext"/>
        <w:numPr>
          <w:ilvl w:val="0"/>
          <w:numId w:val="59"/>
        </w:numPr>
      </w:pPr>
      <w:r>
        <w:t>ZEWT</w:t>
      </w:r>
    </w:p>
    <w:p w14:paraId="26C09887" w14:textId="04FB86D5" w:rsidR="00C372CA" w:rsidRDefault="00C372CA" w:rsidP="002256F6">
      <w:pPr>
        <w:pStyle w:val="MAWP-Bodytext"/>
        <w:numPr>
          <w:ilvl w:val="0"/>
          <w:numId w:val="59"/>
        </w:numPr>
      </w:pPr>
      <w:r>
        <w:t>Clean Aviation</w:t>
      </w:r>
    </w:p>
    <w:p w14:paraId="40704EA7" w14:textId="3B5C6D4E" w:rsidR="00EA61D6" w:rsidRDefault="00EA61D6" w:rsidP="002256F6">
      <w:pPr>
        <w:pStyle w:val="MAWP-Bodytext"/>
        <w:numPr>
          <w:ilvl w:val="0"/>
          <w:numId w:val="59"/>
        </w:numPr>
      </w:pPr>
      <w:r>
        <w:t>EIC</w:t>
      </w:r>
    </w:p>
    <w:p w14:paraId="63DA0F04" w14:textId="26AFD32E" w:rsidR="00EA61D6" w:rsidRDefault="00EA61D6" w:rsidP="002256F6">
      <w:pPr>
        <w:pStyle w:val="MAWP-Bodytext"/>
        <w:numPr>
          <w:ilvl w:val="0"/>
          <w:numId w:val="59"/>
        </w:numPr>
      </w:pPr>
      <w:r>
        <w:t>EERA</w:t>
      </w:r>
    </w:p>
    <w:p w14:paraId="6D43C17D" w14:textId="45863293" w:rsidR="002818AD" w:rsidRDefault="003A6331" w:rsidP="00971048">
      <w:pPr>
        <w:pStyle w:val="MAWP-Bodytext"/>
      </w:pPr>
      <w:r>
        <w:t>Additionally, and in the same context, the Clean Hydrogen JU had exchanges with Europe’s Rail partnership</w:t>
      </w:r>
      <w:r w:rsidR="002818AD">
        <w:t xml:space="preserve">, ERA on </w:t>
      </w:r>
      <w:r w:rsidR="00296A80">
        <w:t xml:space="preserve">Green </w:t>
      </w:r>
      <w:r w:rsidR="002818AD">
        <w:t>Hydrogen</w:t>
      </w:r>
      <w:r w:rsidR="00296A80">
        <w:t xml:space="preserve"> and</w:t>
      </w:r>
      <w:r w:rsidR="002818AD">
        <w:t xml:space="preserve"> BEPA</w:t>
      </w:r>
      <w:r w:rsidR="00971048" w:rsidRPr="0067461D">
        <w:t xml:space="preserve"> identifying possible synergies in their Programmes</w:t>
      </w:r>
      <w:r w:rsidR="002818AD">
        <w:t>. The discussions with Europe’s Ra</w:t>
      </w:r>
      <w:r w:rsidR="00B918E6">
        <w:t>i</w:t>
      </w:r>
      <w:r w:rsidR="002818AD">
        <w:t>l partnership are at an advanced level</w:t>
      </w:r>
      <w:r w:rsidR="003B3F0B">
        <w:t xml:space="preserve">, but a Common Roadmap </w:t>
      </w:r>
      <w:r w:rsidR="002818AD">
        <w:t xml:space="preserve">has </w:t>
      </w:r>
      <w:r w:rsidR="003B3F0B">
        <w:t xml:space="preserve">not </w:t>
      </w:r>
      <w:r w:rsidR="002818AD">
        <w:t xml:space="preserve">been </w:t>
      </w:r>
      <w:r w:rsidR="003B3F0B">
        <w:t xml:space="preserve">established </w:t>
      </w:r>
      <w:r w:rsidR="002818AD">
        <w:t>ye</w:t>
      </w:r>
      <w:r w:rsidR="003B3F0B">
        <w:t xml:space="preserve">t </w:t>
      </w:r>
      <w:r w:rsidR="002818AD">
        <w:t>(</w:t>
      </w:r>
      <w:r w:rsidR="003B3F0B">
        <w:t>until the adoption of the SRIA</w:t>
      </w:r>
      <w:r w:rsidR="002818AD">
        <w:t>)</w:t>
      </w:r>
      <w:r w:rsidR="003B3F0B">
        <w:t>.</w:t>
      </w:r>
      <w:r w:rsidR="002818AD">
        <w:t xml:space="preserve"> The discussions with BEPA have not identified significant areas of collaboration </w:t>
      </w:r>
      <w:r w:rsidR="00296A80">
        <w:t>at first</w:t>
      </w:r>
      <w:r w:rsidR="002818AD">
        <w:t xml:space="preserve"> stage, but the two partnerships will inform each other on any developments relevant to both. </w:t>
      </w:r>
      <w:r w:rsidR="00296A80">
        <w:t xml:space="preserve">The exchanges with ERA on Green Hydrogen have identified a large potential for collaboration of the JU with ERA / Member States in many topics, so exchanges will continue to update </w:t>
      </w:r>
      <w:r w:rsidR="00296A80" w:rsidRPr="00296A80">
        <w:t>each other on the topics/results from both programs, and potentially align topics (and complement funding) in future calls for proposals.</w:t>
      </w:r>
    </w:p>
    <w:p w14:paraId="74D38849" w14:textId="61F6EFB2" w:rsidR="003A6331" w:rsidRDefault="003A6331" w:rsidP="00971048">
      <w:pPr>
        <w:pStyle w:val="MAWP-Bodytext"/>
      </w:pPr>
      <w:r>
        <w:t>Further e</w:t>
      </w:r>
      <w:r w:rsidR="00D46C9B" w:rsidRPr="0067461D">
        <w:t xml:space="preserve">xploratory meetings will be pursued </w:t>
      </w:r>
      <w:r>
        <w:t>both with the above partnerships</w:t>
      </w:r>
      <w:r w:rsidR="00296A80">
        <w:t>,</w:t>
      </w:r>
      <w:r>
        <w:t xml:space="preserve"> but also with other</w:t>
      </w:r>
      <w:r w:rsidR="00EA61D6">
        <w:t xml:space="preserve"> partnerships and</w:t>
      </w:r>
      <w:r>
        <w:t xml:space="preserve"> programmes,</w:t>
      </w:r>
      <w:r w:rsidR="00ED0A95">
        <w:t xml:space="preserve"> like EURAMET</w:t>
      </w:r>
      <w:r w:rsidR="002818AD">
        <w:t xml:space="preserve"> and</w:t>
      </w:r>
      <w:r w:rsidR="00ED0A95">
        <w:t xml:space="preserve"> B4P,</w:t>
      </w:r>
      <w:r>
        <w:t xml:space="preserve"> </w:t>
      </w:r>
      <w:r w:rsidR="00D46C9B" w:rsidRPr="0067461D">
        <w:t>to ensure that the actions that are funded by each programme are complementary.</w:t>
      </w:r>
      <w:r w:rsidR="00EA61D6">
        <w:t xml:space="preserve"> </w:t>
      </w:r>
    </w:p>
    <w:p w14:paraId="3401E865" w14:textId="4F2CE47D" w:rsidR="00EA61D6" w:rsidRDefault="00ED0A95" w:rsidP="00EA61D6">
      <w:pPr>
        <w:pStyle w:val="MAWP-Bodytext"/>
      </w:pPr>
      <w:r>
        <w:t>Concerning</w:t>
      </w:r>
      <w:r w:rsidRPr="00ED0A95">
        <w:t xml:space="preserve"> EURAMET, considering that on the hydrogen metering two main actions are foreseen in the present SRIA, i</w:t>
      </w:r>
      <w:r w:rsidR="00EA61D6" w:rsidRPr="00ED0A95">
        <w:t xml:space="preserve">t is therefore considered opportune to explore potential synergies and joint actions with EURAMET aiming to accelerate the global lead of Europe in metrology research. </w:t>
      </w:r>
    </w:p>
    <w:p w14:paraId="0DEFD15F" w14:textId="489D1999" w:rsidR="00B0427E" w:rsidRPr="00B0427E" w:rsidRDefault="00B0427E" w:rsidP="00B0427E">
      <w:pPr>
        <w:pStyle w:val="MAWPHeadingStyleLevel4"/>
        <w:rPr>
          <w:rFonts w:cs="Arial"/>
        </w:rPr>
      </w:pPr>
      <w:r w:rsidRPr="00B0427E">
        <w:rPr>
          <w:rFonts w:cs="Arial"/>
        </w:rPr>
        <w:t xml:space="preserve">Processes4Planet </w:t>
      </w:r>
      <w:r w:rsidR="00CF6388">
        <w:rPr>
          <w:rFonts w:cs="Arial"/>
        </w:rPr>
        <w:t>partnership</w:t>
      </w:r>
    </w:p>
    <w:p w14:paraId="7A233B07" w14:textId="791D3AE2" w:rsidR="00B0427E" w:rsidRDefault="00B0427E" w:rsidP="006B27CB">
      <w:pPr>
        <w:pStyle w:val="MAWP-Bodytext"/>
      </w:pPr>
      <w:r w:rsidRPr="002B0911">
        <w:t xml:space="preserve">A strong collaboration is envisaged </w:t>
      </w:r>
      <w:r w:rsidR="000F4E14">
        <w:t>across the whole hydrogen value chain</w:t>
      </w:r>
      <w:r w:rsidR="000F4E14" w:rsidRPr="002B0911">
        <w:t xml:space="preserve"> </w:t>
      </w:r>
      <w:r w:rsidRPr="002B0911">
        <w:t xml:space="preserve">between </w:t>
      </w:r>
      <w:r>
        <w:t xml:space="preserve">the Clean Hydrogen </w:t>
      </w:r>
      <w:r w:rsidRPr="002B0911">
        <w:t xml:space="preserve">JU and </w:t>
      </w:r>
      <w:r>
        <w:t xml:space="preserve">P4P </w:t>
      </w:r>
      <w:r w:rsidR="00CF6388">
        <w:t>partnership</w:t>
      </w:r>
      <w:r w:rsidR="000F4E14">
        <w:t>.</w:t>
      </w:r>
      <w:r>
        <w:t xml:space="preserve"> </w:t>
      </w:r>
      <w:r w:rsidR="006B27CB">
        <w:t>The</w:t>
      </w:r>
      <w:r w:rsidR="000F4E14">
        <w:t xml:space="preserve"> </w:t>
      </w:r>
      <w:r w:rsidR="007B70F5">
        <w:t xml:space="preserve">Clean Hydrogen </w:t>
      </w:r>
      <w:r w:rsidR="000F4E14">
        <w:t xml:space="preserve">JU </w:t>
      </w:r>
      <w:r w:rsidR="006B27CB">
        <w:t>focuses</w:t>
      </w:r>
      <w:r w:rsidR="000F4E14">
        <w:t xml:space="preserve"> on the development of fuel cell and hydrogen related technologies </w:t>
      </w:r>
      <w:r w:rsidR="006B27CB">
        <w:t xml:space="preserve">(e.g. electrolysers, </w:t>
      </w:r>
      <w:r w:rsidR="0048277D">
        <w:t xml:space="preserve">fuel cells, </w:t>
      </w:r>
      <w:r w:rsidR="006B27CB">
        <w:t xml:space="preserve">H2 storage) </w:t>
      </w:r>
      <w:r w:rsidR="000F4E14">
        <w:t xml:space="preserve">whilst P4P focuses on the adaptation of industry processes to accommodate the integration </w:t>
      </w:r>
      <w:r w:rsidR="006B27CB">
        <w:t xml:space="preserve">and demonstration </w:t>
      </w:r>
      <w:r w:rsidR="000F4E14">
        <w:t>of such technologies.</w:t>
      </w:r>
      <w:r w:rsidR="006B27CB">
        <w:t xml:space="preserve"> Key to this collaboration are the synergies</w:t>
      </w:r>
      <w:r w:rsidR="006B27CB" w:rsidRPr="006B27CB">
        <w:t xml:space="preserve"> between the </w:t>
      </w:r>
      <w:r w:rsidR="007B70F5">
        <w:t xml:space="preserve">Clean Hydrogen </w:t>
      </w:r>
      <w:r w:rsidR="006B27CB" w:rsidRPr="006B27CB">
        <w:t xml:space="preserve">JU </w:t>
      </w:r>
      <w:r w:rsidR="006B27CB">
        <w:t>“</w:t>
      </w:r>
      <w:r w:rsidR="006B27CB" w:rsidRPr="006B27CB">
        <w:t>H2 Valleys</w:t>
      </w:r>
      <w:r w:rsidR="006B27CB">
        <w:t>”</w:t>
      </w:r>
      <w:r w:rsidR="006B27CB" w:rsidRPr="006B27CB">
        <w:t xml:space="preserve"> and the P4P </w:t>
      </w:r>
      <w:r w:rsidR="006B27CB">
        <w:t>“</w:t>
      </w:r>
      <w:r w:rsidR="006B27CB" w:rsidRPr="006B27CB">
        <w:t>Hubs for circularity</w:t>
      </w:r>
      <w:r w:rsidR="006B27CB">
        <w:t xml:space="preserve">”. </w:t>
      </w:r>
      <w:r w:rsidR="0048277D">
        <w:t>As some of the R&amp;I areas are common to both a</w:t>
      </w:r>
      <w:r w:rsidR="006B27CB">
        <w:t xml:space="preserve"> clear allocation of responsibilities in the work programmes to come will </w:t>
      </w:r>
      <w:r w:rsidR="006B27CB">
        <w:lastRenderedPageBreak/>
        <w:t xml:space="preserve">be essential to avoid overlaps and maximise the impacts the </w:t>
      </w:r>
      <w:r w:rsidR="007B70F5">
        <w:t xml:space="preserve">Clean Hydrogen </w:t>
      </w:r>
      <w:r w:rsidR="006B27CB">
        <w:t xml:space="preserve">JU and P4P can bring. </w:t>
      </w:r>
      <w:r>
        <w:t xml:space="preserve">An </w:t>
      </w:r>
      <w:r w:rsidRPr="000D6593">
        <w:t xml:space="preserve">overview of the division </w:t>
      </w:r>
      <w:r>
        <w:t xml:space="preserve">of areas </w:t>
      </w:r>
      <w:r w:rsidRPr="000D6593">
        <w:t xml:space="preserve">between </w:t>
      </w:r>
      <w:r>
        <w:t>P4P</w:t>
      </w:r>
      <w:r w:rsidRPr="000D6593">
        <w:t xml:space="preserve"> </w:t>
      </w:r>
      <w:r>
        <w:t>a</w:t>
      </w:r>
      <w:r w:rsidRPr="000D6593">
        <w:t xml:space="preserve">nd </w:t>
      </w:r>
      <w:r w:rsidR="007B70F5">
        <w:t xml:space="preserve">Clean Hydrogen </w:t>
      </w:r>
      <w:r w:rsidRPr="00886D8A">
        <w:t xml:space="preserve">JU </w:t>
      </w:r>
      <w:r w:rsidRPr="000D6593">
        <w:t>is provided in the table below.</w:t>
      </w:r>
    </w:p>
    <w:p w14:paraId="2ED028B0" w14:textId="08466DD3" w:rsidR="00B0427E" w:rsidRDefault="00B0427E" w:rsidP="00B0427E">
      <w:pPr>
        <w:pStyle w:val="Caption"/>
      </w:pPr>
      <w:r>
        <w:t xml:space="preserve">Table </w:t>
      </w:r>
      <w:r w:rsidR="005D19CB">
        <w:fldChar w:fldCharType="begin"/>
      </w:r>
      <w:r w:rsidR="005D19CB">
        <w:instrText xml:space="preserve"> SEQ Table \* ARABIC </w:instrText>
      </w:r>
      <w:r w:rsidR="005D19CB">
        <w:fldChar w:fldCharType="separate"/>
      </w:r>
      <w:r w:rsidR="00797920">
        <w:rPr>
          <w:noProof/>
        </w:rPr>
        <w:t>26</w:t>
      </w:r>
      <w:r w:rsidR="005D19CB">
        <w:rPr>
          <w:noProof/>
        </w:rPr>
        <w:fldChar w:fldCharType="end"/>
      </w:r>
      <w:r>
        <w:t xml:space="preserve"> </w:t>
      </w:r>
      <w:r w:rsidRPr="00B0427E">
        <w:t xml:space="preserve">Envisioned distribution of responsibilities between </w:t>
      </w:r>
      <w:r w:rsidR="007B70F5">
        <w:t xml:space="preserve">Clean Hydrogen </w:t>
      </w:r>
      <w:r w:rsidRPr="00B0427E">
        <w:t xml:space="preserve">JU and P4P </w:t>
      </w:r>
      <w:r w:rsidR="00CF6388">
        <w:t>partnership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2825"/>
        <w:gridCol w:w="4577"/>
      </w:tblGrid>
      <w:tr w:rsidR="00B0427E" w:rsidRPr="00AC7F30" w14:paraId="428E0103" w14:textId="77777777" w:rsidTr="0074746A">
        <w:trPr>
          <w:trHeight w:val="669"/>
          <w:jc w:val="center"/>
        </w:trPr>
        <w:tc>
          <w:tcPr>
            <w:tcW w:w="0" w:type="auto"/>
            <w:shd w:val="clear" w:color="auto" w:fill="D9D9D9" w:themeFill="background1" w:themeFillShade="D9"/>
            <w:vAlign w:val="center"/>
          </w:tcPr>
          <w:p w14:paraId="7083B44E" w14:textId="19B78009" w:rsidR="00B0427E" w:rsidRPr="00B0427E" w:rsidRDefault="00B0427E" w:rsidP="0074746A">
            <w:pPr>
              <w:pStyle w:val="MAWP-Bodytext"/>
              <w:spacing w:after="60"/>
              <w:contextualSpacing/>
              <w:jc w:val="center"/>
              <w:rPr>
                <w:b/>
              </w:rPr>
            </w:pPr>
            <w:r w:rsidRPr="00B0427E">
              <w:rPr>
                <w:b/>
              </w:rPr>
              <w:t>Research Area</w:t>
            </w:r>
          </w:p>
        </w:tc>
        <w:tc>
          <w:tcPr>
            <w:tcW w:w="0" w:type="auto"/>
            <w:shd w:val="clear" w:color="auto" w:fill="D9D9D9" w:themeFill="background1" w:themeFillShade="D9"/>
            <w:vAlign w:val="center"/>
          </w:tcPr>
          <w:p w14:paraId="07A911C5" w14:textId="77777777" w:rsidR="00B0427E" w:rsidRPr="00B0427E" w:rsidRDefault="00B0427E" w:rsidP="0074746A">
            <w:pPr>
              <w:pStyle w:val="MAWP-Bodytext"/>
              <w:spacing w:after="60"/>
              <w:contextualSpacing/>
              <w:jc w:val="center"/>
              <w:rPr>
                <w:b/>
              </w:rPr>
            </w:pPr>
            <w:r w:rsidRPr="00B0427E">
              <w:rPr>
                <w:b/>
              </w:rPr>
              <w:t>Clean Hydrogen JU</w:t>
            </w:r>
          </w:p>
        </w:tc>
        <w:tc>
          <w:tcPr>
            <w:tcW w:w="0" w:type="auto"/>
            <w:shd w:val="clear" w:color="auto" w:fill="D9D9D9" w:themeFill="background1" w:themeFillShade="D9"/>
            <w:vAlign w:val="center"/>
          </w:tcPr>
          <w:p w14:paraId="7C1B68BC" w14:textId="7B9AD558" w:rsidR="00B0427E" w:rsidRPr="00B0427E" w:rsidRDefault="00B0427E" w:rsidP="0074746A">
            <w:pPr>
              <w:pStyle w:val="MAWP-Bodytext"/>
              <w:spacing w:after="60"/>
              <w:contextualSpacing/>
              <w:jc w:val="center"/>
              <w:rPr>
                <w:b/>
              </w:rPr>
            </w:pPr>
            <w:r w:rsidRPr="00B0427E">
              <w:rPr>
                <w:b/>
              </w:rPr>
              <w:t>P4P</w:t>
            </w:r>
          </w:p>
        </w:tc>
      </w:tr>
      <w:tr w:rsidR="00B0427E" w:rsidRPr="00AC7F30" w14:paraId="4B6C0A5F" w14:textId="77777777" w:rsidTr="0074746A">
        <w:trPr>
          <w:trHeight w:val="1935"/>
          <w:jc w:val="center"/>
        </w:trPr>
        <w:tc>
          <w:tcPr>
            <w:tcW w:w="0" w:type="auto"/>
            <w:vAlign w:val="center"/>
          </w:tcPr>
          <w:p w14:paraId="5CC9AEB9" w14:textId="77777777" w:rsidR="00B0427E" w:rsidRPr="00641CFB" w:rsidRDefault="00B0427E" w:rsidP="0074746A">
            <w:pPr>
              <w:pStyle w:val="MAWP-Bodytext"/>
              <w:spacing w:after="60"/>
              <w:contextualSpacing/>
              <w:jc w:val="left"/>
              <w:rPr>
                <w:sz w:val="20"/>
                <w:szCs w:val="20"/>
              </w:rPr>
            </w:pPr>
            <w:r w:rsidRPr="00641CFB">
              <w:rPr>
                <w:sz w:val="20"/>
                <w:szCs w:val="20"/>
              </w:rPr>
              <w:t xml:space="preserve">H2 in industry  </w:t>
            </w:r>
          </w:p>
        </w:tc>
        <w:tc>
          <w:tcPr>
            <w:tcW w:w="0" w:type="auto"/>
            <w:vAlign w:val="center"/>
          </w:tcPr>
          <w:p w14:paraId="4040D8DB" w14:textId="0FB5F290" w:rsidR="00B0427E" w:rsidRPr="00641CFB" w:rsidRDefault="00B0427E" w:rsidP="0074746A">
            <w:pPr>
              <w:pStyle w:val="MAWP-Bodytext"/>
              <w:spacing w:after="60"/>
              <w:contextualSpacing/>
              <w:rPr>
                <w:sz w:val="20"/>
                <w:szCs w:val="20"/>
              </w:rPr>
            </w:pPr>
            <w:r w:rsidRPr="00641CFB">
              <w:rPr>
                <w:sz w:val="20"/>
                <w:szCs w:val="20"/>
              </w:rPr>
              <w:t>Next generation of electrolysers for industry</w:t>
            </w:r>
          </w:p>
          <w:p w14:paraId="3D1D8A3A" w14:textId="1F6DD6C2" w:rsidR="00B0427E" w:rsidRPr="00641CFB" w:rsidRDefault="00B0427E" w:rsidP="0074746A">
            <w:pPr>
              <w:pStyle w:val="MAWP-Bodytext"/>
              <w:spacing w:after="60"/>
              <w:contextualSpacing/>
              <w:rPr>
                <w:sz w:val="20"/>
                <w:szCs w:val="20"/>
              </w:rPr>
            </w:pPr>
            <w:r w:rsidRPr="00641CFB">
              <w:rPr>
                <w:sz w:val="20"/>
                <w:szCs w:val="20"/>
              </w:rPr>
              <w:t>Co-electrolysis for synthetic fuel production</w:t>
            </w:r>
          </w:p>
        </w:tc>
        <w:tc>
          <w:tcPr>
            <w:tcW w:w="0" w:type="auto"/>
            <w:vAlign w:val="center"/>
          </w:tcPr>
          <w:p w14:paraId="314CA39F" w14:textId="77777777" w:rsidR="00B0427E" w:rsidRPr="00641CFB" w:rsidRDefault="00B0427E" w:rsidP="0074746A">
            <w:pPr>
              <w:pStyle w:val="MAWP-Bodytext"/>
              <w:spacing w:after="60"/>
              <w:contextualSpacing/>
              <w:rPr>
                <w:sz w:val="20"/>
                <w:szCs w:val="20"/>
              </w:rPr>
            </w:pPr>
            <w:r w:rsidRPr="00641CFB">
              <w:rPr>
                <w:sz w:val="20"/>
                <w:szCs w:val="20"/>
              </w:rPr>
              <w:t>Adaptation of processes to accommodate integration with electrolysers including valorisation of both H2 and O2 integrated to large underground H2 storage</w:t>
            </w:r>
          </w:p>
          <w:p w14:paraId="642DC85A" w14:textId="77777777" w:rsidR="00B0427E" w:rsidRPr="00641CFB" w:rsidRDefault="00B0427E" w:rsidP="0074746A">
            <w:pPr>
              <w:pStyle w:val="MAWP-Bodytext"/>
              <w:spacing w:after="60"/>
              <w:contextualSpacing/>
              <w:rPr>
                <w:sz w:val="20"/>
                <w:szCs w:val="20"/>
              </w:rPr>
            </w:pPr>
            <w:r w:rsidRPr="00641CFB">
              <w:rPr>
                <w:sz w:val="20"/>
                <w:szCs w:val="20"/>
              </w:rPr>
              <w:t>Integration of co-electrolysis plants in industrial processes demanding CO/CO2</w:t>
            </w:r>
          </w:p>
        </w:tc>
      </w:tr>
      <w:tr w:rsidR="00B0427E" w:rsidRPr="00AC7F30" w14:paraId="5B6419F0" w14:textId="77777777" w:rsidTr="0074746A">
        <w:trPr>
          <w:trHeight w:val="1127"/>
          <w:jc w:val="center"/>
        </w:trPr>
        <w:tc>
          <w:tcPr>
            <w:tcW w:w="0" w:type="auto"/>
            <w:vAlign w:val="center"/>
          </w:tcPr>
          <w:p w14:paraId="6D36E62A" w14:textId="32F94102" w:rsidR="00B0427E" w:rsidRPr="00641CFB" w:rsidRDefault="00B0427E" w:rsidP="0074746A">
            <w:pPr>
              <w:pStyle w:val="MAWP-Bodytext"/>
              <w:spacing w:after="60"/>
              <w:contextualSpacing/>
              <w:jc w:val="left"/>
              <w:rPr>
                <w:sz w:val="20"/>
                <w:szCs w:val="20"/>
              </w:rPr>
            </w:pPr>
            <w:r w:rsidRPr="00641CFB">
              <w:rPr>
                <w:sz w:val="20"/>
                <w:szCs w:val="20"/>
              </w:rPr>
              <w:t>H2 for heat, industrial boilers</w:t>
            </w:r>
          </w:p>
        </w:tc>
        <w:tc>
          <w:tcPr>
            <w:tcW w:w="0" w:type="auto"/>
            <w:vAlign w:val="center"/>
          </w:tcPr>
          <w:p w14:paraId="6E28BC4F" w14:textId="77777777" w:rsidR="00B0427E" w:rsidRPr="00641CFB" w:rsidRDefault="00B0427E" w:rsidP="0074746A">
            <w:pPr>
              <w:pStyle w:val="MAWP-Bodytext"/>
              <w:spacing w:after="60"/>
              <w:contextualSpacing/>
              <w:rPr>
                <w:sz w:val="20"/>
                <w:szCs w:val="20"/>
              </w:rPr>
            </w:pPr>
            <w:r w:rsidRPr="00641CFB">
              <w:rPr>
                <w:sz w:val="20"/>
                <w:szCs w:val="20"/>
              </w:rPr>
              <w:t>Actions aiming at filling gaps not addressed by P4P</w:t>
            </w:r>
          </w:p>
        </w:tc>
        <w:tc>
          <w:tcPr>
            <w:tcW w:w="0" w:type="auto"/>
            <w:vAlign w:val="center"/>
          </w:tcPr>
          <w:p w14:paraId="2BCD2800" w14:textId="77777777" w:rsidR="00B0427E" w:rsidRPr="00641CFB" w:rsidRDefault="00B0427E" w:rsidP="0074746A">
            <w:pPr>
              <w:pStyle w:val="MAWP-Bodytext"/>
              <w:spacing w:after="60"/>
              <w:contextualSpacing/>
              <w:rPr>
                <w:sz w:val="20"/>
                <w:szCs w:val="20"/>
              </w:rPr>
            </w:pPr>
            <w:r w:rsidRPr="00641CFB">
              <w:rPr>
                <w:sz w:val="20"/>
                <w:szCs w:val="20"/>
              </w:rPr>
              <w:t>Development of H2 burners for boilers</w:t>
            </w:r>
          </w:p>
          <w:p w14:paraId="788440DE" w14:textId="77777777" w:rsidR="00B0427E" w:rsidRPr="00641CFB" w:rsidRDefault="00B0427E" w:rsidP="0074746A">
            <w:pPr>
              <w:pStyle w:val="MAWP-Bodytext"/>
              <w:spacing w:after="60"/>
              <w:contextualSpacing/>
              <w:rPr>
                <w:sz w:val="20"/>
                <w:szCs w:val="20"/>
              </w:rPr>
            </w:pPr>
            <w:r w:rsidRPr="00641CFB">
              <w:rPr>
                <w:sz w:val="20"/>
                <w:szCs w:val="20"/>
              </w:rPr>
              <w:t>Oxy-combustion</w:t>
            </w:r>
          </w:p>
          <w:p w14:paraId="04B97FAF" w14:textId="77777777" w:rsidR="00B0427E" w:rsidRPr="00641CFB" w:rsidRDefault="00B0427E" w:rsidP="0074746A">
            <w:pPr>
              <w:pStyle w:val="MAWP-Bodytext"/>
              <w:spacing w:after="60"/>
              <w:contextualSpacing/>
              <w:rPr>
                <w:sz w:val="20"/>
                <w:szCs w:val="20"/>
              </w:rPr>
            </w:pPr>
            <w:r w:rsidRPr="00641CFB">
              <w:rPr>
                <w:sz w:val="20"/>
                <w:szCs w:val="20"/>
              </w:rPr>
              <w:t>NH3 boilers</w:t>
            </w:r>
          </w:p>
        </w:tc>
      </w:tr>
      <w:tr w:rsidR="00B0427E" w:rsidRPr="00AC7F30" w14:paraId="426CBBAB" w14:textId="77777777" w:rsidTr="0074746A">
        <w:trPr>
          <w:trHeight w:val="1362"/>
          <w:jc w:val="center"/>
        </w:trPr>
        <w:tc>
          <w:tcPr>
            <w:tcW w:w="0" w:type="auto"/>
            <w:vAlign w:val="center"/>
          </w:tcPr>
          <w:p w14:paraId="55BC0E9E" w14:textId="0BB4A98F" w:rsidR="00B0427E" w:rsidRPr="00641CFB" w:rsidRDefault="00B0427E" w:rsidP="0074746A">
            <w:pPr>
              <w:pStyle w:val="MAWP-Bodytext"/>
              <w:spacing w:after="60"/>
              <w:contextualSpacing/>
              <w:jc w:val="left"/>
              <w:rPr>
                <w:sz w:val="20"/>
                <w:szCs w:val="20"/>
              </w:rPr>
            </w:pPr>
            <w:r w:rsidRPr="00641CFB">
              <w:rPr>
                <w:sz w:val="20"/>
                <w:szCs w:val="20"/>
              </w:rPr>
              <w:t>H2 turbines</w:t>
            </w:r>
          </w:p>
        </w:tc>
        <w:tc>
          <w:tcPr>
            <w:tcW w:w="0" w:type="auto"/>
            <w:vAlign w:val="center"/>
          </w:tcPr>
          <w:p w14:paraId="2A89B105" w14:textId="63F1CDEC" w:rsidR="00B0427E" w:rsidRPr="00641CFB" w:rsidRDefault="00B0427E" w:rsidP="0074746A">
            <w:pPr>
              <w:pStyle w:val="MAWP-Bodytext"/>
              <w:spacing w:after="60"/>
              <w:contextualSpacing/>
              <w:rPr>
                <w:sz w:val="20"/>
                <w:szCs w:val="20"/>
              </w:rPr>
            </w:pPr>
            <w:r w:rsidRPr="00641CFB">
              <w:rPr>
                <w:sz w:val="20"/>
                <w:szCs w:val="20"/>
              </w:rPr>
              <w:t xml:space="preserve">Combustion physics &amp; dynamics in gas turbine operation with pure hydrogen. </w:t>
            </w:r>
          </w:p>
          <w:p w14:paraId="7F58DCB0" w14:textId="5AD1D749" w:rsidR="00B0427E" w:rsidRPr="00641CFB" w:rsidRDefault="00B0427E" w:rsidP="0074746A">
            <w:pPr>
              <w:pStyle w:val="MAWP-Bodytext"/>
              <w:spacing w:after="60"/>
              <w:contextualSpacing/>
              <w:rPr>
                <w:sz w:val="20"/>
                <w:szCs w:val="20"/>
              </w:rPr>
            </w:pPr>
            <w:r w:rsidRPr="00641CFB">
              <w:rPr>
                <w:sz w:val="20"/>
                <w:szCs w:val="20"/>
              </w:rPr>
              <w:t xml:space="preserve">Retrofitting of existing gas turbines to 100% H2 </w:t>
            </w:r>
          </w:p>
        </w:tc>
        <w:tc>
          <w:tcPr>
            <w:tcW w:w="0" w:type="auto"/>
            <w:vAlign w:val="center"/>
          </w:tcPr>
          <w:p w14:paraId="0F173DE8" w14:textId="77777777" w:rsidR="00B0427E" w:rsidRPr="00641CFB" w:rsidRDefault="00B0427E" w:rsidP="0074746A">
            <w:pPr>
              <w:pStyle w:val="MAWP-Bodytext"/>
              <w:spacing w:after="60"/>
              <w:contextualSpacing/>
              <w:jc w:val="left"/>
              <w:rPr>
                <w:sz w:val="20"/>
                <w:szCs w:val="20"/>
              </w:rPr>
            </w:pPr>
            <w:r w:rsidRPr="00641CFB">
              <w:rPr>
                <w:sz w:val="20"/>
                <w:szCs w:val="20"/>
              </w:rPr>
              <w:t>Hosting H2 turbines demonstrations for industrial processes</w:t>
            </w:r>
          </w:p>
          <w:p w14:paraId="0CF231CA" w14:textId="77777777" w:rsidR="00B0427E" w:rsidRPr="00641CFB" w:rsidRDefault="00B0427E" w:rsidP="0074746A">
            <w:pPr>
              <w:pStyle w:val="MAWP-Bodytext"/>
              <w:spacing w:after="60"/>
              <w:contextualSpacing/>
              <w:rPr>
                <w:sz w:val="20"/>
                <w:szCs w:val="20"/>
              </w:rPr>
            </w:pPr>
            <w:r w:rsidRPr="00641CFB">
              <w:rPr>
                <w:sz w:val="20"/>
                <w:szCs w:val="20"/>
              </w:rPr>
              <w:t>NH3 turbines</w:t>
            </w:r>
          </w:p>
        </w:tc>
      </w:tr>
      <w:tr w:rsidR="008A6005" w:rsidRPr="00AC7F30" w14:paraId="44CD8CBE" w14:textId="77777777" w:rsidTr="0074746A">
        <w:trPr>
          <w:trHeight w:val="694"/>
          <w:jc w:val="center"/>
        </w:trPr>
        <w:tc>
          <w:tcPr>
            <w:tcW w:w="0" w:type="auto"/>
            <w:vMerge w:val="restart"/>
            <w:vAlign w:val="center"/>
          </w:tcPr>
          <w:p w14:paraId="60686C2E" w14:textId="77777777" w:rsidR="008A6005" w:rsidRPr="00641CFB" w:rsidRDefault="008A6005" w:rsidP="0074746A">
            <w:pPr>
              <w:pStyle w:val="MAWP-Bodytext"/>
              <w:spacing w:after="60"/>
              <w:contextualSpacing/>
              <w:jc w:val="left"/>
              <w:rPr>
                <w:sz w:val="20"/>
                <w:szCs w:val="20"/>
              </w:rPr>
            </w:pPr>
          </w:p>
          <w:p w14:paraId="210B117B" w14:textId="77777777" w:rsidR="008A6005" w:rsidRPr="00641CFB" w:rsidRDefault="008A6005" w:rsidP="0074746A">
            <w:pPr>
              <w:pStyle w:val="MAWP-Bodytext"/>
              <w:spacing w:after="60"/>
              <w:contextualSpacing/>
              <w:jc w:val="left"/>
              <w:rPr>
                <w:sz w:val="20"/>
                <w:szCs w:val="20"/>
              </w:rPr>
            </w:pPr>
            <w:r w:rsidRPr="00641CFB">
              <w:rPr>
                <w:sz w:val="20"/>
                <w:szCs w:val="20"/>
              </w:rPr>
              <w:t>Alternative hydrogen production routes</w:t>
            </w:r>
          </w:p>
          <w:p w14:paraId="40AA5D52" w14:textId="77777777" w:rsidR="008A6005" w:rsidRPr="00641CFB" w:rsidRDefault="008A6005" w:rsidP="0074746A">
            <w:pPr>
              <w:pStyle w:val="MAWP-Bodytext"/>
              <w:spacing w:after="60"/>
              <w:contextualSpacing/>
              <w:jc w:val="left"/>
              <w:rPr>
                <w:sz w:val="20"/>
                <w:szCs w:val="20"/>
              </w:rPr>
            </w:pPr>
          </w:p>
        </w:tc>
        <w:tc>
          <w:tcPr>
            <w:tcW w:w="0" w:type="auto"/>
            <w:gridSpan w:val="2"/>
            <w:vAlign w:val="center"/>
          </w:tcPr>
          <w:p w14:paraId="4668FD63" w14:textId="22996C28" w:rsidR="008A6005" w:rsidRPr="00641CFB" w:rsidRDefault="008A6005" w:rsidP="0074746A">
            <w:pPr>
              <w:pStyle w:val="MAWP-Bodytext"/>
              <w:spacing w:after="60"/>
              <w:contextualSpacing/>
              <w:jc w:val="center"/>
              <w:rPr>
                <w:sz w:val="20"/>
                <w:szCs w:val="20"/>
              </w:rPr>
            </w:pPr>
            <w:r w:rsidRPr="00641CFB">
              <w:rPr>
                <w:sz w:val="20"/>
                <w:szCs w:val="20"/>
              </w:rPr>
              <w:t>Photoelectrocatalysis</w:t>
            </w:r>
          </w:p>
        </w:tc>
      </w:tr>
      <w:tr w:rsidR="008A6005" w:rsidRPr="00AC7F30" w14:paraId="722CAF47" w14:textId="77777777" w:rsidTr="0074746A">
        <w:trPr>
          <w:trHeight w:val="1590"/>
          <w:jc w:val="center"/>
        </w:trPr>
        <w:tc>
          <w:tcPr>
            <w:tcW w:w="0" w:type="auto"/>
            <w:vMerge/>
            <w:vAlign w:val="center"/>
          </w:tcPr>
          <w:p w14:paraId="74D5B8AB" w14:textId="77777777" w:rsidR="008A6005" w:rsidRPr="00641CFB" w:rsidRDefault="008A6005" w:rsidP="0074746A">
            <w:pPr>
              <w:pStyle w:val="MAWP-Bodytext"/>
              <w:spacing w:after="60"/>
              <w:contextualSpacing/>
              <w:jc w:val="left"/>
              <w:rPr>
                <w:sz w:val="20"/>
                <w:szCs w:val="20"/>
              </w:rPr>
            </w:pPr>
          </w:p>
        </w:tc>
        <w:tc>
          <w:tcPr>
            <w:tcW w:w="0" w:type="auto"/>
            <w:vAlign w:val="center"/>
          </w:tcPr>
          <w:p w14:paraId="59DF6399" w14:textId="25054C85" w:rsidR="008A6005" w:rsidRPr="00641CFB" w:rsidRDefault="008A6005" w:rsidP="0074746A">
            <w:pPr>
              <w:pStyle w:val="MAWP-Bodytext"/>
              <w:spacing w:after="60"/>
              <w:contextualSpacing/>
              <w:rPr>
                <w:sz w:val="20"/>
                <w:szCs w:val="20"/>
              </w:rPr>
            </w:pPr>
            <w:r w:rsidRPr="00641CFB">
              <w:rPr>
                <w:sz w:val="20"/>
                <w:szCs w:val="20"/>
              </w:rPr>
              <w:t xml:space="preserve"> Thermo-chemical splitting or</w:t>
            </w:r>
          </w:p>
          <w:p w14:paraId="461A6BBC" w14:textId="69FCCC35" w:rsidR="008A6005" w:rsidRPr="00641CFB" w:rsidRDefault="008A6005" w:rsidP="0074746A">
            <w:pPr>
              <w:pStyle w:val="MAWP-Bodytext"/>
              <w:spacing w:after="60"/>
              <w:contextualSpacing/>
              <w:rPr>
                <w:sz w:val="20"/>
                <w:szCs w:val="20"/>
              </w:rPr>
            </w:pPr>
            <w:r w:rsidRPr="00641CFB">
              <w:rPr>
                <w:sz w:val="20"/>
                <w:szCs w:val="20"/>
              </w:rPr>
              <w:t xml:space="preserve">Small scale distributed plants operating on biomass or biogas </w:t>
            </w:r>
          </w:p>
        </w:tc>
        <w:tc>
          <w:tcPr>
            <w:tcW w:w="0" w:type="auto"/>
            <w:vAlign w:val="center"/>
          </w:tcPr>
          <w:p w14:paraId="7EA3EF9F" w14:textId="2979FA6C" w:rsidR="008A6005" w:rsidRPr="00641CFB" w:rsidRDefault="008A6005" w:rsidP="0074746A">
            <w:pPr>
              <w:pStyle w:val="MAWP-Bodytext"/>
              <w:spacing w:after="60"/>
              <w:contextualSpacing/>
              <w:rPr>
                <w:sz w:val="20"/>
                <w:szCs w:val="20"/>
              </w:rPr>
            </w:pPr>
            <w:r w:rsidRPr="00641CFB">
              <w:rPr>
                <w:sz w:val="20"/>
                <w:szCs w:val="20"/>
              </w:rPr>
              <w:t>Large scale gasifiers and pyrolysis plants operating on biomass or natural gas</w:t>
            </w:r>
          </w:p>
        </w:tc>
      </w:tr>
      <w:tr w:rsidR="00B0427E" w:rsidRPr="00AC7F30" w14:paraId="2A417E79" w14:textId="77777777" w:rsidTr="0074746A">
        <w:trPr>
          <w:trHeight w:val="553"/>
          <w:jc w:val="center"/>
        </w:trPr>
        <w:tc>
          <w:tcPr>
            <w:tcW w:w="0" w:type="auto"/>
            <w:vAlign w:val="center"/>
          </w:tcPr>
          <w:p w14:paraId="1C9D1D55" w14:textId="2FA080D6" w:rsidR="00B0427E" w:rsidRPr="00641CFB" w:rsidRDefault="0094406A" w:rsidP="0074746A">
            <w:pPr>
              <w:pStyle w:val="MAWP-Bodytext"/>
              <w:spacing w:after="60"/>
              <w:contextualSpacing/>
              <w:jc w:val="left"/>
              <w:rPr>
                <w:sz w:val="20"/>
                <w:szCs w:val="20"/>
              </w:rPr>
            </w:pPr>
            <w:r w:rsidRPr="00641CFB">
              <w:rPr>
                <w:sz w:val="20"/>
                <w:szCs w:val="20"/>
              </w:rPr>
              <w:t>Hydrogen</w:t>
            </w:r>
            <w:r w:rsidR="00B0427E" w:rsidRPr="00641CFB">
              <w:rPr>
                <w:sz w:val="20"/>
                <w:szCs w:val="20"/>
              </w:rPr>
              <w:t xml:space="preserve"> storage</w:t>
            </w:r>
          </w:p>
        </w:tc>
        <w:tc>
          <w:tcPr>
            <w:tcW w:w="0" w:type="auto"/>
            <w:vAlign w:val="center"/>
          </w:tcPr>
          <w:p w14:paraId="527B0438" w14:textId="187B044E" w:rsidR="00B0427E" w:rsidRPr="00641CFB" w:rsidRDefault="00BC47AC" w:rsidP="0074746A">
            <w:pPr>
              <w:pStyle w:val="MAWP-Bodytext"/>
              <w:spacing w:after="60"/>
              <w:contextualSpacing/>
              <w:rPr>
                <w:sz w:val="20"/>
                <w:szCs w:val="20"/>
              </w:rPr>
            </w:pPr>
            <w:r w:rsidRPr="00641CFB">
              <w:rPr>
                <w:sz w:val="20"/>
                <w:szCs w:val="20"/>
              </w:rPr>
              <w:t>A</w:t>
            </w:r>
            <w:r w:rsidR="00B0427E" w:rsidRPr="00641CFB">
              <w:rPr>
                <w:sz w:val="20"/>
                <w:szCs w:val="20"/>
              </w:rPr>
              <w:t>bove and underground H2 storage</w:t>
            </w:r>
          </w:p>
        </w:tc>
        <w:tc>
          <w:tcPr>
            <w:tcW w:w="0" w:type="auto"/>
            <w:vAlign w:val="center"/>
          </w:tcPr>
          <w:p w14:paraId="545DB6FA" w14:textId="77777777" w:rsidR="00B0427E" w:rsidRPr="00641CFB" w:rsidRDefault="00B0427E" w:rsidP="0074746A">
            <w:pPr>
              <w:pStyle w:val="MAWP-Bodytext"/>
              <w:spacing w:after="60"/>
              <w:contextualSpacing/>
              <w:rPr>
                <w:sz w:val="20"/>
                <w:szCs w:val="20"/>
              </w:rPr>
            </w:pPr>
            <w:r w:rsidRPr="00641CFB">
              <w:rPr>
                <w:sz w:val="20"/>
                <w:szCs w:val="20"/>
              </w:rPr>
              <w:t>Hosting on-site buffer storage to ensure uninterrupted production of industrial processes</w:t>
            </w:r>
          </w:p>
        </w:tc>
      </w:tr>
      <w:tr w:rsidR="00B0427E" w:rsidRPr="00AC7F30" w14:paraId="45E2CEEA" w14:textId="77777777" w:rsidTr="0074746A">
        <w:trPr>
          <w:trHeight w:val="985"/>
          <w:jc w:val="center"/>
        </w:trPr>
        <w:tc>
          <w:tcPr>
            <w:tcW w:w="0" w:type="auto"/>
            <w:vAlign w:val="center"/>
          </w:tcPr>
          <w:p w14:paraId="2D9D9FC8" w14:textId="77777777" w:rsidR="00B0427E" w:rsidRPr="00641CFB" w:rsidRDefault="00B0427E" w:rsidP="0074746A">
            <w:pPr>
              <w:pStyle w:val="MAWP-Bodytext"/>
              <w:spacing w:after="60"/>
              <w:contextualSpacing/>
              <w:jc w:val="left"/>
              <w:rPr>
                <w:sz w:val="20"/>
                <w:szCs w:val="20"/>
              </w:rPr>
            </w:pPr>
            <w:r w:rsidRPr="00641CFB">
              <w:rPr>
                <w:sz w:val="20"/>
                <w:szCs w:val="20"/>
              </w:rPr>
              <w:t>Alternative Hydrogen Carriers</w:t>
            </w:r>
          </w:p>
        </w:tc>
        <w:tc>
          <w:tcPr>
            <w:tcW w:w="0" w:type="auto"/>
            <w:vAlign w:val="center"/>
          </w:tcPr>
          <w:p w14:paraId="13077B80" w14:textId="3DF7733B" w:rsidR="00B0427E" w:rsidRPr="00641CFB" w:rsidRDefault="00B0427E" w:rsidP="0074746A">
            <w:pPr>
              <w:pStyle w:val="MAWP-Bodytext"/>
              <w:spacing w:after="60"/>
              <w:contextualSpacing/>
              <w:jc w:val="left"/>
              <w:rPr>
                <w:sz w:val="20"/>
                <w:szCs w:val="20"/>
              </w:rPr>
            </w:pPr>
            <w:r w:rsidRPr="00641CFB">
              <w:rPr>
                <w:sz w:val="20"/>
                <w:szCs w:val="20"/>
              </w:rPr>
              <w:t xml:space="preserve">LOHC &amp; ammonia as an energy carrier including </w:t>
            </w:r>
            <w:r w:rsidR="00BC47AC" w:rsidRPr="00641CFB">
              <w:rPr>
                <w:sz w:val="20"/>
                <w:szCs w:val="20"/>
              </w:rPr>
              <w:t>d</w:t>
            </w:r>
            <w:r w:rsidRPr="00641CFB">
              <w:rPr>
                <w:sz w:val="20"/>
                <w:szCs w:val="20"/>
              </w:rPr>
              <w:t xml:space="preserve">ehydrogenation </w:t>
            </w:r>
          </w:p>
          <w:p w14:paraId="211987B0" w14:textId="1CAEA090" w:rsidR="00B0427E" w:rsidRPr="00641CFB" w:rsidRDefault="00B0427E" w:rsidP="0074746A">
            <w:pPr>
              <w:pStyle w:val="MAWP-Bodytext"/>
              <w:spacing w:after="60"/>
              <w:contextualSpacing/>
              <w:rPr>
                <w:sz w:val="20"/>
                <w:szCs w:val="20"/>
              </w:rPr>
            </w:pPr>
            <w:r w:rsidRPr="00641CFB">
              <w:rPr>
                <w:sz w:val="20"/>
                <w:szCs w:val="20"/>
              </w:rPr>
              <w:t>NH3 fuel cells</w:t>
            </w:r>
          </w:p>
        </w:tc>
        <w:tc>
          <w:tcPr>
            <w:tcW w:w="0" w:type="auto"/>
            <w:vAlign w:val="center"/>
          </w:tcPr>
          <w:p w14:paraId="6B772887" w14:textId="77777777" w:rsidR="00B0427E" w:rsidRPr="00641CFB" w:rsidRDefault="00B0427E" w:rsidP="0074746A">
            <w:pPr>
              <w:pStyle w:val="MAWP-Bodytext"/>
              <w:spacing w:after="60"/>
              <w:contextualSpacing/>
              <w:rPr>
                <w:sz w:val="20"/>
                <w:szCs w:val="20"/>
              </w:rPr>
            </w:pPr>
            <w:r w:rsidRPr="00641CFB">
              <w:rPr>
                <w:sz w:val="20"/>
                <w:szCs w:val="20"/>
              </w:rPr>
              <w:t>Ammonia, ethanol and methanol production/synthesis.</w:t>
            </w:r>
          </w:p>
          <w:p w14:paraId="1207876B" w14:textId="4F83B980" w:rsidR="00B0427E" w:rsidRPr="00641CFB" w:rsidRDefault="00B0427E" w:rsidP="0074746A">
            <w:pPr>
              <w:pStyle w:val="MAWP-Bodytext"/>
              <w:spacing w:after="60"/>
              <w:contextualSpacing/>
              <w:rPr>
                <w:sz w:val="20"/>
                <w:szCs w:val="20"/>
              </w:rPr>
            </w:pPr>
            <w:r w:rsidRPr="00641CFB">
              <w:rPr>
                <w:sz w:val="20"/>
                <w:szCs w:val="20"/>
              </w:rPr>
              <w:t>NH3 as fuel in combustors or burners</w:t>
            </w:r>
            <w:r w:rsidR="00BC47AC" w:rsidRPr="00641CFB">
              <w:rPr>
                <w:sz w:val="20"/>
                <w:szCs w:val="20"/>
              </w:rPr>
              <w:t>,</w:t>
            </w:r>
            <w:r w:rsidRPr="00641CFB">
              <w:rPr>
                <w:sz w:val="20"/>
                <w:szCs w:val="20"/>
              </w:rPr>
              <w:t xml:space="preserve"> but also in some metallurgical processes. </w:t>
            </w:r>
          </w:p>
        </w:tc>
      </w:tr>
      <w:tr w:rsidR="00B0427E" w:rsidRPr="00AC7F30" w14:paraId="59BB4EDE" w14:textId="77777777" w:rsidTr="0074746A">
        <w:trPr>
          <w:trHeight w:val="981"/>
          <w:jc w:val="center"/>
        </w:trPr>
        <w:tc>
          <w:tcPr>
            <w:tcW w:w="0" w:type="auto"/>
            <w:vAlign w:val="center"/>
          </w:tcPr>
          <w:p w14:paraId="2928C5F2" w14:textId="7F3C0793" w:rsidR="00B0427E" w:rsidRPr="00641CFB" w:rsidRDefault="008A6005" w:rsidP="0074746A">
            <w:pPr>
              <w:pStyle w:val="MAWP-Bodytext"/>
              <w:spacing w:after="60"/>
              <w:contextualSpacing/>
              <w:jc w:val="left"/>
              <w:rPr>
                <w:sz w:val="20"/>
                <w:szCs w:val="20"/>
              </w:rPr>
            </w:pPr>
            <w:r w:rsidRPr="00641CFB">
              <w:rPr>
                <w:sz w:val="20"/>
                <w:szCs w:val="20"/>
              </w:rPr>
              <w:t xml:space="preserve">Separation and </w:t>
            </w:r>
            <w:r w:rsidR="00B0427E" w:rsidRPr="00641CFB">
              <w:rPr>
                <w:sz w:val="20"/>
                <w:szCs w:val="20"/>
              </w:rPr>
              <w:t>Purification of H2</w:t>
            </w:r>
          </w:p>
        </w:tc>
        <w:tc>
          <w:tcPr>
            <w:tcW w:w="0" w:type="auto"/>
            <w:vAlign w:val="center"/>
          </w:tcPr>
          <w:p w14:paraId="1C3E8DB6" w14:textId="13E83D9F" w:rsidR="00B0427E" w:rsidRPr="00641CFB" w:rsidRDefault="00B0427E" w:rsidP="0074746A">
            <w:pPr>
              <w:pStyle w:val="MAWP-Bodytext"/>
              <w:spacing w:after="60"/>
              <w:contextualSpacing/>
              <w:rPr>
                <w:sz w:val="20"/>
                <w:szCs w:val="20"/>
              </w:rPr>
            </w:pPr>
            <w:r w:rsidRPr="00641CFB">
              <w:rPr>
                <w:sz w:val="20"/>
                <w:szCs w:val="20"/>
              </w:rPr>
              <w:t xml:space="preserve">Membrane based </w:t>
            </w:r>
            <w:r w:rsidR="00BC47AC" w:rsidRPr="00641CFB">
              <w:rPr>
                <w:sz w:val="20"/>
                <w:szCs w:val="20"/>
              </w:rPr>
              <w:t>s</w:t>
            </w:r>
            <w:r w:rsidRPr="00641CFB">
              <w:rPr>
                <w:sz w:val="20"/>
                <w:szCs w:val="20"/>
              </w:rPr>
              <w:t xml:space="preserve">eparation of H2 from natural gas at downstream </w:t>
            </w:r>
            <w:r w:rsidR="00BC47AC" w:rsidRPr="00641CFB">
              <w:rPr>
                <w:sz w:val="20"/>
                <w:szCs w:val="20"/>
              </w:rPr>
              <w:t>level.</w:t>
            </w:r>
          </w:p>
          <w:p w14:paraId="79C2D5A0" w14:textId="2D48E78B" w:rsidR="00B0427E" w:rsidRPr="00641CFB" w:rsidRDefault="00B0427E" w:rsidP="0074746A">
            <w:pPr>
              <w:pStyle w:val="MAWP-Bodytext"/>
              <w:spacing w:after="60"/>
              <w:contextualSpacing/>
              <w:rPr>
                <w:sz w:val="20"/>
                <w:szCs w:val="20"/>
              </w:rPr>
            </w:pPr>
            <w:r w:rsidRPr="00641CFB">
              <w:rPr>
                <w:sz w:val="20"/>
                <w:szCs w:val="20"/>
              </w:rPr>
              <w:t xml:space="preserve">Purification leading high purity H2 for Fuel Cell applications. </w:t>
            </w:r>
          </w:p>
        </w:tc>
        <w:tc>
          <w:tcPr>
            <w:tcW w:w="0" w:type="auto"/>
            <w:vAlign w:val="center"/>
          </w:tcPr>
          <w:p w14:paraId="428A43F3" w14:textId="2E613E0B" w:rsidR="00B0427E" w:rsidRPr="00641CFB" w:rsidRDefault="00B0427E" w:rsidP="0074746A">
            <w:pPr>
              <w:pStyle w:val="MAWP-Bodytext"/>
              <w:spacing w:after="60"/>
              <w:contextualSpacing/>
              <w:rPr>
                <w:sz w:val="20"/>
                <w:szCs w:val="20"/>
              </w:rPr>
            </w:pPr>
            <w:r w:rsidRPr="00641CFB">
              <w:rPr>
                <w:sz w:val="20"/>
                <w:szCs w:val="20"/>
              </w:rPr>
              <w:t>Membrane separation technology development</w:t>
            </w:r>
            <w:r w:rsidR="00BC47AC" w:rsidRPr="00641CFB">
              <w:rPr>
                <w:sz w:val="20"/>
                <w:szCs w:val="20"/>
              </w:rPr>
              <w:t>.</w:t>
            </w:r>
          </w:p>
          <w:p w14:paraId="1BC117D0" w14:textId="77777777" w:rsidR="00B0427E" w:rsidRPr="00641CFB" w:rsidRDefault="00B0427E" w:rsidP="0074746A">
            <w:pPr>
              <w:pStyle w:val="MAWP-Bodytext"/>
              <w:spacing w:after="60"/>
              <w:contextualSpacing/>
              <w:rPr>
                <w:sz w:val="20"/>
                <w:szCs w:val="20"/>
              </w:rPr>
            </w:pPr>
            <w:r w:rsidRPr="00641CFB">
              <w:rPr>
                <w:sz w:val="20"/>
                <w:szCs w:val="20"/>
              </w:rPr>
              <w:t>H2 purification technologies</w:t>
            </w:r>
          </w:p>
        </w:tc>
      </w:tr>
      <w:tr w:rsidR="00B0427E" w:rsidRPr="00AC7F30" w14:paraId="3F4A462B" w14:textId="77777777" w:rsidTr="0074746A">
        <w:trPr>
          <w:jc w:val="center"/>
        </w:trPr>
        <w:tc>
          <w:tcPr>
            <w:tcW w:w="0" w:type="auto"/>
            <w:vAlign w:val="center"/>
          </w:tcPr>
          <w:p w14:paraId="01CD7F5B" w14:textId="77777777" w:rsidR="00B0427E" w:rsidRPr="00641CFB" w:rsidRDefault="00B0427E" w:rsidP="0074746A">
            <w:pPr>
              <w:pStyle w:val="MAWP-Bodytext"/>
              <w:spacing w:after="60"/>
              <w:contextualSpacing/>
              <w:jc w:val="left"/>
              <w:rPr>
                <w:sz w:val="20"/>
                <w:szCs w:val="20"/>
              </w:rPr>
            </w:pPr>
            <w:r w:rsidRPr="00641CFB">
              <w:rPr>
                <w:sz w:val="20"/>
                <w:szCs w:val="20"/>
              </w:rPr>
              <w:t>Flagship projects</w:t>
            </w:r>
          </w:p>
        </w:tc>
        <w:tc>
          <w:tcPr>
            <w:tcW w:w="0" w:type="auto"/>
            <w:gridSpan w:val="2"/>
            <w:vAlign w:val="center"/>
          </w:tcPr>
          <w:p w14:paraId="219876BF" w14:textId="6DE7277F" w:rsidR="00BC47AC" w:rsidRPr="00641CFB" w:rsidRDefault="00B0427E" w:rsidP="0074746A">
            <w:pPr>
              <w:pStyle w:val="MAWP-Bodytext"/>
              <w:spacing w:after="60"/>
              <w:contextualSpacing/>
              <w:rPr>
                <w:sz w:val="20"/>
                <w:szCs w:val="20"/>
              </w:rPr>
            </w:pPr>
            <w:r w:rsidRPr="00641CFB">
              <w:rPr>
                <w:sz w:val="20"/>
                <w:szCs w:val="20"/>
              </w:rPr>
              <w:t xml:space="preserve">Joint efforts between </w:t>
            </w:r>
            <w:r w:rsidR="00621D00" w:rsidRPr="00641CFB">
              <w:rPr>
                <w:sz w:val="20"/>
                <w:szCs w:val="20"/>
              </w:rPr>
              <w:t xml:space="preserve">the </w:t>
            </w:r>
            <w:r w:rsidR="007B70F5" w:rsidRPr="00641CFB">
              <w:rPr>
                <w:sz w:val="20"/>
                <w:szCs w:val="20"/>
              </w:rPr>
              <w:t xml:space="preserve">Clean Hydrogen </w:t>
            </w:r>
            <w:r w:rsidR="00621D00" w:rsidRPr="00641CFB">
              <w:rPr>
                <w:sz w:val="20"/>
                <w:szCs w:val="20"/>
              </w:rPr>
              <w:t>JU and P4P</w:t>
            </w:r>
            <w:r w:rsidR="00BC47AC" w:rsidRPr="00641CFB">
              <w:rPr>
                <w:sz w:val="20"/>
                <w:szCs w:val="20"/>
              </w:rPr>
              <w:t>,</w:t>
            </w:r>
            <w:r w:rsidRPr="00641CFB">
              <w:rPr>
                <w:sz w:val="20"/>
                <w:szCs w:val="20"/>
              </w:rPr>
              <w:t xml:space="preserve"> together with other funding programmes</w:t>
            </w:r>
            <w:r w:rsidR="00BC47AC" w:rsidRPr="00641CFB">
              <w:rPr>
                <w:sz w:val="20"/>
                <w:szCs w:val="20"/>
              </w:rPr>
              <w:t>,</w:t>
            </w:r>
            <w:r w:rsidRPr="00641CFB">
              <w:rPr>
                <w:sz w:val="20"/>
                <w:szCs w:val="20"/>
              </w:rPr>
              <w:t xml:space="preserve"> </w:t>
            </w:r>
            <w:r w:rsidR="00621D00" w:rsidRPr="00641CFB">
              <w:rPr>
                <w:sz w:val="20"/>
                <w:szCs w:val="20"/>
              </w:rPr>
              <w:t xml:space="preserve">could lead to the </w:t>
            </w:r>
            <w:r w:rsidRPr="00641CFB">
              <w:rPr>
                <w:sz w:val="20"/>
                <w:szCs w:val="20"/>
              </w:rPr>
              <w:t>installation of 100MW+ scale electroly</w:t>
            </w:r>
            <w:r w:rsidR="00BC47AC" w:rsidRPr="00641CFB">
              <w:rPr>
                <w:sz w:val="20"/>
                <w:szCs w:val="20"/>
              </w:rPr>
              <w:t>sers in industrial environment.</w:t>
            </w:r>
            <w:r w:rsidRPr="00641CFB">
              <w:rPr>
                <w:sz w:val="20"/>
                <w:szCs w:val="20"/>
              </w:rPr>
              <w:t xml:space="preserve"> </w:t>
            </w:r>
          </w:p>
          <w:p w14:paraId="439B7E54" w14:textId="20F826C3" w:rsidR="00B0427E" w:rsidRPr="00641CFB" w:rsidRDefault="00B0427E" w:rsidP="0074746A">
            <w:pPr>
              <w:pStyle w:val="MAWP-Bodytext"/>
              <w:spacing w:after="60"/>
              <w:contextualSpacing/>
              <w:rPr>
                <w:sz w:val="20"/>
                <w:szCs w:val="20"/>
              </w:rPr>
            </w:pPr>
            <w:r w:rsidRPr="00641CFB">
              <w:rPr>
                <w:sz w:val="20"/>
                <w:szCs w:val="20"/>
              </w:rPr>
              <w:t xml:space="preserve">Synergies between </w:t>
            </w:r>
            <w:r w:rsidR="006B27CB" w:rsidRPr="00641CFB">
              <w:rPr>
                <w:sz w:val="20"/>
                <w:szCs w:val="20"/>
              </w:rPr>
              <w:t xml:space="preserve">the </w:t>
            </w:r>
            <w:r w:rsidR="007B70F5" w:rsidRPr="00641CFB">
              <w:rPr>
                <w:sz w:val="20"/>
                <w:szCs w:val="20"/>
              </w:rPr>
              <w:t xml:space="preserve">Clean Hydrogen </w:t>
            </w:r>
            <w:r w:rsidR="006B27CB" w:rsidRPr="00641CFB">
              <w:rPr>
                <w:sz w:val="20"/>
                <w:szCs w:val="20"/>
              </w:rPr>
              <w:t>JU</w:t>
            </w:r>
            <w:r w:rsidRPr="00641CFB">
              <w:rPr>
                <w:sz w:val="20"/>
                <w:szCs w:val="20"/>
              </w:rPr>
              <w:t xml:space="preserve"> </w:t>
            </w:r>
            <w:r w:rsidR="00621D00" w:rsidRPr="00641CFB">
              <w:rPr>
                <w:sz w:val="20"/>
                <w:szCs w:val="20"/>
              </w:rPr>
              <w:t>“</w:t>
            </w:r>
            <w:r w:rsidRPr="00641CFB">
              <w:rPr>
                <w:sz w:val="20"/>
                <w:szCs w:val="20"/>
              </w:rPr>
              <w:t>H2 Valleys</w:t>
            </w:r>
            <w:r w:rsidR="00621D00" w:rsidRPr="00641CFB">
              <w:rPr>
                <w:sz w:val="20"/>
                <w:szCs w:val="20"/>
              </w:rPr>
              <w:t>”</w:t>
            </w:r>
            <w:r w:rsidR="006B27CB" w:rsidRPr="00641CFB">
              <w:rPr>
                <w:sz w:val="20"/>
                <w:szCs w:val="20"/>
              </w:rPr>
              <w:t xml:space="preserve"> </w:t>
            </w:r>
            <w:r w:rsidRPr="00641CFB">
              <w:rPr>
                <w:sz w:val="20"/>
                <w:szCs w:val="20"/>
              </w:rPr>
              <w:t xml:space="preserve">and </w:t>
            </w:r>
            <w:r w:rsidR="00621D00" w:rsidRPr="00641CFB">
              <w:rPr>
                <w:sz w:val="20"/>
                <w:szCs w:val="20"/>
              </w:rPr>
              <w:t>“</w:t>
            </w:r>
            <w:r w:rsidRPr="00641CFB">
              <w:rPr>
                <w:sz w:val="20"/>
                <w:szCs w:val="20"/>
              </w:rPr>
              <w:t>P4P</w:t>
            </w:r>
            <w:r w:rsidR="00621D00" w:rsidRPr="00641CFB">
              <w:rPr>
                <w:sz w:val="20"/>
                <w:szCs w:val="20"/>
              </w:rPr>
              <w:t>”</w:t>
            </w:r>
            <w:r w:rsidRPr="00641CFB">
              <w:rPr>
                <w:sz w:val="20"/>
                <w:szCs w:val="20"/>
              </w:rPr>
              <w:t xml:space="preserve"> Hubs for circularity</w:t>
            </w:r>
          </w:p>
        </w:tc>
      </w:tr>
    </w:tbl>
    <w:p w14:paraId="30BD82B1" w14:textId="77777777" w:rsidR="00641CFB" w:rsidRDefault="00641CFB" w:rsidP="00F7469A">
      <w:pPr>
        <w:pStyle w:val="MAWPHeadingStyleLevel4"/>
        <w:rPr>
          <w:rFonts w:cs="Arial"/>
        </w:rPr>
      </w:pPr>
    </w:p>
    <w:p w14:paraId="3EC65BB0" w14:textId="5ACACA3E" w:rsidR="00F7469A" w:rsidRPr="00B0427E" w:rsidRDefault="00F7469A" w:rsidP="00F7469A">
      <w:pPr>
        <w:pStyle w:val="MAWPHeadingStyleLevel4"/>
        <w:rPr>
          <w:rFonts w:cs="Arial"/>
        </w:rPr>
      </w:pPr>
      <w:r>
        <w:rPr>
          <w:rFonts w:cs="Arial"/>
        </w:rPr>
        <w:lastRenderedPageBreak/>
        <w:t>Clean Steel</w:t>
      </w:r>
      <w:r w:rsidRPr="00B0427E">
        <w:rPr>
          <w:rFonts w:cs="Arial"/>
        </w:rPr>
        <w:t xml:space="preserve"> </w:t>
      </w:r>
      <w:r w:rsidR="00CF6388">
        <w:rPr>
          <w:rFonts w:cs="Arial"/>
        </w:rPr>
        <w:t>partnership</w:t>
      </w:r>
    </w:p>
    <w:p w14:paraId="6E2F3B90" w14:textId="1C0A2948" w:rsidR="00F7469A" w:rsidRPr="00F7469A" w:rsidRDefault="00F7469A" w:rsidP="00F7469A">
      <w:pPr>
        <w:pStyle w:val="MAWP-Bodytext"/>
      </w:pPr>
      <w:r w:rsidRPr="00F7469A">
        <w:t xml:space="preserve">The steel and hydrogen industries have both a lot to gain in terms of upscaling electrolysers to the GW scale, supplying enough green hydrogen to achieve low-CO2 direct iron ore reduction through hydrogen. This is evident in the synergistic Work Plans of the two </w:t>
      </w:r>
      <w:r w:rsidR="00CF6388">
        <w:t>partnership</w:t>
      </w:r>
      <w:r w:rsidRPr="00F7469A">
        <w:t xml:space="preserve">s. Clean Hydrogen will focus on the development of electrolysers, including high temperature electrolysers that can use waste heat from the iron processes and Clean Steel will focus on converting the smelting process to iron ore reduction using hydrogen. Hydrogen and Oxygen produced from electrolysis can also be used in high temperature combustion processes with suitable combustors. Safety and education related aspects of this transition are of importance to both </w:t>
      </w:r>
      <w:r w:rsidR="00CF6388">
        <w:t>partnership</w:t>
      </w:r>
      <w:r w:rsidRPr="00F7469A">
        <w:t>s.</w:t>
      </w:r>
    </w:p>
    <w:p w14:paraId="4DB23620" w14:textId="154794B4" w:rsidR="00F7469A" w:rsidRPr="00F7469A" w:rsidRDefault="00F7469A" w:rsidP="00F7469A">
      <w:pPr>
        <w:pStyle w:val="MAWP-Bodytext"/>
      </w:pPr>
      <w:r w:rsidRPr="00F7469A">
        <w:t>An overview of the task division between the</w:t>
      </w:r>
      <w:r w:rsidR="00B74AFC">
        <w:t xml:space="preserve"> Clean Hydrogen JU and the</w:t>
      </w:r>
      <w:r w:rsidRPr="00F7469A">
        <w:t xml:space="preserve"> Clean Steel </w:t>
      </w:r>
      <w:r w:rsidR="00CF6388">
        <w:t>partnership</w:t>
      </w:r>
      <w:r w:rsidRPr="00F7469A">
        <w:t xml:space="preserve"> is provided in the table below.</w:t>
      </w:r>
    </w:p>
    <w:p w14:paraId="34C85517" w14:textId="41AC9A11" w:rsidR="00F7469A" w:rsidRDefault="00F7469A" w:rsidP="00F7469A">
      <w:pPr>
        <w:pStyle w:val="Caption"/>
      </w:pPr>
      <w:r>
        <w:t xml:space="preserve">Table </w:t>
      </w:r>
      <w:r w:rsidR="005D19CB">
        <w:fldChar w:fldCharType="begin"/>
      </w:r>
      <w:r w:rsidR="005D19CB">
        <w:instrText xml:space="preserve"> SEQ Table \* ARABIC </w:instrText>
      </w:r>
      <w:r w:rsidR="005D19CB">
        <w:fldChar w:fldCharType="separate"/>
      </w:r>
      <w:r w:rsidR="00797920">
        <w:rPr>
          <w:noProof/>
        </w:rPr>
        <w:t>27</w:t>
      </w:r>
      <w:r w:rsidR="005D19CB">
        <w:rPr>
          <w:noProof/>
        </w:rPr>
        <w:fldChar w:fldCharType="end"/>
      </w:r>
      <w:r>
        <w:t xml:space="preserve"> </w:t>
      </w:r>
      <w:r w:rsidRPr="00B0427E">
        <w:t xml:space="preserve">Envisioned distribution of responsibilities between </w:t>
      </w:r>
      <w:r w:rsidR="007B70F5">
        <w:t xml:space="preserve">Clean Hydrogen </w:t>
      </w:r>
      <w:r w:rsidRPr="00B0427E">
        <w:t xml:space="preserve">JU and </w:t>
      </w:r>
      <w:r>
        <w:t>Clean Steel</w:t>
      </w:r>
      <w:r w:rsidRPr="00B0427E">
        <w:t xml:space="preserve"> </w:t>
      </w:r>
      <w:r w:rsidR="00CF6388">
        <w:t>partnership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3346"/>
        <w:gridCol w:w="3657"/>
      </w:tblGrid>
      <w:tr w:rsidR="00F7469A" w:rsidRPr="00AC7F30" w14:paraId="73E43CE4" w14:textId="77777777" w:rsidTr="0074746A">
        <w:trPr>
          <w:trHeight w:val="669"/>
          <w:jc w:val="center"/>
        </w:trPr>
        <w:tc>
          <w:tcPr>
            <w:tcW w:w="0" w:type="auto"/>
            <w:shd w:val="clear" w:color="auto" w:fill="D9D9D9" w:themeFill="background1" w:themeFillShade="D9"/>
            <w:vAlign w:val="center"/>
          </w:tcPr>
          <w:p w14:paraId="0475154C" w14:textId="77777777" w:rsidR="00F7469A" w:rsidRPr="00B0427E" w:rsidRDefault="00F7469A" w:rsidP="001A7846">
            <w:pPr>
              <w:pStyle w:val="MAWP-Bodytext"/>
              <w:spacing w:afterLines="60" w:after="144"/>
              <w:contextualSpacing/>
              <w:jc w:val="center"/>
              <w:rPr>
                <w:b/>
              </w:rPr>
            </w:pPr>
            <w:r w:rsidRPr="00B0427E">
              <w:rPr>
                <w:b/>
              </w:rPr>
              <w:t>Research Area</w:t>
            </w:r>
          </w:p>
        </w:tc>
        <w:tc>
          <w:tcPr>
            <w:tcW w:w="0" w:type="auto"/>
            <w:shd w:val="clear" w:color="auto" w:fill="D9D9D9" w:themeFill="background1" w:themeFillShade="D9"/>
            <w:vAlign w:val="center"/>
          </w:tcPr>
          <w:p w14:paraId="1ABEB218" w14:textId="77777777" w:rsidR="00F7469A" w:rsidRPr="00B0427E" w:rsidRDefault="00F7469A" w:rsidP="001A7846">
            <w:pPr>
              <w:pStyle w:val="MAWP-Bodytext"/>
              <w:spacing w:afterLines="60" w:after="144"/>
              <w:contextualSpacing/>
              <w:jc w:val="center"/>
              <w:rPr>
                <w:b/>
              </w:rPr>
            </w:pPr>
            <w:r w:rsidRPr="00B0427E">
              <w:rPr>
                <w:b/>
              </w:rPr>
              <w:t>Clean Hydrogen JU</w:t>
            </w:r>
          </w:p>
        </w:tc>
        <w:tc>
          <w:tcPr>
            <w:tcW w:w="0" w:type="auto"/>
            <w:shd w:val="clear" w:color="auto" w:fill="D9D9D9" w:themeFill="background1" w:themeFillShade="D9"/>
            <w:vAlign w:val="center"/>
          </w:tcPr>
          <w:p w14:paraId="20C30003" w14:textId="77777777" w:rsidR="00F7469A" w:rsidRPr="00B0427E" w:rsidRDefault="00F7469A" w:rsidP="001A7846">
            <w:pPr>
              <w:pStyle w:val="MAWP-Bodytext"/>
              <w:spacing w:afterLines="60" w:after="144"/>
              <w:contextualSpacing/>
              <w:jc w:val="center"/>
              <w:rPr>
                <w:b/>
              </w:rPr>
            </w:pPr>
            <w:r w:rsidRPr="00B0427E">
              <w:rPr>
                <w:b/>
              </w:rPr>
              <w:t>P4P</w:t>
            </w:r>
          </w:p>
        </w:tc>
      </w:tr>
      <w:tr w:rsidR="00F7469A" w:rsidRPr="00AC7F30" w14:paraId="37ED4A6F" w14:textId="77777777" w:rsidTr="0074746A">
        <w:trPr>
          <w:trHeight w:val="994"/>
          <w:jc w:val="center"/>
        </w:trPr>
        <w:tc>
          <w:tcPr>
            <w:tcW w:w="0" w:type="auto"/>
          </w:tcPr>
          <w:p w14:paraId="6DA468B2" w14:textId="77777777" w:rsidR="00F7469A" w:rsidRPr="00641CFB" w:rsidRDefault="00F7469A" w:rsidP="001A7846">
            <w:pPr>
              <w:pStyle w:val="MAWP-Bodytext"/>
              <w:spacing w:afterLines="60" w:after="144"/>
              <w:contextualSpacing/>
              <w:jc w:val="left"/>
              <w:rPr>
                <w:sz w:val="20"/>
                <w:szCs w:val="20"/>
              </w:rPr>
            </w:pPr>
            <w:r w:rsidRPr="00641CFB">
              <w:rPr>
                <w:sz w:val="20"/>
                <w:szCs w:val="20"/>
              </w:rPr>
              <w:t>Direct Iron Ore reduction using hydrogen</w:t>
            </w:r>
          </w:p>
          <w:p w14:paraId="1600F3D0" w14:textId="32436BE9" w:rsidR="00F7469A" w:rsidRPr="00641CFB" w:rsidRDefault="00F7469A" w:rsidP="001A7846">
            <w:pPr>
              <w:pStyle w:val="MAWP-Bodytext"/>
              <w:spacing w:afterLines="60" w:after="144"/>
              <w:contextualSpacing/>
              <w:jc w:val="left"/>
              <w:rPr>
                <w:sz w:val="20"/>
                <w:szCs w:val="20"/>
              </w:rPr>
            </w:pPr>
          </w:p>
        </w:tc>
        <w:tc>
          <w:tcPr>
            <w:tcW w:w="0" w:type="auto"/>
          </w:tcPr>
          <w:p w14:paraId="5751710B" w14:textId="76224FCB" w:rsidR="00F7469A" w:rsidRPr="00641CFB" w:rsidRDefault="00F7469A" w:rsidP="001A7846">
            <w:pPr>
              <w:pStyle w:val="MAWP-Bodytext"/>
              <w:spacing w:afterLines="60" w:after="144"/>
              <w:contextualSpacing/>
              <w:rPr>
                <w:sz w:val="20"/>
                <w:szCs w:val="20"/>
              </w:rPr>
            </w:pPr>
            <w:r w:rsidRPr="00641CFB">
              <w:rPr>
                <w:sz w:val="20"/>
                <w:szCs w:val="20"/>
              </w:rPr>
              <w:t>Scaling up and further developing PEM and Alkaline electrolysers.</w:t>
            </w:r>
          </w:p>
          <w:p w14:paraId="441BA0DB" w14:textId="6A6AA0EA" w:rsidR="00F7469A" w:rsidRPr="00641CFB" w:rsidRDefault="00F7469A" w:rsidP="001A7846">
            <w:pPr>
              <w:pStyle w:val="MAWP-Bodytext"/>
              <w:spacing w:afterLines="60" w:after="144"/>
              <w:contextualSpacing/>
              <w:rPr>
                <w:sz w:val="20"/>
                <w:szCs w:val="20"/>
              </w:rPr>
            </w:pPr>
            <w:r w:rsidRPr="00641CFB">
              <w:rPr>
                <w:sz w:val="20"/>
                <w:szCs w:val="20"/>
              </w:rPr>
              <w:t>Thermal integration of Solid Oxide electrolysers</w:t>
            </w:r>
          </w:p>
        </w:tc>
        <w:tc>
          <w:tcPr>
            <w:tcW w:w="0" w:type="auto"/>
          </w:tcPr>
          <w:p w14:paraId="17AC1CC2" w14:textId="4C656DF9" w:rsidR="00F7469A" w:rsidRPr="00641CFB" w:rsidRDefault="00F7469A" w:rsidP="001A7846">
            <w:pPr>
              <w:pStyle w:val="MAWP-Bodytext"/>
              <w:spacing w:afterLines="60" w:after="144"/>
              <w:contextualSpacing/>
              <w:rPr>
                <w:sz w:val="20"/>
                <w:szCs w:val="20"/>
              </w:rPr>
            </w:pPr>
            <w:r w:rsidRPr="00641CFB">
              <w:rPr>
                <w:sz w:val="20"/>
                <w:szCs w:val="20"/>
              </w:rPr>
              <w:t>Modifying the iron production process to use Hydrogen as a reducing agent.</w:t>
            </w:r>
          </w:p>
          <w:p w14:paraId="027E075E" w14:textId="0086A23D" w:rsidR="00F7469A" w:rsidRPr="00641CFB" w:rsidRDefault="00F7469A" w:rsidP="001A7846">
            <w:pPr>
              <w:pStyle w:val="MAWP-Bodytext"/>
              <w:spacing w:afterLines="60" w:after="144"/>
              <w:contextualSpacing/>
              <w:rPr>
                <w:sz w:val="20"/>
                <w:szCs w:val="20"/>
              </w:rPr>
            </w:pPr>
            <w:r w:rsidRPr="00641CFB">
              <w:rPr>
                <w:sz w:val="20"/>
                <w:szCs w:val="20"/>
              </w:rPr>
              <w:t>Energy management/ Integration of electrolysers in steel plant.</w:t>
            </w:r>
          </w:p>
        </w:tc>
      </w:tr>
      <w:tr w:rsidR="00F7469A" w:rsidRPr="00AC7F30" w14:paraId="7DBE7D25" w14:textId="77777777" w:rsidTr="0074746A">
        <w:trPr>
          <w:trHeight w:val="596"/>
          <w:jc w:val="center"/>
        </w:trPr>
        <w:tc>
          <w:tcPr>
            <w:tcW w:w="0" w:type="auto"/>
          </w:tcPr>
          <w:p w14:paraId="388F221F" w14:textId="77777777" w:rsidR="00F7469A" w:rsidRPr="00641CFB" w:rsidRDefault="00F7469A" w:rsidP="001A7846">
            <w:pPr>
              <w:pStyle w:val="MAWP-Bodytext"/>
              <w:spacing w:afterLines="60" w:after="144"/>
              <w:contextualSpacing/>
              <w:jc w:val="left"/>
              <w:rPr>
                <w:sz w:val="20"/>
                <w:szCs w:val="20"/>
              </w:rPr>
            </w:pPr>
            <w:r w:rsidRPr="00641CFB">
              <w:rPr>
                <w:sz w:val="20"/>
                <w:szCs w:val="20"/>
              </w:rPr>
              <w:t>High temperature processes</w:t>
            </w:r>
          </w:p>
          <w:p w14:paraId="254D6164" w14:textId="608C0B57" w:rsidR="00F7469A" w:rsidRPr="00641CFB" w:rsidRDefault="00F7469A" w:rsidP="001A7846">
            <w:pPr>
              <w:pStyle w:val="MAWP-Bodytext"/>
              <w:spacing w:afterLines="60" w:after="144"/>
              <w:contextualSpacing/>
              <w:jc w:val="left"/>
              <w:rPr>
                <w:sz w:val="20"/>
                <w:szCs w:val="20"/>
              </w:rPr>
            </w:pPr>
          </w:p>
        </w:tc>
        <w:tc>
          <w:tcPr>
            <w:tcW w:w="0" w:type="auto"/>
          </w:tcPr>
          <w:p w14:paraId="249DF460" w14:textId="198EC20F" w:rsidR="00F7469A" w:rsidRPr="00641CFB" w:rsidRDefault="00F7469A" w:rsidP="001A7846">
            <w:pPr>
              <w:pStyle w:val="MAWP-Bodytext"/>
              <w:spacing w:afterLines="60" w:after="144"/>
              <w:contextualSpacing/>
              <w:rPr>
                <w:sz w:val="20"/>
                <w:szCs w:val="20"/>
              </w:rPr>
            </w:pPr>
            <w:r w:rsidRPr="00641CFB">
              <w:rPr>
                <w:sz w:val="20"/>
                <w:szCs w:val="20"/>
              </w:rPr>
              <w:t>Hydrogen and Oxygen production.</w:t>
            </w:r>
          </w:p>
        </w:tc>
        <w:tc>
          <w:tcPr>
            <w:tcW w:w="0" w:type="auto"/>
          </w:tcPr>
          <w:p w14:paraId="1129701B" w14:textId="6C18FB23" w:rsidR="00F7469A" w:rsidRPr="00641CFB" w:rsidRDefault="00F7469A" w:rsidP="001A7846">
            <w:pPr>
              <w:pStyle w:val="MAWP-Bodytext"/>
              <w:spacing w:afterLines="60" w:after="144"/>
              <w:contextualSpacing/>
              <w:rPr>
                <w:sz w:val="20"/>
                <w:szCs w:val="20"/>
              </w:rPr>
            </w:pPr>
            <w:r w:rsidRPr="00641CFB">
              <w:rPr>
                <w:sz w:val="20"/>
                <w:szCs w:val="20"/>
              </w:rPr>
              <w:t xml:space="preserve">Development of suitable burners, modification of melting and smelting processes. </w:t>
            </w:r>
          </w:p>
        </w:tc>
      </w:tr>
      <w:tr w:rsidR="00F7469A" w:rsidRPr="00AC7F30" w14:paraId="2363EA52" w14:textId="77777777" w:rsidTr="0074746A">
        <w:trPr>
          <w:trHeight w:val="754"/>
          <w:jc w:val="center"/>
        </w:trPr>
        <w:tc>
          <w:tcPr>
            <w:tcW w:w="0" w:type="auto"/>
          </w:tcPr>
          <w:p w14:paraId="2F8FD28A" w14:textId="77777777" w:rsidR="00F7469A" w:rsidRPr="00641CFB" w:rsidRDefault="00F7469A" w:rsidP="001A7846">
            <w:pPr>
              <w:pStyle w:val="MAWP-Bodytext"/>
              <w:spacing w:afterLines="60" w:after="144"/>
              <w:contextualSpacing/>
              <w:jc w:val="left"/>
              <w:rPr>
                <w:sz w:val="20"/>
                <w:szCs w:val="20"/>
              </w:rPr>
            </w:pPr>
            <w:r w:rsidRPr="00641CFB">
              <w:rPr>
                <w:sz w:val="20"/>
                <w:szCs w:val="20"/>
              </w:rPr>
              <w:t>Safety</w:t>
            </w:r>
          </w:p>
          <w:p w14:paraId="0FD3DD45" w14:textId="23471C0C" w:rsidR="00F7469A" w:rsidRPr="00641CFB" w:rsidRDefault="00F7469A" w:rsidP="001A7846">
            <w:pPr>
              <w:pStyle w:val="MAWP-Bodytext"/>
              <w:spacing w:afterLines="60" w:after="144"/>
              <w:contextualSpacing/>
              <w:jc w:val="left"/>
              <w:rPr>
                <w:sz w:val="20"/>
                <w:szCs w:val="20"/>
              </w:rPr>
            </w:pPr>
          </w:p>
        </w:tc>
        <w:tc>
          <w:tcPr>
            <w:tcW w:w="0" w:type="auto"/>
          </w:tcPr>
          <w:p w14:paraId="3B8CCC6E" w14:textId="4C2702B7" w:rsidR="00F7469A" w:rsidRPr="00641CFB" w:rsidRDefault="00F7469A" w:rsidP="001A7846">
            <w:pPr>
              <w:pStyle w:val="MAWP-Bodytext"/>
              <w:spacing w:afterLines="60" w:after="144"/>
              <w:contextualSpacing/>
              <w:rPr>
                <w:sz w:val="20"/>
                <w:szCs w:val="20"/>
              </w:rPr>
            </w:pPr>
            <w:r w:rsidRPr="00641CFB">
              <w:rPr>
                <w:sz w:val="20"/>
                <w:szCs w:val="20"/>
              </w:rPr>
              <w:t>PNR to support performance testing standardisation.</w:t>
            </w:r>
          </w:p>
          <w:p w14:paraId="192A4569" w14:textId="6B91D50C" w:rsidR="00F7469A" w:rsidRPr="00641CFB" w:rsidRDefault="00F7469A" w:rsidP="001A7846">
            <w:pPr>
              <w:pStyle w:val="MAWP-Bodytext"/>
              <w:spacing w:afterLines="60" w:after="144"/>
              <w:contextualSpacing/>
              <w:rPr>
                <w:sz w:val="20"/>
                <w:szCs w:val="20"/>
              </w:rPr>
            </w:pPr>
            <w:r w:rsidRPr="00641CFB">
              <w:rPr>
                <w:sz w:val="20"/>
                <w:szCs w:val="20"/>
              </w:rPr>
              <w:t>European Hydrogen Safety Panel.</w:t>
            </w:r>
          </w:p>
        </w:tc>
        <w:tc>
          <w:tcPr>
            <w:tcW w:w="0" w:type="auto"/>
          </w:tcPr>
          <w:p w14:paraId="2233417C" w14:textId="2D1C2421" w:rsidR="00F7469A" w:rsidRPr="00641CFB" w:rsidRDefault="00F7469A" w:rsidP="001A7846">
            <w:pPr>
              <w:pStyle w:val="MAWP-Bodytext"/>
              <w:spacing w:afterLines="60" w:after="144"/>
              <w:contextualSpacing/>
              <w:rPr>
                <w:sz w:val="20"/>
                <w:szCs w:val="20"/>
              </w:rPr>
            </w:pPr>
            <w:r w:rsidRPr="00641CFB">
              <w:rPr>
                <w:sz w:val="20"/>
                <w:szCs w:val="20"/>
              </w:rPr>
              <w:t>Safety issues in electrolysis processes.</w:t>
            </w:r>
          </w:p>
        </w:tc>
      </w:tr>
      <w:tr w:rsidR="00F7469A" w:rsidRPr="00AC7F30" w14:paraId="1656A0C3" w14:textId="77777777" w:rsidTr="0074746A">
        <w:trPr>
          <w:jc w:val="center"/>
        </w:trPr>
        <w:tc>
          <w:tcPr>
            <w:tcW w:w="0" w:type="auto"/>
          </w:tcPr>
          <w:p w14:paraId="4C23AE75" w14:textId="77777777" w:rsidR="00F7469A" w:rsidRPr="00641CFB" w:rsidRDefault="00F7469A" w:rsidP="001A7846">
            <w:pPr>
              <w:pStyle w:val="MAWP-Bodytext"/>
              <w:spacing w:afterLines="60" w:after="144"/>
              <w:contextualSpacing/>
              <w:jc w:val="left"/>
              <w:rPr>
                <w:sz w:val="20"/>
                <w:szCs w:val="20"/>
              </w:rPr>
            </w:pPr>
            <w:r w:rsidRPr="00641CFB">
              <w:rPr>
                <w:sz w:val="20"/>
                <w:szCs w:val="20"/>
              </w:rPr>
              <w:t>Education, training</w:t>
            </w:r>
          </w:p>
          <w:p w14:paraId="5AF77431" w14:textId="77777777" w:rsidR="00F7469A" w:rsidRPr="00641CFB" w:rsidRDefault="00F7469A" w:rsidP="001A7846">
            <w:pPr>
              <w:pStyle w:val="MAWP-Bodytext"/>
              <w:spacing w:afterLines="60" w:after="144"/>
              <w:contextualSpacing/>
              <w:jc w:val="left"/>
              <w:rPr>
                <w:sz w:val="20"/>
                <w:szCs w:val="20"/>
              </w:rPr>
            </w:pPr>
          </w:p>
        </w:tc>
        <w:tc>
          <w:tcPr>
            <w:tcW w:w="0" w:type="auto"/>
          </w:tcPr>
          <w:p w14:paraId="1E0A9413" w14:textId="3B23C60E" w:rsidR="00F7469A" w:rsidRPr="00641CFB" w:rsidRDefault="00F7469A" w:rsidP="001A7846">
            <w:pPr>
              <w:pStyle w:val="MAWP-Bodytext"/>
              <w:spacing w:afterLines="60" w:after="144"/>
              <w:contextualSpacing/>
              <w:rPr>
                <w:sz w:val="20"/>
                <w:szCs w:val="20"/>
                <w:highlight w:val="yellow"/>
              </w:rPr>
            </w:pPr>
            <w:r w:rsidRPr="00641CFB">
              <w:rPr>
                <w:sz w:val="20"/>
                <w:szCs w:val="20"/>
              </w:rPr>
              <w:t>Education and training at all levels, included training for industries available.</w:t>
            </w:r>
          </w:p>
        </w:tc>
        <w:tc>
          <w:tcPr>
            <w:tcW w:w="0" w:type="auto"/>
          </w:tcPr>
          <w:p w14:paraId="11E1967B" w14:textId="72051087" w:rsidR="00F7469A" w:rsidRPr="00641CFB" w:rsidRDefault="00F7469A" w:rsidP="001A7846">
            <w:pPr>
              <w:pStyle w:val="MAWP-Bodytext"/>
              <w:spacing w:afterLines="60" w:after="144"/>
              <w:contextualSpacing/>
              <w:rPr>
                <w:sz w:val="20"/>
                <w:szCs w:val="20"/>
                <w:highlight w:val="yellow"/>
              </w:rPr>
            </w:pPr>
            <w:r w:rsidRPr="00641CFB">
              <w:rPr>
                <w:sz w:val="20"/>
                <w:szCs w:val="20"/>
              </w:rPr>
              <w:t>Upskill/support of staff regarding  handling new safety issues (e.g. handling of hydrogen).</w:t>
            </w:r>
          </w:p>
        </w:tc>
      </w:tr>
    </w:tbl>
    <w:p w14:paraId="149C12AB" w14:textId="77777777" w:rsidR="00F7469A" w:rsidRDefault="00F7469A" w:rsidP="00F7469A">
      <w:pPr>
        <w:rPr>
          <w:highlight w:val="yellow"/>
        </w:rPr>
      </w:pPr>
    </w:p>
    <w:p w14:paraId="082D84E4" w14:textId="1BEC399A" w:rsidR="00E8307C" w:rsidRPr="00E8307C" w:rsidRDefault="00E8307C" w:rsidP="00E8307C">
      <w:pPr>
        <w:pStyle w:val="MAWPHeadingStyleLevel4"/>
        <w:rPr>
          <w:rFonts w:cs="Arial"/>
        </w:rPr>
      </w:pPr>
      <w:r w:rsidRPr="00E8307C">
        <w:rPr>
          <w:rFonts w:cs="Arial"/>
        </w:rPr>
        <w:t xml:space="preserve">Synergies with </w:t>
      </w:r>
      <w:r>
        <w:rPr>
          <w:rFonts w:cs="Arial"/>
        </w:rPr>
        <w:t>2ZERO</w:t>
      </w:r>
      <w:r w:rsidR="00C929F6">
        <w:rPr>
          <w:rFonts w:cs="Arial"/>
        </w:rPr>
        <w:t xml:space="preserve"> </w:t>
      </w:r>
      <w:r w:rsidR="00CF6388">
        <w:rPr>
          <w:rFonts w:cs="Arial"/>
        </w:rPr>
        <w:t>partnership</w:t>
      </w:r>
    </w:p>
    <w:p w14:paraId="7229ED2B" w14:textId="72B6E2A9" w:rsidR="00E8307C" w:rsidRPr="00E8307C" w:rsidRDefault="00E8307C" w:rsidP="00811FD8">
      <w:pPr>
        <w:pStyle w:val="MAWP-Bodytext"/>
      </w:pPr>
      <w:r w:rsidRPr="00E8307C">
        <w:t xml:space="preserve">A strong collaboration is envisaged between </w:t>
      </w:r>
      <w:r w:rsidR="007B70F5">
        <w:t xml:space="preserve">Clean Hydrogen </w:t>
      </w:r>
      <w:r w:rsidRPr="00E8307C">
        <w:t>JU and 2</w:t>
      </w:r>
      <w:r>
        <w:t>ZERO</w:t>
      </w:r>
      <w:r w:rsidRPr="00E8307C">
        <w:t xml:space="preserve"> as both partnerships will deal with the development and deployment of hydrogen and fuel cells trucks. </w:t>
      </w:r>
    </w:p>
    <w:p w14:paraId="3DA4754D" w14:textId="510901BA" w:rsidR="00E8307C" w:rsidRPr="00E8307C" w:rsidRDefault="00E8307C" w:rsidP="00811FD8">
      <w:pPr>
        <w:pStyle w:val="MAWP-Bodytext"/>
      </w:pPr>
      <w:r w:rsidRPr="00E8307C">
        <w:t xml:space="preserve">The </w:t>
      </w:r>
      <w:r w:rsidR="007B70F5">
        <w:t xml:space="preserve">Clean Hydrogen </w:t>
      </w:r>
      <w:r w:rsidRPr="00E8307C">
        <w:t xml:space="preserve">JU will focus on the development of fuel cells system components starting from low TRL research activities to the development of commercial products. Components include stacks, module, BoP, tanks and the overall FC system. </w:t>
      </w:r>
    </w:p>
    <w:p w14:paraId="2A1E950F" w14:textId="2B3BE687" w:rsidR="00E8307C" w:rsidRPr="00E8307C" w:rsidRDefault="00E8307C" w:rsidP="00811FD8">
      <w:pPr>
        <w:pStyle w:val="MAWP-Bodytext"/>
      </w:pPr>
      <w:r w:rsidRPr="00E8307C">
        <w:t>The 2</w:t>
      </w:r>
      <w:r w:rsidR="00C929F6">
        <w:t xml:space="preserve">ZERO </w:t>
      </w:r>
      <w:r w:rsidR="00CF6388">
        <w:t>partnership</w:t>
      </w:r>
      <w:r w:rsidRPr="00E8307C">
        <w:t xml:space="preserve"> will focus on the integration of the fuel cell system in heavy-duty vehicles and the demonstration activities of these prototypes. Large demonstration activities fall within the remit of the </w:t>
      </w:r>
      <w:r w:rsidR="007B70F5">
        <w:t xml:space="preserve">Clean Hydrogen </w:t>
      </w:r>
      <w:r w:rsidRPr="00E8307C">
        <w:t>JU</w:t>
      </w:r>
      <w:r w:rsidR="00C929F6">
        <w:t>,</w:t>
      </w:r>
      <w:r w:rsidRPr="00E8307C">
        <w:t xml:space="preserve"> as well as the development and deployment of hydrogen refuelling stations</w:t>
      </w:r>
      <w:r w:rsidR="00C929F6">
        <w:t>.</w:t>
      </w:r>
    </w:p>
    <w:p w14:paraId="72493078" w14:textId="61D96439" w:rsidR="00E8307C" w:rsidRDefault="00E8307C" w:rsidP="00811FD8">
      <w:pPr>
        <w:pStyle w:val="MAWP-Bodytext"/>
      </w:pPr>
      <w:r w:rsidRPr="00B364CB">
        <w:t xml:space="preserve">An overview of the task division between </w:t>
      </w:r>
      <w:r>
        <w:t>2</w:t>
      </w:r>
      <w:r w:rsidR="00C929F6">
        <w:t>ZERO</w:t>
      </w:r>
      <w:r w:rsidRPr="00B364CB">
        <w:t xml:space="preserve"> </w:t>
      </w:r>
      <w:r>
        <w:t xml:space="preserve">and Clean Hydrogen </w:t>
      </w:r>
      <w:r w:rsidR="00C929F6">
        <w:t xml:space="preserve">JU </w:t>
      </w:r>
      <w:r w:rsidRPr="00B364CB">
        <w:t xml:space="preserve">is provided in the </w:t>
      </w:r>
      <w:r w:rsidR="00C929F6">
        <w:t xml:space="preserve">table </w:t>
      </w:r>
      <w:r w:rsidRPr="00B364CB">
        <w:t>below.</w:t>
      </w:r>
    </w:p>
    <w:p w14:paraId="410FEFAC" w14:textId="5E586C1E" w:rsidR="00C929F6" w:rsidRDefault="00C929F6" w:rsidP="00C929F6">
      <w:pPr>
        <w:pStyle w:val="Caption"/>
      </w:pPr>
      <w:r>
        <w:lastRenderedPageBreak/>
        <w:t xml:space="preserve">Table </w:t>
      </w:r>
      <w:r w:rsidR="005D19CB">
        <w:fldChar w:fldCharType="begin"/>
      </w:r>
      <w:r w:rsidR="005D19CB">
        <w:instrText xml:space="preserve"> SEQ Table \* ARABIC </w:instrText>
      </w:r>
      <w:r w:rsidR="005D19CB">
        <w:fldChar w:fldCharType="separate"/>
      </w:r>
      <w:r w:rsidR="00797920">
        <w:rPr>
          <w:noProof/>
        </w:rPr>
        <w:t>28</w:t>
      </w:r>
      <w:r w:rsidR="005D19CB">
        <w:rPr>
          <w:noProof/>
        </w:rPr>
        <w:fldChar w:fldCharType="end"/>
      </w:r>
      <w:r>
        <w:t xml:space="preserve"> </w:t>
      </w:r>
      <w:r w:rsidRPr="00C929F6">
        <w:t>Envisioned distribution of responsibilities between Clean Hydrogen JU and 2Z</w:t>
      </w:r>
      <w:r>
        <w:t>ERO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3323"/>
        <w:gridCol w:w="3588"/>
      </w:tblGrid>
      <w:tr w:rsidR="00C929F6" w:rsidRPr="00AC7F30" w14:paraId="05E8B4A6" w14:textId="77777777" w:rsidTr="001A7846">
        <w:trPr>
          <w:trHeight w:val="669"/>
          <w:jc w:val="center"/>
        </w:trPr>
        <w:tc>
          <w:tcPr>
            <w:tcW w:w="0" w:type="auto"/>
            <w:shd w:val="clear" w:color="auto" w:fill="D9D9D9" w:themeFill="background1" w:themeFillShade="D9"/>
            <w:vAlign w:val="center"/>
          </w:tcPr>
          <w:p w14:paraId="1B6A7965" w14:textId="77777777" w:rsidR="00C929F6" w:rsidRPr="00B0427E" w:rsidRDefault="00C929F6" w:rsidP="001A7846">
            <w:pPr>
              <w:pStyle w:val="MAWP-Bodytext"/>
              <w:spacing w:afterLines="60" w:after="144"/>
              <w:contextualSpacing/>
              <w:jc w:val="center"/>
              <w:rPr>
                <w:b/>
              </w:rPr>
            </w:pPr>
            <w:r w:rsidRPr="00B0427E">
              <w:rPr>
                <w:b/>
              </w:rPr>
              <w:t>Research Area</w:t>
            </w:r>
          </w:p>
        </w:tc>
        <w:tc>
          <w:tcPr>
            <w:tcW w:w="0" w:type="auto"/>
            <w:shd w:val="clear" w:color="auto" w:fill="D9D9D9" w:themeFill="background1" w:themeFillShade="D9"/>
            <w:vAlign w:val="center"/>
          </w:tcPr>
          <w:p w14:paraId="5EBFDE59" w14:textId="77777777" w:rsidR="00C929F6" w:rsidRPr="00B0427E" w:rsidRDefault="00C929F6" w:rsidP="001A7846">
            <w:pPr>
              <w:pStyle w:val="MAWP-Bodytext"/>
              <w:spacing w:afterLines="60" w:after="144"/>
              <w:contextualSpacing/>
              <w:jc w:val="center"/>
              <w:rPr>
                <w:b/>
              </w:rPr>
            </w:pPr>
            <w:r w:rsidRPr="00B0427E">
              <w:rPr>
                <w:b/>
              </w:rPr>
              <w:t>Clean Hydrogen JU</w:t>
            </w:r>
          </w:p>
        </w:tc>
        <w:tc>
          <w:tcPr>
            <w:tcW w:w="0" w:type="auto"/>
            <w:shd w:val="clear" w:color="auto" w:fill="D9D9D9" w:themeFill="background1" w:themeFillShade="D9"/>
            <w:vAlign w:val="center"/>
          </w:tcPr>
          <w:p w14:paraId="01C1E131" w14:textId="4467C00B" w:rsidR="00C929F6" w:rsidRPr="00B0427E" w:rsidRDefault="00C929F6" w:rsidP="001A7846">
            <w:pPr>
              <w:pStyle w:val="MAWP-Bodytext"/>
              <w:spacing w:afterLines="60" w:after="144"/>
              <w:contextualSpacing/>
              <w:jc w:val="center"/>
              <w:rPr>
                <w:b/>
              </w:rPr>
            </w:pPr>
            <w:r>
              <w:rPr>
                <w:b/>
              </w:rPr>
              <w:t>2ZERO</w:t>
            </w:r>
          </w:p>
        </w:tc>
      </w:tr>
      <w:tr w:rsidR="00C929F6" w:rsidRPr="00AC7F30" w14:paraId="6364AD87" w14:textId="77777777" w:rsidTr="001A7846">
        <w:trPr>
          <w:trHeight w:val="994"/>
          <w:jc w:val="center"/>
        </w:trPr>
        <w:tc>
          <w:tcPr>
            <w:tcW w:w="0" w:type="auto"/>
            <w:vAlign w:val="center"/>
          </w:tcPr>
          <w:p w14:paraId="495EEF42" w14:textId="58F34127" w:rsidR="00C929F6" w:rsidRPr="00641CFB" w:rsidRDefault="00C929F6" w:rsidP="001A7846">
            <w:pPr>
              <w:pStyle w:val="MAWP-Bodytext"/>
              <w:spacing w:afterLines="60" w:after="144"/>
              <w:contextualSpacing/>
              <w:rPr>
                <w:sz w:val="20"/>
                <w:szCs w:val="20"/>
              </w:rPr>
            </w:pPr>
            <w:r w:rsidRPr="00641CFB">
              <w:rPr>
                <w:sz w:val="20"/>
                <w:szCs w:val="20"/>
              </w:rPr>
              <w:t>Fuel Cells</w:t>
            </w:r>
          </w:p>
        </w:tc>
        <w:tc>
          <w:tcPr>
            <w:tcW w:w="0" w:type="auto"/>
            <w:vAlign w:val="center"/>
          </w:tcPr>
          <w:p w14:paraId="1A1F324D" w14:textId="6E23C0DF" w:rsidR="00C929F6" w:rsidRPr="00641CFB" w:rsidRDefault="00C929F6" w:rsidP="001A7846">
            <w:pPr>
              <w:pStyle w:val="MAWP-Bodytext"/>
              <w:spacing w:afterLines="60" w:after="144"/>
              <w:contextualSpacing/>
              <w:rPr>
                <w:sz w:val="20"/>
                <w:szCs w:val="20"/>
              </w:rPr>
            </w:pPr>
            <w:r w:rsidRPr="00641CFB">
              <w:rPr>
                <w:sz w:val="20"/>
                <w:szCs w:val="20"/>
              </w:rPr>
              <w:t>Actions related to FC stacks and FC modules.</w:t>
            </w:r>
          </w:p>
          <w:p w14:paraId="585F123B" w14:textId="4FE6BE79" w:rsidR="00C929F6" w:rsidRPr="00641CFB" w:rsidRDefault="00C929F6" w:rsidP="001A7846">
            <w:pPr>
              <w:pStyle w:val="MAWP-Bodytext"/>
              <w:spacing w:afterLines="60" w:after="144"/>
              <w:contextualSpacing/>
              <w:rPr>
                <w:sz w:val="20"/>
                <w:szCs w:val="20"/>
              </w:rPr>
            </w:pPr>
            <w:r w:rsidRPr="00641CFB">
              <w:rPr>
                <w:sz w:val="20"/>
                <w:szCs w:val="20"/>
              </w:rPr>
              <w:t>Leading actions on FC system in collaboration with 2ZERO.</w:t>
            </w:r>
          </w:p>
        </w:tc>
        <w:tc>
          <w:tcPr>
            <w:tcW w:w="0" w:type="auto"/>
            <w:vAlign w:val="center"/>
          </w:tcPr>
          <w:p w14:paraId="2CC02BFF" w14:textId="5992804B" w:rsidR="00C929F6" w:rsidRPr="00641CFB" w:rsidRDefault="00C929F6" w:rsidP="001A7846">
            <w:pPr>
              <w:pStyle w:val="MAWP-Bodytext"/>
              <w:spacing w:afterLines="60" w:after="144"/>
              <w:contextualSpacing/>
              <w:rPr>
                <w:sz w:val="20"/>
                <w:szCs w:val="20"/>
              </w:rPr>
            </w:pPr>
            <w:r w:rsidRPr="00641CFB">
              <w:rPr>
                <w:sz w:val="20"/>
                <w:szCs w:val="20"/>
              </w:rPr>
              <w:t xml:space="preserve">Actions on FC system in collaboration with the </w:t>
            </w:r>
            <w:r w:rsidR="007B70F5" w:rsidRPr="00641CFB">
              <w:rPr>
                <w:sz w:val="20"/>
                <w:szCs w:val="20"/>
              </w:rPr>
              <w:t xml:space="preserve">Clean Hydrogen </w:t>
            </w:r>
            <w:r w:rsidRPr="00641CFB">
              <w:rPr>
                <w:sz w:val="20"/>
                <w:szCs w:val="20"/>
              </w:rPr>
              <w:t>JU.</w:t>
            </w:r>
          </w:p>
        </w:tc>
      </w:tr>
      <w:tr w:rsidR="00C929F6" w:rsidRPr="00AC7F30" w14:paraId="36F93575" w14:textId="77777777" w:rsidTr="001A7846">
        <w:trPr>
          <w:trHeight w:val="596"/>
          <w:jc w:val="center"/>
        </w:trPr>
        <w:tc>
          <w:tcPr>
            <w:tcW w:w="0" w:type="auto"/>
            <w:vAlign w:val="center"/>
          </w:tcPr>
          <w:p w14:paraId="504EA481" w14:textId="0D48B12F" w:rsidR="00C929F6" w:rsidRPr="00641CFB" w:rsidRDefault="00C929F6" w:rsidP="001A7846">
            <w:pPr>
              <w:pStyle w:val="MAWP-Bodytext"/>
              <w:spacing w:afterLines="60" w:after="144"/>
              <w:contextualSpacing/>
              <w:jc w:val="left"/>
              <w:rPr>
                <w:sz w:val="20"/>
                <w:szCs w:val="20"/>
              </w:rPr>
            </w:pPr>
            <w:r w:rsidRPr="00641CFB">
              <w:rPr>
                <w:sz w:val="20"/>
                <w:szCs w:val="20"/>
              </w:rPr>
              <w:t>FC Trucks Components &amp; Integration</w:t>
            </w:r>
          </w:p>
        </w:tc>
        <w:tc>
          <w:tcPr>
            <w:tcW w:w="0" w:type="auto"/>
            <w:gridSpan w:val="2"/>
            <w:vAlign w:val="center"/>
          </w:tcPr>
          <w:p w14:paraId="78B79335" w14:textId="41A00A23" w:rsidR="00C929F6" w:rsidRPr="00641CFB" w:rsidRDefault="00C929F6" w:rsidP="001A7846">
            <w:pPr>
              <w:pStyle w:val="MAWP-Bodytext"/>
              <w:spacing w:afterLines="60" w:after="144"/>
              <w:contextualSpacing/>
              <w:rPr>
                <w:sz w:val="20"/>
                <w:szCs w:val="20"/>
              </w:rPr>
            </w:pPr>
            <w:r w:rsidRPr="00641CFB">
              <w:rPr>
                <w:sz w:val="20"/>
                <w:szCs w:val="20"/>
              </w:rPr>
              <w:t xml:space="preserve">Strong Collaboration between the two </w:t>
            </w:r>
            <w:r w:rsidR="00CF6388" w:rsidRPr="00641CFB">
              <w:rPr>
                <w:sz w:val="20"/>
                <w:szCs w:val="20"/>
              </w:rPr>
              <w:t>partnership</w:t>
            </w:r>
            <w:r w:rsidRPr="00641CFB">
              <w:rPr>
                <w:sz w:val="20"/>
                <w:szCs w:val="20"/>
              </w:rPr>
              <w:t xml:space="preserve">s on onboard storage and powertrain integration. </w:t>
            </w:r>
          </w:p>
          <w:p w14:paraId="380BC7B5" w14:textId="76026F19" w:rsidR="00C929F6" w:rsidRPr="00641CFB" w:rsidRDefault="00C929F6" w:rsidP="001A7846">
            <w:pPr>
              <w:pStyle w:val="MAWP-Bodytext"/>
              <w:spacing w:afterLines="60" w:after="144"/>
              <w:contextualSpacing/>
              <w:rPr>
                <w:sz w:val="20"/>
                <w:szCs w:val="20"/>
              </w:rPr>
            </w:pPr>
            <w:r w:rsidRPr="00641CFB">
              <w:rPr>
                <w:sz w:val="20"/>
                <w:szCs w:val="20"/>
              </w:rPr>
              <w:t xml:space="preserve">The </w:t>
            </w:r>
            <w:r w:rsidR="007B70F5" w:rsidRPr="00641CFB">
              <w:rPr>
                <w:sz w:val="20"/>
                <w:szCs w:val="20"/>
              </w:rPr>
              <w:t xml:space="preserve">Clean Hydrogen </w:t>
            </w:r>
            <w:r w:rsidRPr="00641CFB">
              <w:rPr>
                <w:sz w:val="20"/>
                <w:szCs w:val="20"/>
              </w:rPr>
              <w:t>JU to lead the work on onboard storage, while 2ZERO the work on powertrain integration.</w:t>
            </w:r>
          </w:p>
        </w:tc>
      </w:tr>
      <w:tr w:rsidR="00C929F6" w:rsidRPr="00AC7F30" w14:paraId="367E9BE4" w14:textId="77777777" w:rsidTr="001A7846">
        <w:trPr>
          <w:trHeight w:val="754"/>
          <w:jc w:val="center"/>
        </w:trPr>
        <w:tc>
          <w:tcPr>
            <w:tcW w:w="0" w:type="auto"/>
            <w:vAlign w:val="center"/>
          </w:tcPr>
          <w:p w14:paraId="2908124E" w14:textId="514583C8" w:rsidR="00C929F6" w:rsidRPr="00641CFB" w:rsidRDefault="00C929F6" w:rsidP="001A7846">
            <w:pPr>
              <w:pStyle w:val="MAWP-Bodytext"/>
              <w:spacing w:afterLines="60" w:after="144"/>
              <w:contextualSpacing/>
              <w:rPr>
                <w:sz w:val="20"/>
                <w:szCs w:val="20"/>
              </w:rPr>
            </w:pPr>
            <w:r w:rsidRPr="00641CFB">
              <w:rPr>
                <w:sz w:val="20"/>
                <w:szCs w:val="20"/>
              </w:rPr>
              <w:t>Demonstrations</w:t>
            </w:r>
          </w:p>
        </w:tc>
        <w:tc>
          <w:tcPr>
            <w:tcW w:w="0" w:type="auto"/>
            <w:gridSpan w:val="2"/>
            <w:vAlign w:val="center"/>
          </w:tcPr>
          <w:p w14:paraId="671F4A9F" w14:textId="2A576333" w:rsidR="00C929F6" w:rsidRPr="00641CFB" w:rsidRDefault="00C929F6" w:rsidP="001A7846">
            <w:pPr>
              <w:pStyle w:val="MAWP-Bodytext"/>
              <w:spacing w:afterLines="60" w:after="144"/>
              <w:contextualSpacing/>
              <w:rPr>
                <w:sz w:val="20"/>
                <w:szCs w:val="20"/>
              </w:rPr>
            </w:pPr>
            <w:r w:rsidRPr="00641CFB">
              <w:rPr>
                <w:sz w:val="20"/>
                <w:szCs w:val="20"/>
              </w:rPr>
              <w:t xml:space="preserve">Strong Collaboration between the two </w:t>
            </w:r>
            <w:r w:rsidR="00CF6388" w:rsidRPr="00641CFB">
              <w:rPr>
                <w:sz w:val="20"/>
                <w:szCs w:val="20"/>
              </w:rPr>
              <w:t>partnership</w:t>
            </w:r>
            <w:r w:rsidRPr="00641CFB">
              <w:rPr>
                <w:sz w:val="20"/>
                <w:szCs w:val="20"/>
              </w:rPr>
              <w:t xml:space="preserve">s, with 2ZERO leading on the work for a Prototype demo, while the </w:t>
            </w:r>
            <w:r w:rsidR="007B70F5" w:rsidRPr="00641CFB">
              <w:rPr>
                <w:sz w:val="20"/>
                <w:szCs w:val="20"/>
              </w:rPr>
              <w:t xml:space="preserve">Clean Hydrogen </w:t>
            </w:r>
            <w:r w:rsidRPr="00641CFB">
              <w:rPr>
                <w:sz w:val="20"/>
                <w:szCs w:val="20"/>
              </w:rPr>
              <w:t>JU leading the actions for a large scale demo.</w:t>
            </w:r>
          </w:p>
        </w:tc>
      </w:tr>
      <w:tr w:rsidR="00C929F6" w:rsidRPr="00AC7F30" w14:paraId="582ADB4E" w14:textId="77777777" w:rsidTr="001A7846">
        <w:trPr>
          <w:jc w:val="center"/>
        </w:trPr>
        <w:tc>
          <w:tcPr>
            <w:tcW w:w="0" w:type="auto"/>
            <w:vAlign w:val="center"/>
          </w:tcPr>
          <w:p w14:paraId="5A39D4DB" w14:textId="41B76284" w:rsidR="00C929F6" w:rsidRPr="00641CFB" w:rsidRDefault="00C929F6" w:rsidP="001A7846">
            <w:pPr>
              <w:pStyle w:val="MAWP-Bodytext"/>
              <w:spacing w:afterLines="60" w:after="144"/>
              <w:contextualSpacing/>
              <w:rPr>
                <w:sz w:val="20"/>
                <w:szCs w:val="20"/>
              </w:rPr>
            </w:pPr>
            <w:r w:rsidRPr="00641CFB">
              <w:rPr>
                <w:sz w:val="20"/>
                <w:szCs w:val="20"/>
              </w:rPr>
              <w:t xml:space="preserve">Other </w:t>
            </w:r>
          </w:p>
        </w:tc>
        <w:tc>
          <w:tcPr>
            <w:tcW w:w="0" w:type="auto"/>
            <w:vAlign w:val="center"/>
          </w:tcPr>
          <w:p w14:paraId="77A7BADC" w14:textId="3057FB0E" w:rsidR="00C929F6" w:rsidRPr="00641CFB" w:rsidRDefault="00C929F6" w:rsidP="001A7846">
            <w:pPr>
              <w:pStyle w:val="MAWP-Bodytext"/>
              <w:spacing w:afterLines="60" w:after="144"/>
              <w:contextualSpacing/>
              <w:rPr>
                <w:sz w:val="20"/>
                <w:szCs w:val="20"/>
              </w:rPr>
            </w:pPr>
            <w:r w:rsidRPr="00641CFB">
              <w:rPr>
                <w:sz w:val="20"/>
                <w:szCs w:val="20"/>
              </w:rPr>
              <w:t>Actions on H2 infrastructure and End of Life.</w:t>
            </w:r>
          </w:p>
        </w:tc>
        <w:tc>
          <w:tcPr>
            <w:tcW w:w="0" w:type="auto"/>
            <w:vAlign w:val="center"/>
          </w:tcPr>
          <w:p w14:paraId="78B879F0" w14:textId="2BC54A54" w:rsidR="00C929F6" w:rsidRPr="00641CFB" w:rsidRDefault="00C929F6" w:rsidP="001A7846">
            <w:pPr>
              <w:pStyle w:val="MAWP-Bodytext"/>
              <w:spacing w:afterLines="60" w:after="144"/>
              <w:contextualSpacing/>
              <w:rPr>
                <w:sz w:val="20"/>
                <w:szCs w:val="20"/>
                <w:highlight w:val="yellow"/>
              </w:rPr>
            </w:pPr>
          </w:p>
        </w:tc>
      </w:tr>
    </w:tbl>
    <w:p w14:paraId="1FC80339" w14:textId="77777777" w:rsidR="00811FD8" w:rsidRDefault="00811FD8" w:rsidP="00811FD8">
      <w:pPr>
        <w:pStyle w:val="MAWPHeadingStyleLevel4"/>
      </w:pPr>
    </w:p>
    <w:p w14:paraId="76099D72" w14:textId="67D359AE" w:rsidR="00811FD8" w:rsidRPr="00B364CB" w:rsidRDefault="00811FD8" w:rsidP="00811FD8">
      <w:pPr>
        <w:pStyle w:val="MAWPHeadingStyleLevel4"/>
      </w:pPr>
      <w:r w:rsidRPr="00B364CB">
        <w:t xml:space="preserve">Synergies with </w:t>
      </w:r>
      <w:r>
        <w:rPr>
          <w:rFonts w:cs="Arial"/>
        </w:rPr>
        <w:t xml:space="preserve">Zero Emission Waterborne Transport </w:t>
      </w:r>
      <w:r w:rsidR="00CF6388">
        <w:rPr>
          <w:rFonts w:cs="Arial"/>
        </w:rPr>
        <w:t>partnership</w:t>
      </w:r>
    </w:p>
    <w:p w14:paraId="795C9F0B" w14:textId="28E36143" w:rsidR="00811FD8" w:rsidRDefault="00811FD8" w:rsidP="00811FD8">
      <w:pPr>
        <w:pStyle w:val="MAWP-Bodytext"/>
      </w:pPr>
      <w:r w:rsidRPr="00B364CB">
        <w:t xml:space="preserve">A strong collaboration is </w:t>
      </w:r>
      <w:r>
        <w:t xml:space="preserve">also </w:t>
      </w:r>
      <w:r w:rsidRPr="00B364CB">
        <w:t xml:space="preserve">envisaged between </w:t>
      </w:r>
      <w:r>
        <w:t xml:space="preserve">the </w:t>
      </w:r>
      <w:r w:rsidR="007B70F5">
        <w:t xml:space="preserve">Clean Hydrogen </w:t>
      </w:r>
      <w:r w:rsidRPr="00B364CB">
        <w:t xml:space="preserve">JU and </w:t>
      </w:r>
      <w:r>
        <w:t>ZEWT</w:t>
      </w:r>
      <w:r w:rsidRPr="00B364CB">
        <w:t xml:space="preserve">. </w:t>
      </w:r>
    </w:p>
    <w:p w14:paraId="69EA0537" w14:textId="0A9D7177" w:rsidR="00811FD8" w:rsidRDefault="00811FD8" w:rsidP="00811FD8">
      <w:pPr>
        <w:pStyle w:val="MAWP-Bodytext"/>
      </w:pPr>
      <w:r w:rsidRPr="00B364CB">
        <w:t xml:space="preserve">The development of the different technologies (e.g. fuel cells and tanks </w:t>
      </w:r>
      <w:r>
        <w:t xml:space="preserve">for </w:t>
      </w:r>
      <w:r w:rsidRPr="00B364CB">
        <w:t>hydrogen</w:t>
      </w:r>
      <w:r>
        <w:t xml:space="preserve"> and zero carbon hydrogen-derivative fuels</w:t>
      </w:r>
      <w:r w:rsidRPr="00B364CB">
        <w:t xml:space="preserve">) will be </w:t>
      </w:r>
      <w:r>
        <w:t xml:space="preserve">performed by the </w:t>
      </w:r>
      <w:r w:rsidR="007B70F5">
        <w:t xml:space="preserve">Clean Hydrogen </w:t>
      </w:r>
      <w:r w:rsidRPr="00B364CB">
        <w:t>JU following the specifications set in c</w:t>
      </w:r>
      <w:r>
        <w:t>oordinatio</w:t>
      </w:r>
      <w:r w:rsidRPr="00B364CB">
        <w:t>n</w:t>
      </w:r>
      <w:r>
        <w:t xml:space="preserve"> with ZEWT</w:t>
      </w:r>
      <w:r w:rsidRPr="00B364CB">
        <w:t xml:space="preserve">. </w:t>
      </w:r>
    </w:p>
    <w:p w14:paraId="51D6F0E9" w14:textId="6C3EBE26" w:rsidR="00811FD8" w:rsidRPr="00C63FD8" w:rsidRDefault="00811FD8" w:rsidP="00811FD8">
      <w:pPr>
        <w:pStyle w:val="MAWP-Bodytext"/>
      </w:pPr>
      <w:r w:rsidRPr="00C63FD8">
        <w:t xml:space="preserve">ZEWT will address technology integration, implementation and validation, for both maritime and inland large scale shipping, while </w:t>
      </w:r>
      <w:r>
        <w:t>the</w:t>
      </w:r>
      <w:r w:rsidRPr="00C63FD8">
        <w:t xml:space="preserve"> </w:t>
      </w:r>
      <w:r w:rsidR="007B70F5">
        <w:t xml:space="preserve">Clean Hydrogen </w:t>
      </w:r>
      <w:r w:rsidRPr="00C63FD8">
        <w:t>JU would focus on smaller scale maritime and inland shipping.</w:t>
      </w:r>
    </w:p>
    <w:p w14:paraId="3DE503FF" w14:textId="73C936F4" w:rsidR="00811FD8" w:rsidRDefault="00811FD8" w:rsidP="00811FD8">
      <w:pPr>
        <w:pStyle w:val="MAWP-Bodytext"/>
      </w:pPr>
      <w:r w:rsidRPr="00C63FD8">
        <w:t xml:space="preserve">The </w:t>
      </w:r>
      <w:r w:rsidR="007B70F5">
        <w:t xml:space="preserve">Clean Hydrogen </w:t>
      </w:r>
      <w:r>
        <w:t>JU</w:t>
      </w:r>
      <w:r w:rsidRPr="00C63FD8">
        <w:t xml:space="preserve"> will </w:t>
      </w:r>
      <w:r>
        <w:t xml:space="preserve">also </w:t>
      </w:r>
      <w:r w:rsidRPr="00C63FD8">
        <w:t>address technology transfer from land application of H2 technologies (FC, tanks or refuelling infrastructure) as a prospect of rapid deployment, initiating demonstration pr</w:t>
      </w:r>
      <w:r>
        <w:t>ojects to validate technologies.</w:t>
      </w:r>
    </w:p>
    <w:p w14:paraId="15D70FF3" w14:textId="41B0DB9E" w:rsidR="00811FD8" w:rsidRPr="00C63FD8" w:rsidRDefault="00811FD8" w:rsidP="00811FD8">
      <w:pPr>
        <w:pStyle w:val="MAWP-Bodytext"/>
        <w:rPr>
          <w:lang w:bidi="ar-SA"/>
        </w:rPr>
      </w:pPr>
      <w:r w:rsidRPr="00C63FD8">
        <w:rPr>
          <w:lang w:bidi="ar-SA"/>
        </w:rPr>
        <w:t xml:space="preserve">Regarding bunkering of alternative fuels at ports, i.e. standards, technical and operational solutions, the </w:t>
      </w:r>
      <w:r w:rsidR="007B70F5">
        <w:t xml:space="preserve">Clean Hydrogen </w:t>
      </w:r>
      <w:r w:rsidRPr="00C63FD8">
        <w:rPr>
          <w:lang w:bidi="ar-SA"/>
        </w:rPr>
        <w:t>JU w</w:t>
      </w:r>
      <w:r>
        <w:rPr>
          <w:lang w:bidi="ar-SA"/>
        </w:rPr>
        <w:t>ill focus on carbon-</w:t>
      </w:r>
      <w:r w:rsidRPr="00C63FD8">
        <w:rPr>
          <w:lang w:bidi="ar-SA"/>
        </w:rPr>
        <w:t xml:space="preserve">free fuels, and ZEWT would address carbon neutral fuels. </w:t>
      </w:r>
    </w:p>
    <w:p w14:paraId="768BAD99" w14:textId="63F64E12" w:rsidR="00811FD8" w:rsidRDefault="00811FD8" w:rsidP="00811FD8">
      <w:pPr>
        <w:pStyle w:val="MAWP-Bodytext"/>
      </w:pPr>
      <w:r w:rsidRPr="00B364CB">
        <w:t xml:space="preserve">An overview of the task division between </w:t>
      </w:r>
      <w:r>
        <w:t xml:space="preserve">the </w:t>
      </w:r>
      <w:r w:rsidR="007B70F5">
        <w:t xml:space="preserve">Clean Hydrogen </w:t>
      </w:r>
      <w:r w:rsidRPr="00B364CB">
        <w:t xml:space="preserve">JU </w:t>
      </w:r>
      <w:r>
        <w:t xml:space="preserve">and ZEWT </w:t>
      </w:r>
      <w:r w:rsidRPr="00B364CB">
        <w:t>is provided in the table below.</w:t>
      </w:r>
    </w:p>
    <w:p w14:paraId="1F7435E5" w14:textId="08246FBF" w:rsidR="00811FD8" w:rsidRDefault="00811FD8" w:rsidP="00811FD8">
      <w:pPr>
        <w:pStyle w:val="Caption"/>
      </w:pPr>
      <w:r>
        <w:t xml:space="preserve">Table </w:t>
      </w:r>
      <w:r w:rsidR="005D19CB">
        <w:fldChar w:fldCharType="begin"/>
      </w:r>
      <w:r w:rsidR="005D19CB">
        <w:instrText xml:space="preserve"> SEQ Table \* ARABIC </w:instrText>
      </w:r>
      <w:r w:rsidR="005D19CB">
        <w:fldChar w:fldCharType="separate"/>
      </w:r>
      <w:r w:rsidR="00797920">
        <w:rPr>
          <w:noProof/>
        </w:rPr>
        <w:t>29</w:t>
      </w:r>
      <w:r w:rsidR="005D19CB">
        <w:rPr>
          <w:noProof/>
        </w:rPr>
        <w:fldChar w:fldCharType="end"/>
      </w:r>
      <w:r>
        <w:t xml:space="preserve"> </w:t>
      </w:r>
      <w:r w:rsidRPr="00C929F6">
        <w:t xml:space="preserve">Envisioned distribution of responsibilities between Clean Hydrogen JU and </w:t>
      </w:r>
      <w:r>
        <w:t>ZEWT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3522"/>
        <w:gridCol w:w="3546"/>
      </w:tblGrid>
      <w:tr w:rsidR="00811FD8" w:rsidRPr="00AC7F30" w14:paraId="3316E98C" w14:textId="77777777" w:rsidTr="001A7846">
        <w:trPr>
          <w:trHeight w:val="669"/>
          <w:jc w:val="center"/>
        </w:trPr>
        <w:tc>
          <w:tcPr>
            <w:tcW w:w="0" w:type="auto"/>
            <w:shd w:val="clear" w:color="auto" w:fill="D9D9D9" w:themeFill="background1" w:themeFillShade="D9"/>
            <w:vAlign w:val="center"/>
          </w:tcPr>
          <w:p w14:paraId="484460DE" w14:textId="77777777" w:rsidR="00811FD8" w:rsidRPr="00B0427E" w:rsidRDefault="00811FD8" w:rsidP="001A7846">
            <w:pPr>
              <w:pStyle w:val="MAWP-Bodytext"/>
              <w:spacing w:afterLines="60" w:after="144"/>
              <w:contextualSpacing/>
              <w:jc w:val="center"/>
              <w:rPr>
                <w:b/>
              </w:rPr>
            </w:pPr>
            <w:r w:rsidRPr="00B0427E">
              <w:rPr>
                <w:b/>
              </w:rPr>
              <w:t>Research Area</w:t>
            </w:r>
          </w:p>
        </w:tc>
        <w:tc>
          <w:tcPr>
            <w:tcW w:w="0" w:type="auto"/>
            <w:shd w:val="clear" w:color="auto" w:fill="D9D9D9" w:themeFill="background1" w:themeFillShade="D9"/>
            <w:vAlign w:val="center"/>
          </w:tcPr>
          <w:p w14:paraId="0244F3DA" w14:textId="77777777" w:rsidR="00811FD8" w:rsidRPr="00B0427E" w:rsidRDefault="00811FD8" w:rsidP="001A7846">
            <w:pPr>
              <w:pStyle w:val="MAWP-Bodytext"/>
              <w:spacing w:afterLines="60" w:after="144"/>
              <w:contextualSpacing/>
              <w:jc w:val="center"/>
              <w:rPr>
                <w:b/>
              </w:rPr>
            </w:pPr>
            <w:r w:rsidRPr="00B0427E">
              <w:rPr>
                <w:b/>
              </w:rPr>
              <w:t>Clean Hydrogen JU</w:t>
            </w:r>
          </w:p>
        </w:tc>
        <w:tc>
          <w:tcPr>
            <w:tcW w:w="0" w:type="auto"/>
            <w:shd w:val="clear" w:color="auto" w:fill="D9D9D9" w:themeFill="background1" w:themeFillShade="D9"/>
            <w:vAlign w:val="center"/>
          </w:tcPr>
          <w:p w14:paraId="2A4BA573" w14:textId="57D1DED2" w:rsidR="00811FD8" w:rsidRPr="00B0427E" w:rsidRDefault="00811FD8" w:rsidP="001A7846">
            <w:pPr>
              <w:pStyle w:val="MAWP-Bodytext"/>
              <w:spacing w:afterLines="60" w:after="144"/>
              <w:contextualSpacing/>
              <w:jc w:val="center"/>
              <w:rPr>
                <w:b/>
              </w:rPr>
            </w:pPr>
            <w:r>
              <w:rPr>
                <w:b/>
              </w:rPr>
              <w:t>ZEWT</w:t>
            </w:r>
          </w:p>
        </w:tc>
      </w:tr>
      <w:tr w:rsidR="00811FD8" w:rsidRPr="00B0427E" w14:paraId="2D629429" w14:textId="77777777" w:rsidTr="001A7846">
        <w:trPr>
          <w:trHeight w:val="994"/>
          <w:jc w:val="center"/>
        </w:trPr>
        <w:tc>
          <w:tcPr>
            <w:tcW w:w="0" w:type="auto"/>
            <w:vAlign w:val="center"/>
          </w:tcPr>
          <w:p w14:paraId="677CF2D1" w14:textId="37DC3D49" w:rsidR="00811FD8" w:rsidRPr="00641CFB" w:rsidRDefault="00811FD8" w:rsidP="001A7846">
            <w:pPr>
              <w:pStyle w:val="MAWP-Bodytext"/>
              <w:spacing w:afterLines="60" w:after="144"/>
              <w:contextualSpacing/>
              <w:rPr>
                <w:sz w:val="20"/>
                <w:szCs w:val="28"/>
              </w:rPr>
            </w:pPr>
            <w:r w:rsidRPr="00641CFB">
              <w:rPr>
                <w:sz w:val="20"/>
                <w:szCs w:val="28"/>
              </w:rPr>
              <w:t>Alternative fuels supply</w:t>
            </w:r>
          </w:p>
        </w:tc>
        <w:tc>
          <w:tcPr>
            <w:tcW w:w="0" w:type="auto"/>
            <w:vAlign w:val="center"/>
          </w:tcPr>
          <w:p w14:paraId="3F7C3922" w14:textId="6EC8855A" w:rsidR="00811FD8" w:rsidRPr="00641CFB" w:rsidRDefault="00811FD8" w:rsidP="001A7846">
            <w:pPr>
              <w:pStyle w:val="MAWP-Bodytext"/>
              <w:spacing w:afterLines="60" w:after="144"/>
              <w:contextualSpacing/>
              <w:rPr>
                <w:sz w:val="20"/>
                <w:szCs w:val="28"/>
              </w:rPr>
            </w:pPr>
            <w:r w:rsidRPr="00641CFB">
              <w:rPr>
                <w:sz w:val="20"/>
                <w:szCs w:val="28"/>
              </w:rPr>
              <w:t>H2 production, storage and supply to the port</w:t>
            </w:r>
          </w:p>
        </w:tc>
        <w:tc>
          <w:tcPr>
            <w:tcW w:w="0" w:type="auto"/>
            <w:vAlign w:val="center"/>
          </w:tcPr>
          <w:p w14:paraId="1BA894D6" w14:textId="08B2D622" w:rsidR="00811FD8" w:rsidRPr="00641CFB" w:rsidRDefault="00811FD8" w:rsidP="001A7846">
            <w:pPr>
              <w:pStyle w:val="MAWP-Bodytext"/>
              <w:spacing w:afterLines="60" w:after="144"/>
              <w:contextualSpacing/>
              <w:rPr>
                <w:sz w:val="20"/>
                <w:szCs w:val="28"/>
              </w:rPr>
            </w:pPr>
            <w:r w:rsidRPr="00641CFB">
              <w:rPr>
                <w:sz w:val="20"/>
                <w:szCs w:val="28"/>
              </w:rPr>
              <w:t>Non-H2 production, storage  and supply to the port</w:t>
            </w:r>
          </w:p>
        </w:tc>
      </w:tr>
      <w:tr w:rsidR="00811FD8" w:rsidRPr="00B0427E" w14:paraId="1DB6B14B" w14:textId="77777777" w:rsidTr="001A7846">
        <w:trPr>
          <w:jc w:val="center"/>
        </w:trPr>
        <w:tc>
          <w:tcPr>
            <w:tcW w:w="0" w:type="auto"/>
            <w:vAlign w:val="center"/>
          </w:tcPr>
          <w:p w14:paraId="39DAA822" w14:textId="1FE0E472" w:rsidR="00811FD8" w:rsidRPr="00641CFB" w:rsidRDefault="00811FD8" w:rsidP="001A7846">
            <w:pPr>
              <w:pStyle w:val="MAWP-Bodytext"/>
              <w:spacing w:afterLines="60" w:after="144"/>
              <w:contextualSpacing/>
              <w:rPr>
                <w:sz w:val="20"/>
                <w:szCs w:val="28"/>
              </w:rPr>
            </w:pPr>
            <w:r w:rsidRPr="00641CFB">
              <w:rPr>
                <w:sz w:val="20"/>
                <w:szCs w:val="28"/>
              </w:rPr>
              <w:t>Ports and bunkering of alternative fuels</w:t>
            </w:r>
          </w:p>
        </w:tc>
        <w:tc>
          <w:tcPr>
            <w:tcW w:w="0" w:type="auto"/>
            <w:vAlign w:val="center"/>
          </w:tcPr>
          <w:p w14:paraId="147105E2" w14:textId="11A8B133" w:rsidR="00811FD8" w:rsidRPr="00641CFB" w:rsidRDefault="00811FD8" w:rsidP="001A7846">
            <w:pPr>
              <w:pStyle w:val="MAWP-Bodytext"/>
              <w:spacing w:afterLines="60" w:after="144"/>
              <w:contextualSpacing/>
              <w:rPr>
                <w:sz w:val="20"/>
                <w:szCs w:val="28"/>
              </w:rPr>
            </w:pPr>
            <w:r w:rsidRPr="00641CFB">
              <w:rPr>
                <w:sz w:val="20"/>
                <w:szCs w:val="28"/>
              </w:rPr>
              <w:t>Standards, technical and operational solutions for carbon free fuels (H2, NH3, and LOHC)</w:t>
            </w:r>
          </w:p>
        </w:tc>
        <w:tc>
          <w:tcPr>
            <w:tcW w:w="0" w:type="auto"/>
            <w:vAlign w:val="center"/>
          </w:tcPr>
          <w:p w14:paraId="4EFB674C" w14:textId="0FA2A575" w:rsidR="00811FD8" w:rsidRPr="00641CFB" w:rsidRDefault="00811FD8" w:rsidP="001A7846">
            <w:pPr>
              <w:pStyle w:val="MAWP-Bodytext"/>
              <w:spacing w:afterLines="60" w:after="144"/>
              <w:contextualSpacing/>
              <w:rPr>
                <w:sz w:val="20"/>
                <w:szCs w:val="28"/>
                <w:highlight w:val="yellow"/>
              </w:rPr>
            </w:pPr>
            <w:r w:rsidRPr="00641CFB">
              <w:rPr>
                <w:sz w:val="20"/>
                <w:szCs w:val="28"/>
              </w:rPr>
              <w:t>Standards, technical and operational solutions for carbon neutral fuels (MeOH, and others)</w:t>
            </w:r>
          </w:p>
        </w:tc>
      </w:tr>
      <w:tr w:rsidR="00811FD8" w:rsidRPr="00B0427E" w14:paraId="46377F9A" w14:textId="77777777" w:rsidTr="001A7846">
        <w:trPr>
          <w:trHeight w:val="994"/>
          <w:jc w:val="center"/>
        </w:trPr>
        <w:tc>
          <w:tcPr>
            <w:tcW w:w="0" w:type="auto"/>
            <w:vAlign w:val="center"/>
          </w:tcPr>
          <w:p w14:paraId="4183DDBA" w14:textId="23CD82A2" w:rsidR="00811FD8" w:rsidRPr="00641CFB" w:rsidRDefault="00811FD8" w:rsidP="001A7846">
            <w:pPr>
              <w:pStyle w:val="MAWP-Bodytext"/>
              <w:spacing w:afterLines="60" w:after="144"/>
              <w:contextualSpacing/>
              <w:rPr>
                <w:sz w:val="20"/>
                <w:szCs w:val="28"/>
              </w:rPr>
            </w:pPr>
            <w:r w:rsidRPr="00641CFB">
              <w:rPr>
                <w:sz w:val="20"/>
                <w:szCs w:val="28"/>
              </w:rPr>
              <w:lastRenderedPageBreak/>
              <w:t>Alternative fuels on-board storage</w:t>
            </w:r>
          </w:p>
        </w:tc>
        <w:tc>
          <w:tcPr>
            <w:tcW w:w="0" w:type="auto"/>
            <w:vAlign w:val="center"/>
          </w:tcPr>
          <w:p w14:paraId="7ADE09C0" w14:textId="66BF5300" w:rsidR="00811FD8" w:rsidRPr="00641CFB" w:rsidRDefault="00811FD8" w:rsidP="001A7846">
            <w:pPr>
              <w:pStyle w:val="MAWP-Bodytext"/>
              <w:spacing w:afterLines="60" w:after="144"/>
              <w:contextualSpacing/>
              <w:rPr>
                <w:sz w:val="20"/>
                <w:szCs w:val="28"/>
              </w:rPr>
            </w:pPr>
            <w:r w:rsidRPr="00641CFB">
              <w:rPr>
                <w:sz w:val="20"/>
                <w:szCs w:val="28"/>
              </w:rPr>
              <w:t xml:space="preserve">Development of dedicated H2 tanks </w:t>
            </w:r>
          </w:p>
        </w:tc>
        <w:tc>
          <w:tcPr>
            <w:tcW w:w="0" w:type="auto"/>
            <w:vAlign w:val="center"/>
          </w:tcPr>
          <w:p w14:paraId="3328FB25" w14:textId="54E01DE9" w:rsidR="00811FD8" w:rsidRPr="00641CFB" w:rsidRDefault="00811FD8" w:rsidP="001A7846">
            <w:pPr>
              <w:pStyle w:val="MAWP-Bodytext"/>
              <w:spacing w:afterLines="60" w:after="144"/>
              <w:contextualSpacing/>
              <w:rPr>
                <w:sz w:val="20"/>
                <w:szCs w:val="28"/>
              </w:rPr>
            </w:pPr>
            <w:r w:rsidRPr="00641CFB">
              <w:rPr>
                <w:sz w:val="20"/>
                <w:szCs w:val="28"/>
              </w:rPr>
              <w:t>Development of dedicated non-H2 tanks (e.g. MeOH and NH3)</w:t>
            </w:r>
          </w:p>
        </w:tc>
      </w:tr>
      <w:tr w:rsidR="00811FD8" w:rsidRPr="00B0427E" w14:paraId="17F523A4" w14:textId="77777777" w:rsidTr="001A7846">
        <w:trPr>
          <w:jc w:val="center"/>
        </w:trPr>
        <w:tc>
          <w:tcPr>
            <w:tcW w:w="0" w:type="auto"/>
            <w:vAlign w:val="center"/>
          </w:tcPr>
          <w:p w14:paraId="5A270385" w14:textId="1D30A1B7" w:rsidR="00811FD8" w:rsidRPr="00641CFB" w:rsidRDefault="00811FD8" w:rsidP="001A7846">
            <w:pPr>
              <w:pStyle w:val="MAWP-Bodytext"/>
              <w:spacing w:afterLines="60" w:after="144"/>
              <w:contextualSpacing/>
              <w:rPr>
                <w:sz w:val="20"/>
                <w:szCs w:val="28"/>
              </w:rPr>
            </w:pPr>
            <w:r w:rsidRPr="00641CFB">
              <w:rPr>
                <w:sz w:val="20"/>
                <w:szCs w:val="28"/>
              </w:rPr>
              <w:t>Fuel Cell (including dedicated fuel system)</w:t>
            </w:r>
          </w:p>
        </w:tc>
        <w:tc>
          <w:tcPr>
            <w:tcW w:w="0" w:type="auto"/>
            <w:vAlign w:val="center"/>
          </w:tcPr>
          <w:p w14:paraId="50756E42" w14:textId="77777777" w:rsidR="00811FD8" w:rsidRPr="00641CFB" w:rsidRDefault="00811FD8" w:rsidP="001A7846">
            <w:pPr>
              <w:pStyle w:val="MAWP-Bodytext"/>
              <w:spacing w:afterLines="60" w:after="144"/>
              <w:contextualSpacing/>
              <w:rPr>
                <w:sz w:val="20"/>
                <w:szCs w:val="28"/>
              </w:rPr>
            </w:pPr>
            <w:r w:rsidRPr="00641CFB">
              <w:rPr>
                <w:sz w:val="20"/>
                <w:szCs w:val="28"/>
              </w:rPr>
              <w:t>Development of dedicated SO and PEM fuel cells for maritime applications</w:t>
            </w:r>
          </w:p>
          <w:p w14:paraId="4413C679" w14:textId="77777777" w:rsidR="00811FD8" w:rsidRPr="00641CFB" w:rsidRDefault="00811FD8" w:rsidP="001A7846">
            <w:pPr>
              <w:pStyle w:val="MAWP-Bodytext"/>
              <w:spacing w:afterLines="60" w:after="144"/>
              <w:contextualSpacing/>
              <w:rPr>
                <w:sz w:val="20"/>
                <w:szCs w:val="28"/>
              </w:rPr>
            </w:pPr>
            <w:r w:rsidRPr="00641CFB">
              <w:rPr>
                <w:sz w:val="20"/>
                <w:szCs w:val="28"/>
              </w:rPr>
              <w:t>Adaptation of the FC stack and components to maritime requirements</w:t>
            </w:r>
          </w:p>
          <w:p w14:paraId="25BEF795" w14:textId="6052EBCF" w:rsidR="00811FD8" w:rsidRPr="00641CFB" w:rsidRDefault="00811FD8" w:rsidP="001A7846">
            <w:pPr>
              <w:pStyle w:val="MAWP-Bodytext"/>
              <w:spacing w:afterLines="60" w:after="144"/>
              <w:contextualSpacing/>
              <w:rPr>
                <w:sz w:val="20"/>
                <w:szCs w:val="28"/>
              </w:rPr>
            </w:pPr>
            <w:r w:rsidRPr="00641CFB">
              <w:rPr>
                <w:sz w:val="20"/>
                <w:szCs w:val="28"/>
              </w:rPr>
              <w:t>For small scale fuel cells, integration in the ship and demonstration</w:t>
            </w:r>
          </w:p>
        </w:tc>
        <w:tc>
          <w:tcPr>
            <w:tcW w:w="0" w:type="auto"/>
            <w:vAlign w:val="center"/>
          </w:tcPr>
          <w:p w14:paraId="2A2CE90B" w14:textId="557A07BF" w:rsidR="00811FD8" w:rsidRPr="00641CFB" w:rsidRDefault="00811FD8" w:rsidP="001A7846">
            <w:pPr>
              <w:pStyle w:val="MAWP-Bodytext"/>
              <w:spacing w:afterLines="60" w:after="144"/>
              <w:contextualSpacing/>
              <w:rPr>
                <w:sz w:val="20"/>
                <w:szCs w:val="28"/>
                <w:highlight w:val="yellow"/>
              </w:rPr>
            </w:pPr>
            <w:r w:rsidRPr="00641CFB">
              <w:rPr>
                <w:sz w:val="20"/>
                <w:szCs w:val="28"/>
              </w:rPr>
              <w:t>For large scale fuel cells, integration in the ship and demonstration</w:t>
            </w:r>
          </w:p>
        </w:tc>
      </w:tr>
      <w:tr w:rsidR="00811FD8" w:rsidRPr="00AC7F30" w14:paraId="67D1FC02" w14:textId="77777777" w:rsidTr="001A7846">
        <w:trPr>
          <w:trHeight w:val="994"/>
          <w:jc w:val="center"/>
        </w:trPr>
        <w:tc>
          <w:tcPr>
            <w:tcW w:w="0" w:type="auto"/>
            <w:vAlign w:val="center"/>
          </w:tcPr>
          <w:p w14:paraId="110A7641" w14:textId="4588092C" w:rsidR="00811FD8" w:rsidRPr="00641CFB" w:rsidRDefault="00811FD8" w:rsidP="001A7846">
            <w:pPr>
              <w:pStyle w:val="MAWP-Bodytext"/>
              <w:spacing w:afterLines="60" w:after="144"/>
              <w:contextualSpacing/>
              <w:rPr>
                <w:sz w:val="20"/>
                <w:szCs w:val="28"/>
              </w:rPr>
            </w:pPr>
            <w:r w:rsidRPr="00641CFB">
              <w:rPr>
                <w:sz w:val="20"/>
                <w:szCs w:val="28"/>
              </w:rPr>
              <w:t>Safety / Regulation</w:t>
            </w:r>
          </w:p>
        </w:tc>
        <w:tc>
          <w:tcPr>
            <w:tcW w:w="0" w:type="auto"/>
            <w:vAlign w:val="center"/>
          </w:tcPr>
          <w:p w14:paraId="6DCD3A72" w14:textId="0ED4AE36" w:rsidR="00811FD8" w:rsidRPr="00641CFB" w:rsidRDefault="00811FD8" w:rsidP="001A7846">
            <w:pPr>
              <w:pStyle w:val="MAWP-Bodytext"/>
              <w:spacing w:afterLines="60" w:after="144"/>
              <w:contextualSpacing/>
              <w:rPr>
                <w:sz w:val="20"/>
                <w:szCs w:val="28"/>
              </w:rPr>
            </w:pPr>
            <w:r w:rsidRPr="00641CFB">
              <w:rPr>
                <w:sz w:val="20"/>
                <w:szCs w:val="28"/>
              </w:rPr>
              <w:t>All aspects linked to carbon free fuels (H2, NH3, and LOHC)</w:t>
            </w:r>
          </w:p>
        </w:tc>
        <w:tc>
          <w:tcPr>
            <w:tcW w:w="0" w:type="auto"/>
            <w:vAlign w:val="center"/>
          </w:tcPr>
          <w:p w14:paraId="75480AC4" w14:textId="102BFD33" w:rsidR="00811FD8" w:rsidRPr="00641CFB" w:rsidRDefault="00811FD8" w:rsidP="001A7846">
            <w:pPr>
              <w:pStyle w:val="MAWP-Bodytext"/>
              <w:spacing w:afterLines="60" w:after="144"/>
              <w:contextualSpacing/>
              <w:rPr>
                <w:sz w:val="20"/>
                <w:szCs w:val="28"/>
              </w:rPr>
            </w:pPr>
            <w:r w:rsidRPr="00641CFB">
              <w:rPr>
                <w:sz w:val="20"/>
                <w:szCs w:val="28"/>
              </w:rPr>
              <w:t>All aspects linked to carbon neutral fuels (MeOH, and others)</w:t>
            </w:r>
          </w:p>
        </w:tc>
      </w:tr>
    </w:tbl>
    <w:p w14:paraId="58F0B926" w14:textId="77777777" w:rsidR="00BC47AC" w:rsidRDefault="00BC47AC" w:rsidP="00EE5CD5">
      <w:pPr>
        <w:pStyle w:val="MAWPHeadingStyleLevel4"/>
      </w:pPr>
    </w:p>
    <w:p w14:paraId="1B6887FB" w14:textId="5EEE861E" w:rsidR="00EE5CD5" w:rsidRPr="00B364CB" w:rsidRDefault="00EE5CD5" w:rsidP="00EE5CD5">
      <w:pPr>
        <w:pStyle w:val="MAWPHeadingStyleLevel4"/>
      </w:pPr>
      <w:r w:rsidRPr="00B364CB">
        <w:t xml:space="preserve">Synergies with </w:t>
      </w:r>
      <w:r w:rsidR="008C7F7E">
        <w:rPr>
          <w:rFonts w:cs="Arial"/>
        </w:rPr>
        <w:t xml:space="preserve">Clean Aviation </w:t>
      </w:r>
      <w:r w:rsidR="00CF6388">
        <w:rPr>
          <w:rFonts w:cs="Arial"/>
        </w:rPr>
        <w:t>partnership</w:t>
      </w:r>
    </w:p>
    <w:p w14:paraId="72E7BA2B" w14:textId="13941DC8" w:rsidR="008C7F7E" w:rsidRPr="008C7F7E" w:rsidRDefault="00EE5CD5" w:rsidP="008C7F7E">
      <w:pPr>
        <w:pStyle w:val="MAWP-Bodytext"/>
      </w:pPr>
      <w:r w:rsidRPr="008C7F7E">
        <w:t xml:space="preserve">A strong collaboration is envisaged between </w:t>
      </w:r>
      <w:r w:rsidR="007B70F5">
        <w:t xml:space="preserve">Clean Hydrogen </w:t>
      </w:r>
      <w:r w:rsidRPr="008C7F7E">
        <w:t xml:space="preserve">JU and Clean Aviation </w:t>
      </w:r>
      <w:r w:rsidR="00CF6388">
        <w:t>partnership</w:t>
      </w:r>
      <w:r w:rsidRPr="008C7F7E">
        <w:t xml:space="preserve">. </w:t>
      </w:r>
    </w:p>
    <w:p w14:paraId="2BBF7AAF" w14:textId="202F0E05" w:rsidR="008C7F7E" w:rsidRDefault="00EE5CD5" w:rsidP="008C7F7E">
      <w:pPr>
        <w:pStyle w:val="MAWP-Bodytext"/>
      </w:pPr>
      <w:r w:rsidRPr="008C7F7E">
        <w:t xml:space="preserve">The development of the different technologies (e.g. fuel cells and liquid hydrogen tanks) will be done in </w:t>
      </w:r>
      <w:r w:rsidR="007B70F5">
        <w:t xml:space="preserve">Clean Hydrogen </w:t>
      </w:r>
      <w:r w:rsidRPr="008C7F7E">
        <w:t xml:space="preserve">JU following the specifications set in conjunction with Clean Aviation </w:t>
      </w:r>
      <w:r w:rsidR="00CF6388">
        <w:t>partnership</w:t>
      </w:r>
      <w:r w:rsidRPr="008C7F7E">
        <w:t xml:space="preserve">. </w:t>
      </w:r>
    </w:p>
    <w:p w14:paraId="21839D4E" w14:textId="2EA6B06C" w:rsidR="008C7F7E" w:rsidRDefault="00EE5CD5" w:rsidP="008C7F7E">
      <w:pPr>
        <w:pStyle w:val="MAWP-Bodytext"/>
      </w:pPr>
      <w:r w:rsidRPr="008C7F7E">
        <w:t xml:space="preserve">The integration of these technologies into ground and later on flying demonstrators will be in the scope of Clean Aviation </w:t>
      </w:r>
      <w:r w:rsidR="00CF6388">
        <w:t>partnership</w:t>
      </w:r>
      <w:r w:rsidRPr="008C7F7E">
        <w:t xml:space="preserve">. </w:t>
      </w:r>
    </w:p>
    <w:p w14:paraId="14355F2F" w14:textId="4E287618" w:rsidR="00EE5CD5" w:rsidRPr="008C7F7E" w:rsidRDefault="00EE5CD5" w:rsidP="008C7F7E">
      <w:pPr>
        <w:pStyle w:val="MAWP-Bodytext"/>
      </w:pPr>
      <w:r w:rsidRPr="008C7F7E">
        <w:t xml:space="preserve">All technologies related to the airport hydrogen infrastructure will be developed and tested under </w:t>
      </w:r>
      <w:r w:rsidR="007B70F5">
        <w:t xml:space="preserve">Clean Hydrogen </w:t>
      </w:r>
      <w:r w:rsidRPr="008C7F7E">
        <w:t>JU, although the interface with the airplanes for refuelling will need strong coordination.</w:t>
      </w:r>
    </w:p>
    <w:p w14:paraId="5E914DFD" w14:textId="0FA5DA5B" w:rsidR="00EE5CD5" w:rsidRDefault="00EE5CD5" w:rsidP="008C7F7E">
      <w:pPr>
        <w:pStyle w:val="MAWP-Bodytext"/>
      </w:pPr>
      <w:r w:rsidRPr="008C7F7E">
        <w:t xml:space="preserve">An overview of the task division between Clean Aviation </w:t>
      </w:r>
      <w:r w:rsidR="00CF6388">
        <w:t>partnership</w:t>
      </w:r>
      <w:r w:rsidRPr="008C7F7E">
        <w:t xml:space="preserve"> and </w:t>
      </w:r>
      <w:r w:rsidR="007B70F5">
        <w:t xml:space="preserve">Clean Hydrogen </w:t>
      </w:r>
      <w:r w:rsidRPr="008C7F7E">
        <w:t>JU is provided in the table below.</w:t>
      </w:r>
    </w:p>
    <w:p w14:paraId="38C590C5" w14:textId="14F56C95" w:rsidR="00EE5CD5" w:rsidRPr="00B364CB" w:rsidRDefault="00EE5CD5" w:rsidP="00EE5CD5">
      <w:pPr>
        <w:pStyle w:val="Caption"/>
        <w:rPr>
          <w:rFonts w:cs="Arial"/>
        </w:rPr>
      </w:pPr>
      <w:bookmarkStart w:id="331" w:name="_Ref55397054"/>
      <w:r w:rsidRPr="00B364CB">
        <w:t xml:space="preserve">Table </w:t>
      </w:r>
      <w:r w:rsidRPr="00B364CB">
        <w:fldChar w:fldCharType="begin"/>
      </w:r>
      <w:r w:rsidRPr="00B364CB">
        <w:instrText xml:space="preserve"> SEQ Table \* ARABIC </w:instrText>
      </w:r>
      <w:r w:rsidRPr="00B364CB">
        <w:fldChar w:fldCharType="separate"/>
      </w:r>
      <w:r w:rsidR="00797920">
        <w:rPr>
          <w:noProof/>
        </w:rPr>
        <w:t>30</w:t>
      </w:r>
      <w:r w:rsidRPr="00B364CB">
        <w:rPr>
          <w:noProof/>
        </w:rPr>
        <w:fldChar w:fldCharType="end"/>
      </w:r>
      <w:bookmarkEnd w:id="331"/>
      <w:r w:rsidRPr="00B364CB">
        <w:rPr>
          <w:rFonts w:cs="Arial"/>
        </w:rPr>
        <w:t xml:space="preserve">. Envisioned distribution of responsibilities between </w:t>
      </w:r>
      <w:r w:rsidR="008C7F7E">
        <w:t xml:space="preserve">the </w:t>
      </w:r>
      <w:r w:rsidR="007B70F5">
        <w:t xml:space="preserve">Clean Hydrogen </w:t>
      </w:r>
      <w:r w:rsidRPr="00B364CB">
        <w:t xml:space="preserve">JU and </w:t>
      </w:r>
      <w:r w:rsidRPr="00B364CB">
        <w:rPr>
          <w:rFonts w:cs="Arial"/>
        </w:rPr>
        <w:t xml:space="preserve">Clean Aviation </w:t>
      </w:r>
      <w:r w:rsidR="00CF6388">
        <w:rPr>
          <w:rFonts w:cs="Arial"/>
        </w:rPr>
        <w:t>partnership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508"/>
        <w:gridCol w:w="3201"/>
      </w:tblGrid>
      <w:tr w:rsidR="00EE5CD5" w:rsidRPr="00B364CB" w14:paraId="1E4EC688" w14:textId="77777777" w:rsidTr="001A7846">
        <w:trPr>
          <w:trHeight w:val="691"/>
          <w:jc w:val="center"/>
        </w:trPr>
        <w:tc>
          <w:tcPr>
            <w:tcW w:w="0" w:type="auto"/>
            <w:shd w:val="clear" w:color="auto" w:fill="D9D9D9" w:themeFill="background1" w:themeFillShade="D9"/>
            <w:vAlign w:val="center"/>
          </w:tcPr>
          <w:p w14:paraId="0E4F96FB" w14:textId="77777777" w:rsidR="00EE5CD5" w:rsidRPr="00B364CB" w:rsidRDefault="00EE5CD5" w:rsidP="001A7846">
            <w:pPr>
              <w:spacing w:afterLines="60" w:after="144"/>
              <w:contextualSpacing/>
              <w:jc w:val="center"/>
              <w:rPr>
                <w:rFonts w:cs="Arial"/>
                <w:szCs w:val="22"/>
              </w:rPr>
            </w:pPr>
            <w:r w:rsidRPr="00B364CB">
              <w:rPr>
                <w:rFonts w:cs="Arial"/>
                <w:b/>
                <w:szCs w:val="22"/>
              </w:rPr>
              <w:t>Research area</w:t>
            </w:r>
          </w:p>
        </w:tc>
        <w:tc>
          <w:tcPr>
            <w:tcW w:w="0" w:type="auto"/>
            <w:shd w:val="clear" w:color="auto" w:fill="D9D9D9" w:themeFill="background1" w:themeFillShade="D9"/>
            <w:vAlign w:val="center"/>
          </w:tcPr>
          <w:p w14:paraId="1E5FE49E" w14:textId="55059467" w:rsidR="00EE5CD5" w:rsidRPr="00B364CB" w:rsidRDefault="00956DED" w:rsidP="001A7846">
            <w:pPr>
              <w:spacing w:afterLines="60" w:after="144"/>
              <w:contextualSpacing/>
              <w:jc w:val="center"/>
              <w:rPr>
                <w:rFonts w:cs="Arial"/>
                <w:b/>
                <w:szCs w:val="22"/>
              </w:rPr>
            </w:pPr>
            <w:r w:rsidRPr="00B364CB">
              <w:rPr>
                <w:b/>
                <w:szCs w:val="22"/>
              </w:rPr>
              <w:t>Clean Hydrogen JU</w:t>
            </w:r>
          </w:p>
        </w:tc>
        <w:tc>
          <w:tcPr>
            <w:tcW w:w="0" w:type="auto"/>
            <w:shd w:val="clear" w:color="auto" w:fill="D9D9D9" w:themeFill="background1" w:themeFillShade="D9"/>
            <w:vAlign w:val="center"/>
          </w:tcPr>
          <w:p w14:paraId="5FD2352C" w14:textId="77777777" w:rsidR="00EE5CD5" w:rsidRPr="00B364CB" w:rsidRDefault="00EE5CD5" w:rsidP="001A7846">
            <w:pPr>
              <w:spacing w:afterLines="60" w:after="144"/>
              <w:contextualSpacing/>
              <w:jc w:val="center"/>
              <w:rPr>
                <w:rFonts w:cs="Arial"/>
                <w:b/>
                <w:szCs w:val="22"/>
              </w:rPr>
            </w:pPr>
            <w:r w:rsidRPr="00B364CB">
              <w:rPr>
                <w:rFonts w:cs="Arial"/>
                <w:b/>
                <w:szCs w:val="22"/>
              </w:rPr>
              <w:t>Clean Aviation</w:t>
            </w:r>
          </w:p>
        </w:tc>
      </w:tr>
      <w:tr w:rsidR="00EE5CD5" w:rsidRPr="00B364CB" w14:paraId="243657F4" w14:textId="77777777" w:rsidTr="001A7846">
        <w:trPr>
          <w:jc w:val="center"/>
        </w:trPr>
        <w:tc>
          <w:tcPr>
            <w:tcW w:w="0" w:type="auto"/>
            <w:vAlign w:val="center"/>
          </w:tcPr>
          <w:p w14:paraId="4F231850" w14:textId="77777777" w:rsidR="00EE5CD5" w:rsidRPr="00641CFB" w:rsidRDefault="00EE5CD5" w:rsidP="001A7846">
            <w:pPr>
              <w:pStyle w:val="MAWP-Bodytext"/>
              <w:spacing w:afterLines="60" w:after="144"/>
              <w:contextualSpacing/>
              <w:jc w:val="left"/>
              <w:rPr>
                <w:sz w:val="20"/>
                <w:szCs w:val="28"/>
              </w:rPr>
            </w:pPr>
            <w:r w:rsidRPr="00641CFB">
              <w:rPr>
                <w:sz w:val="20"/>
                <w:szCs w:val="28"/>
              </w:rPr>
              <w:t>LH2 logistics</w:t>
            </w:r>
          </w:p>
          <w:p w14:paraId="106884CA" w14:textId="77777777" w:rsidR="00EE5CD5" w:rsidRPr="00641CFB" w:rsidRDefault="00EE5CD5" w:rsidP="001A7846">
            <w:pPr>
              <w:pStyle w:val="MAWP-Bodytext"/>
              <w:spacing w:afterLines="60" w:after="144"/>
              <w:contextualSpacing/>
              <w:jc w:val="left"/>
              <w:rPr>
                <w:sz w:val="20"/>
                <w:szCs w:val="28"/>
              </w:rPr>
            </w:pPr>
          </w:p>
        </w:tc>
        <w:tc>
          <w:tcPr>
            <w:tcW w:w="0" w:type="auto"/>
            <w:vAlign w:val="center"/>
          </w:tcPr>
          <w:p w14:paraId="14BAF70D" w14:textId="77777777" w:rsidR="00EE5CD5" w:rsidRPr="00641CFB" w:rsidRDefault="00EE5CD5" w:rsidP="001A7846">
            <w:pPr>
              <w:pStyle w:val="MAWP-Bodytext"/>
              <w:spacing w:afterLines="60" w:after="144"/>
              <w:contextualSpacing/>
              <w:jc w:val="left"/>
              <w:rPr>
                <w:sz w:val="20"/>
                <w:szCs w:val="28"/>
              </w:rPr>
            </w:pPr>
            <w:r w:rsidRPr="00641CFB">
              <w:rPr>
                <w:sz w:val="20"/>
                <w:szCs w:val="28"/>
              </w:rPr>
              <w:t>Production</w:t>
            </w:r>
          </w:p>
          <w:p w14:paraId="63A47401" w14:textId="07CB81A6" w:rsidR="00EE5CD5" w:rsidRPr="00641CFB" w:rsidRDefault="00EE5CD5" w:rsidP="001A7846">
            <w:pPr>
              <w:pStyle w:val="MAWP-Bodytext"/>
              <w:spacing w:afterLines="60" w:after="144"/>
              <w:contextualSpacing/>
              <w:jc w:val="left"/>
              <w:rPr>
                <w:sz w:val="20"/>
                <w:szCs w:val="28"/>
              </w:rPr>
            </w:pPr>
            <w:r w:rsidRPr="00641CFB">
              <w:rPr>
                <w:sz w:val="20"/>
                <w:szCs w:val="28"/>
              </w:rPr>
              <w:t>Logistics to the airport</w:t>
            </w:r>
            <w:r w:rsidR="008C7F7E" w:rsidRPr="00641CFB">
              <w:rPr>
                <w:sz w:val="20"/>
                <w:szCs w:val="28"/>
              </w:rPr>
              <w:t xml:space="preserve"> </w:t>
            </w:r>
          </w:p>
          <w:p w14:paraId="370332BD" w14:textId="77777777" w:rsidR="00EE5CD5" w:rsidRPr="00641CFB" w:rsidRDefault="00EE5CD5" w:rsidP="001A7846">
            <w:pPr>
              <w:pStyle w:val="MAWP-Bodytext"/>
              <w:spacing w:afterLines="60" w:after="144"/>
              <w:contextualSpacing/>
              <w:jc w:val="left"/>
              <w:rPr>
                <w:sz w:val="20"/>
                <w:szCs w:val="28"/>
              </w:rPr>
            </w:pPr>
            <w:r w:rsidRPr="00641CFB">
              <w:rPr>
                <w:sz w:val="20"/>
                <w:szCs w:val="28"/>
              </w:rPr>
              <w:t>Logistics in the airport (including synergies between aircraft usage and ground usage)</w:t>
            </w:r>
          </w:p>
        </w:tc>
        <w:tc>
          <w:tcPr>
            <w:tcW w:w="0" w:type="auto"/>
            <w:vAlign w:val="center"/>
          </w:tcPr>
          <w:p w14:paraId="10BE577A" w14:textId="77777777" w:rsidR="00EE5CD5" w:rsidRPr="00641CFB" w:rsidRDefault="00EE5CD5" w:rsidP="001A7846">
            <w:pPr>
              <w:pStyle w:val="MAWP-Bodytext"/>
              <w:spacing w:afterLines="60" w:after="144"/>
              <w:contextualSpacing/>
              <w:jc w:val="left"/>
              <w:rPr>
                <w:sz w:val="20"/>
                <w:szCs w:val="28"/>
              </w:rPr>
            </w:pPr>
            <w:r w:rsidRPr="00641CFB">
              <w:rPr>
                <w:sz w:val="20"/>
                <w:szCs w:val="28"/>
              </w:rPr>
              <w:t>Refuelling technology</w:t>
            </w:r>
          </w:p>
          <w:p w14:paraId="712E9C7D" w14:textId="77777777" w:rsidR="00EE5CD5" w:rsidRPr="00641CFB" w:rsidRDefault="00EE5CD5" w:rsidP="001A7846">
            <w:pPr>
              <w:pStyle w:val="MAWP-Bodytext"/>
              <w:spacing w:afterLines="60" w:after="144"/>
              <w:contextualSpacing/>
              <w:jc w:val="left"/>
              <w:rPr>
                <w:sz w:val="20"/>
                <w:szCs w:val="28"/>
              </w:rPr>
            </w:pPr>
          </w:p>
        </w:tc>
      </w:tr>
      <w:tr w:rsidR="00EE5CD5" w:rsidRPr="00B364CB" w14:paraId="134C3CA6" w14:textId="77777777" w:rsidTr="001A7846">
        <w:trPr>
          <w:jc w:val="center"/>
        </w:trPr>
        <w:tc>
          <w:tcPr>
            <w:tcW w:w="0" w:type="auto"/>
            <w:vAlign w:val="center"/>
          </w:tcPr>
          <w:p w14:paraId="53D8FEE3" w14:textId="77777777" w:rsidR="00EE5CD5" w:rsidRPr="00641CFB" w:rsidRDefault="00EE5CD5" w:rsidP="001A7846">
            <w:pPr>
              <w:pStyle w:val="MAWP-Bodytext"/>
              <w:spacing w:afterLines="60" w:after="144"/>
              <w:contextualSpacing/>
              <w:jc w:val="left"/>
              <w:rPr>
                <w:sz w:val="20"/>
                <w:szCs w:val="28"/>
              </w:rPr>
            </w:pPr>
            <w:r w:rsidRPr="00641CFB">
              <w:rPr>
                <w:sz w:val="20"/>
                <w:szCs w:val="28"/>
              </w:rPr>
              <w:t>Storage in the aircraft</w:t>
            </w:r>
          </w:p>
          <w:p w14:paraId="46B71CBC" w14:textId="77777777" w:rsidR="00EE5CD5" w:rsidRPr="00641CFB" w:rsidRDefault="00EE5CD5" w:rsidP="001A7846">
            <w:pPr>
              <w:pStyle w:val="MAWP-Bodytext"/>
              <w:spacing w:afterLines="60" w:after="144"/>
              <w:contextualSpacing/>
              <w:jc w:val="left"/>
              <w:rPr>
                <w:sz w:val="20"/>
                <w:szCs w:val="28"/>
              </w:rPr>
            </w:pPr>
          </w:p>
        </w:tc>
        <w:tc>
          <w:tcPr>
            <w:tcW w:w="0" w:type="auto"/>
            <w:vAlign w:val="center"/>
          </w:tcPr>
          <w:p w14:paraId="79D64311" w14:textId="77777777" w:rsidR="00EE5CD5" w:rsidRPr="00641CFB" w:rsidRDefault="00EE5CD5" w:rsidP="001A7846">
            <w:pPr>
              <w:pStyle w:val="MAWP-Bodytext"/>
              <w:spacing w:afterLines="60" w:after="144"/>
              <w:contextualSpacing/>
              <w:jc w:val="left"/>
              <w:rPr>
                <w:sz w:val="20"/>
                <w:szCs w:val="28"/>
              </w:rPr>
            </w:pPr>
            <w:r w:rsidRPr="00641CFB">
              <w:rPr>
                <w:sz w:val="20"/>
                <w:szCs w:val="28"/>
              </w:rPr>
              <w:t>Development of dedicated LH2 tanks in link with other applications</w:t>
            </w:r>
          </w:p>
        </w:tc>
        <w:tc>
          <w:tcPr>
            <w:tcW w:w="0" w:type="auto"/>
            <w:vAlign w:val="center"/>
          </w:tcPr>
          <w:p w14:paraId="2BD7DD29" w14:textId="6740FD45" w:rsidR="00EE5CD5" w:rsidRPr="00641CFB" w:rsidRDefault="00EE5CD5" w:rsidP="001A7846">
            <w:pPr>
              <w:pStyle w:val="MAWP-Bodytext"/>
              <w:spacing w:afterLines="60" w:after="144"/>
              <w:contextualSpacing/>
              <w:jc w:val="left"/>
              <w:rPr>
                <w:sz w:val="20"/>
                <w:szCs w:val="28"/>
              </w:rPr>
            </w:pPr>
            <w:r w:rsidRPr="00641CFB">
              <w:rPr>
                <w:sz w:val="20"/>
                <w:szCs w:val="28"/>
              </w:rPr>
              <w:t>Definition of fuel line and tank integration</w:t>
            </w:r>
          </w:p>
        </w:tc>
      </w:tr>
      <w:tr w:rsidR="00EE5CD5" w:rsidRPr="00B364CB" w14:paraId="5497EA8F" w14:textId="77777777" w:rsidTr="001A7846">
        <w:trPr>
          <w:jc w:val="center"/>
        </w:trPr>
        <w:tc>
          <w:tcPr>
            <w:tcW w:w="0" w:type="auto"/>
            <w:vAlign w:val="center"/>
          </w:tcPr>
          <w:p w14:paraId="3E3D73AA" w14:textId="7DB235B3" w:rsidR="00EE5CD5" w:rsidRPr="00641CFB" w:rsidRDefault="00EE5CD5" w:rsidP="001A7846">
            <w:pPr>
              <w:pStyle w:val="MAWP-Bodytext"/>
              <w:spacing w:afterLines="60" w:after="144"/>
              <w:contextualSpacing/>
              <w:jc w:val="left"/>
              <w:rPr>
                <w:sz w:val="20"/>
                <w:szCs w:val="28"/>
              </w:rPr>
            </w:pPr>
            <w:r w:rsidRPr="00641CFB">
              <w:rPr>
                <w:sz w:val="20"/>
                <w:szCs w:val="28"/>
              </w:rPr>
              <w:t>Fuel Cell (including dedicated fuel system)</w:t>
            </w:r>
          </w:p>
        </w:tc>
        <w:tc>
          <w:tcPr>
            <w:tcW w:w="0" w:type="auto"/>
            <w:vAlign w:val="center"/>
          </w:tcPr>
          <w:p w14:paraId="568B2456" w14:textId="77777777" w:rsidR="00EE5CD5" w:rsidRPr="00641CFB" w:rsidRDefault="00EE5CD5" w:rsidP="001A7846">
            <w:pPr>
              <w:pStyle w:val="MAWP-Bodytext"/>
              <w:spacing w:afterLines="60" w:after="144"/>
              <w:contextualSpacing/>
              <w:jc w:val="left"/>
              <w:rPr>
                <w:sz w:val="20"/>
                <w:szCs w:val="28"/>
              </w:rPr>
            </w:pPr>
            <w:r w:rsidRPr="00641CFB">
              <w:rPr>
                <w:sz w:val="20"/>
                <w:szCs w:val="28"/>
              </w:rPr>
              <w:t>Development of a dedicated fuel cell for propulsive applications, with a target of 1.5+ MW</w:t>
            </w:r>
          </w:p>
          <w:p w14:paraId="32FDE071" w14:textId="77777777" w:rsidR="00EE5CD5" w:rsidRPr="00641CFB" w:rsidRDefault="00EE5CD5" w:rsidP="001A7846">
            <w:pPr>
              <w:pStyle w:val="MAWP-Bodytext"/>
              <w:spacing w:afterLines="60" w:after="144"/>
              <w:contextualSpacing/>
              <w:jc w:val="left"/>
              <w:rPr>
                <w:sz w:val="20"/>
                <w:szCs w:val="28"/>
              </w:rPr>
            </w:pPr>
            <w:r w:rsidRPr="00641CFB">
              <w:rPr>
                <w:sz w:val="20"/>
                <w:szCs w:val="28"/>
              </w:rPr>
              <w:t>Adaptation of the FC stack to aviation requirements</w:t>
            </w:r>
          </w:p>
        </w:tc>
        <w:tc>
          <w:tcPr>
            <w:tcW w:w="0" w:type="auto"/>
            <w:vAlign w:val="center"/>
          </w:tcPr>
          <w:p w14:paraId="509829CA" w14:textId="77777777" w:rsidR="00EE5CD5" w:rsidRPr="00641CFB" w:rsidRDefault="00EE5CD5" w:rsidP="001A7846">
            <w:pPr>
              <w:pStyle w:val="MAWP-Bodytext"/>
              <w:spacing w:afterLines="60" w:after="144"/>
              <w:contextualSpacing/>
              <w:jc w:val="left"/>
              <w:rPr>
                <w:sz w:val="20"/>
                <w:szCs w:val="28"/>
              </w:rPr>
            </w:pPr>
            <w:r w:rsidRPr="00641CFB">
              <w:rPr>
                <w:sz w:val="20"/>
                <w:szCs w:val="28"/>
              </w:rPr>
              <w:t>Adaptation of the FC-stack to aviation requirements, including heat management, handling fuel on board</w:t>
            </w:r>
          </w:p>
          <w:p w14:paraId="788802F2" w14:textId="77777777" w:rsidR="00EE5CD5" w:rsidRPr="00641CFB" w:rsidRDefault="00EE5CD5" w:rsidP="001A7846">
            <w:pPr>
              <w:pStyle w:val="MAWP-Bodytext"/>
              <w:spacing w:afterLines="60" w:after="144"/>
              <w:contextualSpacing/>
              <w:jc w:val="left"/>
              <w:rPr>
                <w:sz w:val="20"/>
                <w:szCs w:val="28"/>
              </w:rPr>
            </w:pPr>
            <w:r w:rsidRPr="00641CFB">
              <w:rPr>
                <w:sz w:val="20"/>
                <w:szCs w:val="28"/>
              </w:rPr>
              <w:t>Integration in the aircraft and in-flight</w:t>
            </w:r>
          </w:p>
          <w:p w14:paraId="14E5F295" w14:textId="77777777" w:rsidR="00EE5CD5" w:rsidRPr="00641CFB" w:rsidRDefault="00EE5CD5" w:rsidP="001A7846">
            <w:pPr>
              <w:pStyle w:val="MAWP-Bodytext"/>
              <w:spacing w:afterLines="60" w:after="144"/>
              <w:contextualSpacing/>
              <w:jc w:val="left"/>
              <w:rPr>
                <w:sz w:val="20"/>
                <w:szCs w:val="28"/>
              </w:rPr>
            </w:pPr>
            <w:r w:rsidRPr="00641CFB">
              <w:rPr>
                <w:sz w:val="20"/>
                <w:szCs w:val="28"/>
              </w:rPr>
              <w:lastRenderedPageBreak/>
              <w:t>Demonstration</w:t>
            </w:r>
          </w:p>
        </w:tc>
      </w:tr>
      <w:tr w:rsidR="00EE5CD5" w:rsidRPr="00B364CB" w14:paraId="3EB45559" w14:textId="77777777" w:rsidTr="001A7846">
        <w:trPr>
          <w:jc w:val="center"/>
        </w:trPr>
        <w:tc>
          <w:tcPr>
            <w:tcW w:w="0" w:type="auto"/>
            <w:vAlign w:val="center"/>
          </w:tcPr>
          <w:p w14:paraId="3A4ACCDA" w14:textId="01989FA6" w:rsidR="00EE5CD5" w:rsidRPr="00641CFB" w:rsidRDefault="00EE5CD5" w:rsidP="001A7846">
            <w:pPr>
              <w:pStyle w:val="MAWP-Bodytext"/>
              <w:spacing w:afterLines="60" w:after="144"/>
              <w:contextualSpacing/>
              <w:jc w:val="left"/>
              <w:rPr>
                <w:sz w:val="20"/>
                <w:szCs w:val="28"/>
              </w:rPr>
            </w:pPr>
            <w:r w:rsidRPr="00641CFB">
              <w:rPr>
                <w:sz w:val="20"/>
                <w:szCs w:val="28"/>
              </w:rPr>
              <w:lastRenderedPageBreak/>
              <w:t>Hydrogen combustion turbine (including dedicated fuel system)</w:t>
            </w:r>
          </w:p>
        </w:tc>
        <w:tc>
          <w:tcPr>
            <w:tcW w:w="0" w:type="auto"/>
            <w:vAlign w:val="center"/>
          </w:tcPr>
          <w:p w14:paraId="62A19891" w14:textId="77777777" w:rsidR="00EE5CD5" w:rsidRPr="00641CFB" w:rsidRDefault="00EE5CD5" w:rsidP="001A7846">
            <w:pPr>
              <w:pStyle w:val="MAWP-Bodytext"/>
              <w:spacing w:afterLines="60" w:after="144"/>
              <w:contextualSpacing/>
              <w:jc w:val="left"/>
              <w:rPr>
                <w:sz w:val="20"/>
                <w:szCs w:val="28"/>
              </w:rPr>
            </w:pPr>
            <w:r w:rsidRPr="00641CFB">
              <w:rPr>
                <w:sz w:val="20"/>
                <w:szCs w:val="28"/>
              </w:rPr>
              <w:t>Low TRL research on low emissions combustion chamber with hydrogen (synergy with stationary turbine developments)</w:t>
            </w:r>
          </w:p>
        </w:tc>
        <w:tc>
          <w:tcPr>
            <w:tcW w:w="0" w:type="auto"/>
            <w:vAlign w:val="center"/>
          </w:tcPr>
          <w:p w14:paraId="6C66D68E" w14:textId="77777777" w:rsidR="00EE5CD5" w:rsidRPr="00641CFB" w:rsidRDefault="00EE5CD5" w:rsidP="001A7846">
            <w:pPr>
              <w:pStyle w:val="MAWP-Bodytext"/>
              <w:spacing w:afterLines="60" w:after="144"/>
              <w:contextualSpacing/>
              <w:jc w:val="left"/>
              <w:rPr>
                <w:sz w:val="20"/>
                <w:szCs w:val="28"/>
              </w:rPr>
            </w:pPr>
            <w:r w:rsidRPr="00641CFB">
              <w:rPr>
                <w:sz w:val="20"/>
                <w:szCs w:val="28"/>
              </w:rPr>
              <w:t>Development of dedicated turbine (including fuel lines)</w:t>
            </w:r>
          </w:p>
          <w:p w14:paraId="4041E44C" w14:textId="77777777" w:rsidR="00EE5CD5" w:rsidRPr="00641CFB" w:rsidRDefault="00EE5CD5" w:rsidP="001A7846">
            <w:pPr>
              <w:pStyle w:val="MAWP-Bodytext"/>
              <w:spacing w:afterLines="60" w:after="144"/>
              <w:contextualSpacing/>
              <w:jc w:val="left"/>
              <w:rPr>
                <w:sz w:val="20"/>
                <w:szCs w:val="28"/>
              </w:rPr>
            </w:pPr>
            <w:r w:rsidRPr="00641CFB">
              <w:rPr>
                <w:sz w:val="20"/>
                <w:szCs w:val="28"/>
              </w:rPr>
              <w:t>Integration in the aircraft</w:t>
            </w:r>
          </w:p>
          <w:p w14:paraId="3AE001DD" w14:textId="77777777" w:rsidR="00EE5CD5" w:rsidRPr="00641CFB" w:rsidRDefault="00EE5CD5" w:rsidP="001A7846">
            <w:pPr>
              <w:pStyle w:val="MAWP-Bodytext"/>
              <w:spacing w:afterLines="60" w:after="144"/>
              <w:contextualSpacing/>
              <w:jc w:val="left"/>
              <w:rPr>
                <w:sz w:val="20"/>
                <w:szCs w:val="28"/>
              </w:rPr>
            </w:pPr>
            <w:r w:rsidRPr="00641CFB">
              <w:rPr>
                <w:sz w:val="20"/>
                <w:szCs w:val="28"/>
              </w:rPr>
              <w:t>Ground and in-flight demos</w:t>
            </w:r>
          </w:p>
        </w:tc>
      </w:tr>
      <w:tr w:rsidR="00EE5CD5" w:rsidRPr="00B364CB" w14:paraId="27B033EE" w14:textId="77777777" w:rsidTr="001A7846">
        <w:trPr>
          <w:jc w:val="center"/>
        </w:trPr>
        <w:tc>
          <w:tcPr>
            <w:tcW w:w="0" w:type="auto"/>
            <w:vAlign w:val="center"/>
          </w:tcPr>
          <w:p w14:paraId="273B1DE9" w14:textId="77777777" w:rsidR="00EE5CD5" w:rsidRPr="00641CFB" w:rsidRDefault="00EE5CD5" w:rsidP="001A7846">
            <w:pPr>
              <w:pStyle w:val="MAWP-Bodytext"/>
              <w:spacing w:afterLines="60" w:after="144"/>
              <w:contextualSpacing/>
              <w:jc w:val="left"/>
              <w:rPr>
                <w:sz w:val="20"/>
                <w:szCs w:val="28"/>
              </w:rPr>
            </w:pPr>
            <w:r w:rsidRPr="00641CFB">
              <w:rPr>
                <w:sz w:val="20"/>
                <w:szCs w:val="28"/>
              </w:rPr>
              <w:t>Safety / Regulation</w:t>
            </w:r>
          </w:p>
        </w:tc>
        <w:tc>
          <w:tcPr>
            <w:tcW w:w="0" w:type="auto"/>
            <w:vAlign w:val="center"/>
          </w:tcPr>
          <w:p w14:paraId="21F740AC" w14:textId="77777777" w:rsidR="00EE5CD5" w:rsidRPr="00641CFB" w:rsidRDefault="00EE5CD5" w:rsidP="001A7846">
            <w:pPr>
              <w:pStyle w:val="MAWP-Bodytext"/>
              <w:spacing w:afterLines="60" w:after="144"/>
              <w:contextualSpacing/>
              <w:jc w:val="left"/>
              <w:rPr>
                <w:sz w:val="20"/>
                <w:szCs w:val="28"/>
              </w:rPr>
            </w:pPr>
            <w:r w:rsidRPr="00641CFB">
              <w:rPr>
                <w:sz w:val="20"/>
                <w:szCs w:val="28"/>
              </w:rPr>
              <w:t>All aspects linked to fuel logistics</w:t>
            </w:r>
          </w:p>
        </w:tc>
        <w:tc>
          <w:tcPr>
            <w:tcW w:w="0" w:type="auto"/>
            <w:vAlign w:val="center"/>
          </w:tcPr>
          <w:p w14:paraId="2578D5D6" w14:textId="77777777" w:rsidR="00EE5CD5" w:rsidRPr="00641CFB" w:rsidRDefault="00EE5CD5" w:rsidP="001A7846">
            <w:pPr>
              <w:pStyle w:val="MAWP-Bodytext"/>
              <w:spacing w:afterLines="60" w:after="144"/>
              <w:contextualSpacing/>
              <w:jc w:val="left"/>
              <w:rPr>
                <w:sz w:val="20"/>
                <w:szCs w:val="28"/>
              </w:rPr>
            </w:pPr>
            <w:r w:rsidRPr="00641CFB">
              <w:rPr>
                <w:sz w:val="20"/>
                <w:szCs w:val="28"/>
              </w:rPr>
              <w:t>All aspects linked to aircraft operations</w:t>
            </w:r>
          </w:p>
        </w:tc>
      </w:tr>
      <w:tr w:rsidR="00EE5CD5" w:rsidRPr="00B364CB" w14:paraId="467DFF05" w14:textId="77777777" w:rsidTr="001A7846">
        <w:trPr>
          <w:trHeight w:val="817"/>
          <w:jc w:val="center"/>
        </w:trPr>
        <w:tc>
          <w:tcPr>
            <w:tcW w:w="0" w:type="auto"/>
            <w:vAlign w:val="center"/>
          </w:tcPr>
          <w:p w14:paraId="2DC50C5A" w14:textId="77777777" w:rsidR="00EE5CD5" w:rsidRPr="00641CFB" w:rsidRDefault="00EE5CD5" w:rsidP="001A7846">
            <w:pPr>
              <w:pStyle w:val="MAWP-Bodytext"/>
              <w:spacing w:afterLines="60" w:after="144"/>
              <w:contextualSpacing/>
              <w:jc w:val="left"/>
              <w:rPr>
                <w:sz w:val="20"/>
                <w:szCs w:val="28"/>
              </w:rPr>
            </w:pPr>
            <w:r w:rsidRPr="00641CFB">
              <w:rPr>
                <w:sz w:val="20"/>
                <w:szCs w:val="28"/>
              </w:rPr>
              <w:t>Environmental aspects</w:t>
            </w:r>
          </w:p>
        </w:tc>
        <w:tc>
          <w:tcPr>
            <w:tcW w:w="0" w:type="auto"/>
            <w:vAlign w:val="center"/>
          </w:tcPr>
          <w:p w14:paraId="7B7798D5" w14:textId="77777777" w:rsidR="00EE5CD5" w:rsidRPr="00641CFB" w:rsidRDefault="00EE5CD5" w:rsidP="001A7846">
            <w:pPr>
              <w:pStyle w:val="MAWP-Bodytext"/>
              <w:spacing w:afterLines="60" w:after="144"/>
              <w:contextualSpacing/>
              <w:jc w:val="left"/>
              <w:rPr>
                <w:sz w:val="20"/>
                <w:szCs w:val="28"/>
              </w:rPr>
            </w:pPr>
            <w:r w:rsidRPr="00641CFB">
              <w:rPr>
                <w:sz w:val="20"/>
                <w:szCs w:val="28"/>
              </w:rPr>
              <w:t>Well-to-Wake GHG balance</w:t>
            </w:r>
          </w:p>
        </w:tc>
        <w:tc>
          <w:tcPr>
            <w:tcW w:w="0" w:type="auto"/>
            <w:vAlign w:val="center"/>
          </w:tcPr>
          <w:p w14:paraId="362F0FCD" w14:textId="43411F00" w:rsidR="00EE5CD5" w:rsidRPr="00641CFB" w:rsidRDefault="00EE5CD5" w:rsidP="001A7846">
            <w:pPr>
              <w:pStyle w:val="MAWP-Bodytext"/>
              <w:spacing w:afterLines="60" w:after="144"/>
              <w:contextualSpacing/>
              <w:jc w:val="left"/>
              <w:rPr>
                <w:sz w:val="20"/>
                <w:szCs w:val="28"/>
              </w:rPr>
            </w:pPr>
            <w:r w:rsidRPr="00641CFB">
              <w:rPr>
                <w:sz w:val="20"/>
                <w:szCs w:val="28"/>
              </w:rPr>
              <w:t>Non-CO2 effects</w:t>
            </w:r>
          </w:p>
        </w:tc>
      </w:tr>
    </w:tbl>
    <w:p w14:paraId="455226E8" w14:textId="785FF0DF" w:rsidR="00EE5CD5" w:rsidRPr="00B364CB" w:rsidRDefault="00EE5CD5" w:rsidP="000525AF">
      <w:pPr>
        <w:rPr>
          <w:highlight w:val="yellow"/>
        </w:rPr>
      </w:pPr>
    </w:p>
    <w:p w14:paraId="085018EA" w14:textId="77777777" w:rsidR="002837D1" w:rsidRPr="00B364CB" w:rsidRDefault="002837D1" w:rsidP="002837D1">
      <w:pPr>
        <w:pStyle w:val="MAWPHeadingStyleLevel4"/>
      </w:pPr>
      <w:r w:rsidRPr="00B364CB">
        <w:t xml:space="preserve">Synergies with </w:t>
      </w:r>
      <w:r>
        <w:rPr>
          <w:rFonts w:cs="Arial"/>
        </w:rPr>
        <w:t>the European Innovation Council and the European Energy Research Alliance</w:t>
      </w:r>
    </w:p>
    <w:p w14:paraId="76323F18" w14:textId="77777777" w:rsidR="00950E84" w:rsidRDefault="002837D1" w:rsidP="002837D1">
      <w:pPr>
        <w:pStyle w:val="MAWP-Bodytext"/>
      </w:pPr>
      <w:r w:rsidRPr="00B364CB">
        <w:t xml:space="preserve">A strong collaboration is envisaged </w:t>
      </w:r>
      <w:r>
        <w:t>with the EIC and the European Energy Research Alliance (EERA) mainly on low-TRL research activities</w:t>
      </w:r>
      <w:r w:rsidRPr="00B364CB">
        <w:t xml:space="preserve">. </w:t>
      </w:r>
    </w:p>
    <w:p w14:paraId="261EFFE7" w14:textId="77777777" w:rsidR="00950E84" w:rsidRDefault="002837D1" w:rsidP="002837D1">
      <w:pPr>
        <w:pStyle w:val="MAWP-Bodytext"/>
      </w:pPr>
      <w:r>
        <w:t>T</w:t>
      </w:r>
      <w:r w:rsidRPr="000854E3">
        <w:t xml:space="preserve">he implementation of </w:t>
      </w:r>
      <w:r>
        <w:t xml:space="preserve">the Clean Hydrogen JU </w:t>
      </w:r>
      <w:r w:rsidR="00950E84">
        <w:t>Programme</w:t>
      </w:r>
      <w:r w:rsidRPr="000854E3">
        <w:t xml:space="preserve"> could benefit from the basic research performed through the EIC programme in the field of hydrogen technologies</w:t>
      </w:r>
      <w:r w:rsidR="001B3251">
        <w:t>.</w:t>
      </w:r>
      <w:r w:rsidRPr="000854E3">
        <w:t xml:space="preserve"> </w:t>
      </w:r>
    </w:p>
    <w:p w14:paraId="03D86BB4" w14:textId="10263DD6" w:rsidR="002837D1" w:rsidRDefault="002837D1" w:rsidP="002837D1">
      <w:pPr>
        <w:pStyle w:val="MAWP-Bodytext"/>
      </w:pPr>
      <w:r>
        <w:t>B</w:t>
      </w:r>
      <w:r w:rsidRPr="0029625A">
        <w:t>reak</w:t>
      </w:r>
      <w:r>
        <w:t>through research on o</w:t>
      </w:r>
      <w:r w:rsidRPr="000854E3">
        <w:t>ther routes of renewable hydrogen production</w:t>
      </w:r>
      <w:r>
        <w:t>, hydrogen storage, b</w:t>
      </w:r>
      <w:r w:rsidRPr="000854E3">
        <w:t>uilding blocks of hydrogen use in transport applications</w:t>
      </w:r>
      <w:r>
        <w:t xml:space="preserve"> and reducing the loading of critical raw materials in electrolysers and fuel cell </w:t>
      </w:r>
      <w:r w:rsidR="001B3251">
        <w:t>is</w:t>
      </w:r>
      <w:r>
        <w:t xml:space="preserve"> expected to be done by EIC, complementary to the Clean Hydrogen JU projects. Successful research outcomes will be taken o</w:t>
      </w:r>
      <w:r w:rsidRPr="00230CDA">
        <w:t>ver and further advanced</w:t>
      </w:r>
      <w:r>
        <w:t xml:space="preserve"> by the Clean Hydrogen JU calls.</w:t>
      </w:r>
    </w:p>
    <w:p w14:paraId="20A88FB1" w14:textId="77777777" w:rsidR="002837D1" w:rsidRDefault="002837D1" w:rsidP="002837D1">
      <w:pPr>
        <w:pStyle w:val="MAWP-Bodytext"/>
      </w:pPr>
      <w:r>
        <w:t>Additional synergies are</w:t>
      </w:r>
      <w:r w:rsidRPr="003B0D9B">
        <w:t xml:space="preserve"> also emphasised with the EERA’s Joint Programme on Fuel Cells &amp; Hydrogen </w:t>
      </w:r>
      <w:r>
        <w:t xml:space="preserve">related to research areas on </w:t>
      </w:r>
      <w:r w:rsidRPr="008B64FB">
        <w:t xml:space="preserve">electrochemical aspects </w:t>
      </w:r>
      <w:r>
        <w:t xml:space="preserve">of </w:t>
      </w:r>
      <w:r w:rsidRPr="008B64FB">
        <w:t xml:space="preserve">water electrolyser </w:t>
      </w:r>
      <w:r>
        <w:t xml:space="preserve">and </w:t>
      </w:r>
      <w:r w:rsidRPr="008B64FB">
        <w:t>fuel cell and non</w:t>
      </w:r>
      <w:r>
        <w:t>-</w:t>
      </w:r>
      <w:r w:rsidRPr="008B64FB">
        <w:t xml:space="preserve">electrochemical </w:t>
      </w:r>
      <w:r w:rsidRPr="003B0D9B">
        <w:t>hydrogen production, handling and storage</w:t>
      </w:r>
      <w:r>
        <w:t xml:space="preserve"> </w:t>
      </w:r>
      <w:r w:rsidRPr="003B0D9B">
        <w:t xml:space="preserve">through </w:t>
      </w:r>
      <w:r>
        <w:t xml:space="preserve">the </w:t>
      </w:r>
      <w:r w:rsidRPr="003B0D9B">
        <w:t>7 sub-programmes of the Implementation Plan 2018-2030</w:t>
      </w:r>
      <w:r>
        <w:t xml:space="preserve"> such as:</w:t>
      </w:r>
    </w:p>
    <w:p w14:paraId="7D9D2EB9" w14:textId="77777777" w:rsidR="002837D1" w:rsidRDefault="002837D1" w:rsidP="008C7F7E">
      <w:pPr>
        <w:pStyle w:val="MAWPBodytextbullets"/>
      </w:pPr>
      <w:r>
        <w:t>Electrolyte materials for low and high temperature fuel cells and electrolysers;</w:t>
      </w:r>
    </w:p>
    <w:p w14:paraId="12165C9B" w14:textId="77777777" w:rsidR="002837D1" w:rsidRDefault="002837D1" w:rsidP="008C7F7E">
      <w:pPr>
        <w:pStyle w:val="MAWPBodytextbullets"/>
      </w:pPr>
      <w:r>
        <w:t>Next generation of highly active, low cost and durable catalysts/electrodes;</w:t>
      </w:r>
    </w:p>
    <w:p w14:paraId="7EEB6146" w14:textId="77777777" w:rsidR="002837D1" w:rsidRDefault="002837D1" w:rsidP="008C7F7E">
      <w:pPr>
        <w:pStyle w:val="MAWPBodytextbullets"/>
      </w:pPr>
      <w:r>
        <w:t>Cost effective manufacturing of manufacturing of stack materials and novel design development;</w:t>
      </w:r>
    </w:p>
    <w:p w14:paraId="26FFB8C3" w14:textId="77777777" w:rsidR="002837D1" w:rsidRDefault="002837D1" w:rsidP="008C7F7E">
      <w:pPr>
        <w:pStyle w:val="MAWPBodytextbullets"/>
      </w:pPr>
      <w:r>
        <w:t>Development of innovative fuel cell system concepts;</w:t>
      </w:r>
    </w:p>
    <w:p w14:paraId="3B5FCDE8" w14:textId="77777777" w:rsidR="002837D1" w:rsidRDefault="002837D1" w:rsidP="008C7F7E">
      <w:pPr>
        <w:pStyle w:val="MAWPBodytextbullets"/>
      </w:pPr>
      <w:r>
        <w:t>Better understanding of the physico-chemical processes through modelling, validation and diagnosis;</w:t>
      </w:r>
    </w:p>
    <w:p w14:paraId="656B188B" w14:textId="77777777" w:rsidR="002837D1" w:rsidRDefault="002837D1" w:rsidP="008C7F7E">
      <w:pPr>
        <w:pStyle w:val="MAWPBodytextbullets"/>
      </w:pPr>
      <w:r>
        <w:t>Cost effective and efficient hydrogen production and handling, including the development and implementation of new codes and standards</w:t>
      </w:r>
    </w:p>
    <w:p w14:paraId="58996F7A" w14:textId="77777777" w:rsidR="002837D1" w:rsidRDefault="002837D1" w:rsidP="008C7F7E">
      <w:pPr>
        <w:pStyle w:val="MAWPBodytextbullets"/>
      </w:pPr>
      <w:r>
        <w:t>Different technologies for hydrogen storage.</w:t>
      </w:r>
    </w:p>
    <w:p w14:paraId="11567324" w14:textId="42F9934B" w:rsidR="002837D1" w:rsidRDefault="002837D1" w:rsidP="002837D1">
      <w:pPr>
        <w:pStyle w:val="MAWP-Bodytext"/>
      </w:pPr>
      <w:r w:rsidRPr="00B364CB">
        <w:t xml:space="preserve">An overview of the </w:t>
      </w:r>
      <w:r>
        <w:t xml:space="preserve">possible areas of collaboration between Clean Hydrogen JU and EIC/EERA is </w:t>
      </w:r>
      <w:r w:rsidRPr="00B364CB">
        <w:t>provided in the table below.</w:t>
      </w:r>
    </w:p>
    <w:p w14:paraId="7B9475B1" w14:textId="77777777" w:rsidR="00641CFB" w:rsidRPr="00B364CB" w:rsidRDefault="00641CFB" w:rsidP="002837D1">
      <w:pPr>
        <w:pStyle w:val="MAWP-Bodytext"/>
      </w:pPr>
    </w:p>
    <w:p w14:paraId="46620EDC" w14:textId="2979B2A4" w:rsidR="002604C5" w:rsidRPr="00B364CB" w:rsidRDefault="002604C5" w:rsidP="002604C5">
      <w:pPr>
        <w:pStyle w:val="Caption"/>
        <w:rPr>
          <w:rFonts w:cs="Arial"/>
        </w:rPr>
      </w:pPr>
      <w:r w:rsidRPr="00B364CB">
        <w:lastRenderedPageBreak/>
        <w:t xml:space="preserve">Table </w:t>
      </w:r>
      <w:r w:rsidRPr="00B364CB">
        <w:fldChar w:fldCharType="begin"/>
      </w:r>
      <w:r w:rsidRPr="00B364CB">
        <w:instrText xml:space="preserve"> SEQ Table \* ARABIC </w:instrText>
      </w:r>
      <w:r w:rsidRPr="00B364CB">
        <w:fldChar w:fldCharType="separate"/>
      </w:r>
      <w:r w:rsidR="00797920">
        <w:rPr>
          <w:noProof/>
        </w:rPr>
        <w:t>31</w:t>
      </w:r>
      <w:r w:rsidRPr="00B364CB">
        <w:rPr>
          <w:noProof/>
        </w:rPr>
        <w:fldChar w:fldCharType="end"/>
      </w:r>
      <w:r w:rsidRPr="00B364CB">
        <w:rPr>
          <w:rFonts w:cs="Arial"/>
        </w:rPr>
        <w:t xml:space="preserve">. </w:t>
      </w:r>
      <w:r>
        <w:rPr>
          <w:rFonts w:cs="Arial"/>
        </w:rPr>
        <w:t>Potential</w:t>
      </w:r>
      <w:r w:rsidRPr="00B364CB">
        <w:rPr>
          <w:rFonts w:cs="Arial"/>
        </w:rPr>
        <w:t xml:space="preserve"> </w:t>
      </w:r>
      <w:r>
        <w:rPr>
          <w:rFonts w:cs="Arial"/>
        </w:rPr>
        <w:t>synergies</w:t>
      </w:r>
      <w:r w:rsidRPr="00B364CB">
        <w:rPr>
          <w:rFonts w:cs="Arial"/>
        </w:rPr>
        <w:t xml:space="preserve"> between </w:t>
      </w:r>
      <w:r w:rsidR="007B70F5">
        <w:t xml:space="preserve">Clean Hydrogen </w:t>
      </w:r>
      <w:r w:rsidRPr="00B364CB">
        <w:t xml:space="preserve">JU and </w:t>
      </w:r>
      <w:r>
        <w:rPr>
          <w:rFonts w:cs="Arial"/>
        </w:rPr>
        <w:t>EIC/EERA</w:t>
      </w:r>
      <w:r w:rsidRPr="00967EF1">
        <w:t xml:space="preserve"> </w:t>
      </w:r>
      <w:r>
        <w:t xml:space="preserve">on </w:t>
      </w:r>
      <w:r w:rsidRPr="00967EF1">
        <w:rPr>
          <w:rFonts w:cs="Arial"/>
        </w:rPr>
        <w:t>low-TRL research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833"/>
        <w:gridCol w:w="2125"/>
        <w:gridCol w:w="3528"/>
      </w:tblGrid>
      <w:tr w:rsidR="002837D1" w:rsidRPr="00B364CB" w14:paraId="2B928528" w14:textId="77777777" w:rsidTr="001A7846">
        <w:trPr>
          <w:trHeight w:val="829"/>
          <w:jc w:val="center"/>
        </w:trPr>
        <w:tc>
          <w:tcPr>
            <w:tcW w:w="0" w:type="auto"/>
            <w:shd w:val="clear" w:color="auto" w:fill="D9D9D9" w:themeFill="background1" w:themeFillShade="D9"/>
            <w:vAlign w:val="center"/>
          </w:tcPr>
          <w:p w14:paraId="5C5FA404" w14:textId="77777777" w:rsidR="002837D1" w:rsidRPr="00B364CB" w:rsidRDefault="002837D1" w:rsidP="001A7846">
            <w:pPr>
              <w:spacing w:afterLines="60" w:after="144"/>
              <w:contextualSpacing/>
              <w:jc w:val="center"/>
              <w:rPr>
                <w:rFonts w:cs="Arial"/>
                <w:szCs w:val="22"/>
              </w:rPr>
            </w:pPr>
            <w:r w:rsidRPr="00B364CB">
              <w:rPr>
                <w:rFonts w:cs="Arial"/>
                <w:b/>
                <w:szCs w:val="22"/>
              </w:rPr>
              <w:t>Research area</w:t>
            </w:r>
          </w:p>
        </w:tc>
        <w:tc>
          <w:tcPr>
            <w:tcW w:w="0" w:type="auto"/>
            <w:shd w:val="clear" w:color="auto" w:fill="D9D9D9" w:themeFill="background1" w:themeFillShade="D9"/>
            <w:vAlign w:val="center"/>
          </w:tcPr>
          <w:p w14:paraId="5C2417ED" w14:textId="77777777" w:rsidR="002837D1" w:rsidRPr="00B364CB" w:rsidRDefault="002837D1" w:rsidP="001A7846">
            <w:pPr>
              <w:spacing w:afterLines="60" w:after="144"/>
              <w:contextualSpacing/>
              <w:jc w:val="center"/>
              <w:rPr>
                <w:rFonts w:cs="Arial"/>
                <w:b/>
                <w:szCs w:val="22"/>
              </w:rPr>
            </w:pPr>
            <w:r w:rsidRPr="00B364CB">
              <w:rPr>
                <w:b/>
                <w:szCs w:val="22"/>
              </w:rPr>
              <w:t>Clean Hydrogen JU</w:t>
            </w:r>
          </w:p>
        </w:tc>
        <w:tc>
          <w:tcPr>
            <w:tcW w:w="0" w:type="auto"/>
            <w:shd w:val="clear" w:color="auto" w:fill="D9D9D9" w:themeFill="background1" w:themeFillShade="D9"/>
            <w:vAlign w:val="center"/>
          </w:tcPr>
          <w:p w14:paraId="6FB6BD34" w14:textId="77777777" w:rsidR="002837D1" w:rsidRPr="00B364CB" w:rsidRDefault="002837D1" w:rsidP="001A7846">
            <w:pPr>
              <w:spacing w:afterLines="60" w:after="144"/>
              <w:contextualSpacing/>
              <w:jc w:val="center"/>
              <w:rPr>
                <w:rFonts w:cs="Arial"/>
                <w:b/>
                <w:szCs w:val="22"/>
              </w:rPr>
            </w:pPr>
            <w:r>
              <w:rPr>
                <w:rFonts w:cs="Arial"/>
                <w:b/>
                <w:szCs w:val="22"/>
              </w:rPr>
              <w:t>EIC</w:t>
            </w:r>
          </w:p>
        </w:tc>
        <w:tc>
          <w:tcPr>
            <w:tcW w:w="0" w:type="auto"/>
            <w:shd w:val="clear" w:color="auto" w:fill="D9D9D9" w:themeFill="background1" w:themeFillShade="D9"/>
            <w:vAlign w:val="center"/>
          </w:tcPr>
          <w:p w14:paraId="5085797D" w14:textId="77777777" w:rsidR="002837D1" w:rsidRPr="00B364CB" w:rsidRDefault="002837D1" w:rsidP="001A7846">
            <w:pPr>
              <w:spacing w:afterLines="60" w:after="144"/>
              <w:contextualSpacing/>
              <w:jc w:val="center"/>
              <w:rPr>
                <w:rFonts w:cs="Arial"/>
                <w:b/>
                <w:szCs w:val="22"/>
              </w:rPr>
            </w:pPr>
            <w:r>
              <w:rPr>
                <w:rFonts w:cs="Arial"/>
                <w:b/>
                <w:szCs w:val="22"/>
              </w:rPr>
              <w:t>EERA</w:t>
            </w:r>
          </w:p>
        </w:tc>
      </w:tr>
      <w:tr w:rsidR="002837D1" w:rsidRPr="00B364CB" w14:paraId="4CEB9D54" w14:textId="77777777" w:rsidTr="001A7846">
        <w:trPr>
          <w:jc w:val="center"/>
        </w:trPr>
        <w:tc>
          <w:tcPr>
            <w:tcW w:w="0" w:type="auto"/>
            <w:vAlign w:val="center"/>
          </w:tcPr>
          <w:p w14:paraId="2F0B13B8" w14:textId="77777777" w:rsidR="002837D1" w:rsidRPr="00641CFB" w:rsidRDefault="002837D1" w:rsidP="001A7846">
            <w:pPr>
              <w:pStyle w:val="MAWP-Bodytext"/>
              <w:spacing w:afterLines="60" w:after="144"/>
              <w:contextualSpacing/>
              <w:jc w:val="left"/>
              <w:rPr>
                <w:sz w:val="20"/>
                <w:szCs w:val="20"/>
              </w:rPr>
            </w:pPr>
            <w:r w:rsidRPr="00641CFB">
              <w:rPr>
                <w:sz w:val="20"/>
                <w:szCs w:val="20"/>
              </w:rPr>
              <w:t>Electrolysis</w:t>
            </w:r>
          </w:p>
          <w:p w14:paraId="5700388F" w14:textId="77777777" w:rsidR="002837D1" w:rsidRPr="00641CFB" w:rsidRDefault="002837D1" w:rsidP="001A7846">
            <w:pPr>
              <w:pStyle w:val="MAWP-Bodytext"/>
              <w:spacing w:afterLines="60" w:after="144"/>
              <w:contextualSpacing/>
              <w:jc w:val="left"/>
              <w:rPr>
                <w:sz w:val="20"/>
                <w:szCs w:val="20"/>
              </w:rPr>
            </w:pPr>
          </w:p>
        </w:tc>
        <w:tc>
          <w:tcPr>
            <w:tcW w:w="0" w:type="auto"/>
            <w:vAlign w:val="center"/>
          </w:tcPr>
          <w:p w14:paraId="3E86A110" w14:textId="77777777" w:rsidR="002837D1" w:rsidRPr="00641CFB" w:rsidRDefault="002837D1" w:rsidP="001A7846">
            <w:pPr>
              <w:pStyle w:val="MAWP-Bodytext"/>
              <w:spacing w:afterLines="60" w:after="144"/>
              <w:contextualSpacing/>
              <w:jc w:val="left"/>
              <w:rPr>
                <w:sz w:val="20"/>
                <w:szCs w:val="20"/>
              </w:rPr>
            </w:pPr>
            <w:r w:rsidRPr="00641CFB">
              <w:rPr>
                <w:sz w:val="20"/>
                <w:szCs w:val="20"/>
              </w:rPr>
              <w:t>Electrodes, membranes and cell designs</w:t>
            </w:r>
          </w:p>
          <w:p w14:paraId="4DDDB7DB" w14:textId="77777777" w:rsidR="002837D1" w:rsidRPr="00641CFB" w:rsidRDefault="002837D1" w:rsidP="001A7846">
            <w:pPr>
              <w:pStyle w:val="MAWP-Bodytext"/>
              <w:spacing w:afterLines="60" w:after="144"/>
              <w:contextualSpacing/>
              <w:jc w:val="left"/>
              <w:rPr>
                <w:sz w:val="20"/>
                <w:szCs w:val="20"/>
              </w:rPr>
            </w:pPr>
            <w:r w:rsidRPr="00641CFB">
              <w:rPr>
                <w:sz w:val="20"/>
                <w:szCs w:val="20"/>
              </w:rPr>
              <w:t>PGM-free or low-PGM for water electrolysis</w:t>
            </w:r>
          </w:p>
          <w:p w14:paraId="4DE32C9E" w14:textId="77777777" w:rsidR="002837D1" w:rsidRPr="00641CFB" w:rsidRDefault="002837D1" w:rsidP="001A7846">
            <w:pPr>
              <w:pStyle w:val="MAWP-Bodytext"/>
              <w:spacing w:afterLines="60" w:after="144"/>
              <w:contextualSpacing/>
              <w:jc w:val="left"/>
              <w:rPr>
                <w:sz w:val="20"/>
                <w:szCs w:val="20"/>
              </w:rPr>
            </w:pPr>
            <w:r w:rsidRPr="00641CFB">
              <w:rPr>
                <w:sz w:val="20"/>
                <w:szCs w:val="20"/>
              </w:rPr>
              <w:t>Environmental impact and circularity</w:t>
            </w:r>
          </w:p>
          <w:p w14:paraId="1F337DFF" w14:textId="4114D18F" w:rsidR="002837D1" w:rsidRPr="00641CFB" w:rsidRDefault="002837D1" w:rsidP="001A7846">
            <w:pPr>
              <w:pStyle w:val="MAWP-Bodytext"/>
              <w:spacing w:afterLines="60" w:after="144"/>
              <w:contextualSpacing/>
              <w:jc w:val="left"/>
              <w:rPr>
                <w:sz w:val="20"/>
                <w:szCs w:val="20"/>
              </w:rPr>
            </w:pPr>
            <w:r w:rsidRPr="00641CFB">
              <w:rPr>
                <w:sz w:val="20"/>
                <w:szCs w:val="20"/>
              </w:rPr>
              <w:t>Alkaline</w:t>
            </w:r>
            <w:r w:rsidR="00EF6FE1" w:rsidRPr="00641CFB">
              <w:rPr>
                <w:sz w:val="20"/>
                <w:szCs w:val="20"/>
              </w:rPr>
              <w:t>, PEM, SO,</w:t>
            </w:r>
            <w:r w:rsidRPr="00641CFB">
              <w:rPr>
                <w:sz w:val="20"/>
                <w:szCs w:val="20"/>
              </w:rPr>
              <w:t xml:space="preserve"> </w:t>
            </w:r>
            <w:r w:rsidR="00950E84" w:rsidRPr="00641CFB">
              <w:rPr>
                <w:sz w:val="20"/>
                <w:szCs w:val="20"/>
              </w:rPr>
              <w:t xml:space="preserve"> AEM, PCC </w:t>
            </w:r>
            <w:r w:rsidRPr="00641CFB">
              <w:rPr>
                <w:sz w:val="20"/>
                <w:szCs w:val="20"/>
              </w:rPr>
              <w:t>electrolysers </w:t>
            </w:r>
          </w:p>
          <w:p w14:paraId="4056FD6C" w14:textId="77777777" w:rsidR="002837D1" w:rsidRPr="00641CFB" w:rsidRDefault="002837D1" w:rsidP="001A7846">
            <w:pPr>
              <w:pStyle w:val="MAWP-Bodytext"/>
              <w:spacing w:afterLines="60" w:after="144"/>
              <w:contextualSpacing/>
              <w:jc w:val="left"/>
              <w:rPr>
                <w:sz w:val="20"/>
                <w:szCs w:val="20"/>
              </w:rPr>
            </w:pPr>
            <w:r w:rsidRPr="00641CFB">
              <w:rPr>
                <w:sz w:val="20"/>
                <w:szCs w:val="20"/>
              </w:rPr>
              <w:t>Others possibility of non-pure water electrolysis</w:t>
            </w:r>
          </w:p>
          <w:p w14:paraId="78ECF506" w14:textId="3999EA42" w:rsidR="002604C5" w:rsidRPr="00641CFB" w:rsidRDefault="002604C5" w:rsidP="001A7846">
            <w:pPr>
              <w:pStyle w:val="MAWP-Bodytext"/>
              <w:spacing w:afterLines="60" w:after="144"/>
              <w:contextualSpacing/>
              <w:jc w:val="left"/>
              <w:rPr>
                <w:sz w:val="20"/>
                <w:szCs w:val="20"/>
              </w:rPr>
            </w:pPr>
            <w:r w:rsidRPr="00641CFB">
              <w:rPr>
                <w:sz w:val="20"/>
                <w:szCs w:val="20"/>
              </w:rPr>
              <w:t>Understanding performance / durability mechanisms</w:t>
            </w:r>
          </w:p>
        </w:tc>
        <w:tc>
          <w:tcPr>
            <w:tcW w:w="0" w:type="auto"/>
            <w:vAlign w:val="center"/>
          </w:tcPr>
          <w:p w14:paraId="116865BE" w14:textId="77777777" w:rsidR="002837D1" w:rsidRPr="00641CFB" w:rsidRDefault="002837D1" w:rsidP="001A7846">
            <w:pPr>
              <w:pStyle w:val="MAWP-Bodytext"/>
              <w:spacing w:afterLines="60" w:after="144"/>
              <w:contextualSpacing/>
              <w:jc w:val="left"/>
              <w:rPr>
                <w:sz w:val="20"/>
                <w:szCs w:val="20"/>
              </w:rPr>
            </w:pPr>
            <w:r w:rsidRPr="00641CFB">
              <w:rPr>
                <w:sz w:val="20"/>
                <w:szCs w:val="20"/>
              </w:rPr>
              <w:t>Thin Film Reversible Solid Oxide Cells for Ultra</w:t>
            </w:r>
            <w:r w:rsidR="00950E84" w:rsidRPr="00641CFB">
              <w:rPr>
                <w:sz w:val="20"/>
                <w:szCs w:val="20"/>
              </w:rPr>
              <w:t>-</w:t>
            </w:r>
            <w:r w:rsidRPr="00641CFB">
              <w:rPr>
                <w:sz w:val="20"/>
                <w:szCs w:val="20"/>
              </w:rPr>
              <w:t>compact electrical Energy Storage</w:t>
            </w:r>
          </w:p>
          <w:p w14:paraId="3580DE64" w14:textId="051BFFBF" w:rsidR="00950E84" w:rsidRPr="00641CFB" w:rsidRDefault="00950E84" w:rsidP="001A7846">
            <w:pPr>
              <w:pStyle w:val="MAWP-Bodytext"/>
              <w:spacing w:afterLines="60" w:after="144"/>
              <w:contextualSpacing/>
              <w:jc w:val="left"/>
              <w:rPr>
                <w:sz w:val="20"/>
                <w:szCs w:val="20"/>
              </w:rPr>
            </w:pPr>
            <w:r w:rsidRPr="00641CFB">
              <w:rPr>
                <w:sz w:val="20"/>
                <w:szCs w:val="20"/>
              </w:rPr>
              <w:t>Spin-polarized Catalysts for Energy-Efficient AEM Water Electrolysis</w:t>
            </w:r>
          </w:p>
        </w:tc>
        <w:tc>
          <w:tcPr>
            <w:tcW w:w="0" w:type="auto"/>
            <w:vAlign w:val="center"/>
          </w:tcPr>
          <w:p w14:paraId="2BE07BDE" w14:textId="77777777" w:rsidR="002837D1" w:rsidRPr="00641CFB" w:rsidRDefault="002837D1" w:rsidP="001A7846">
            <w:pPr>
              <w:pStyle w:val="MAWP-Bodytext"/>
              <w:spacing w:afterLines="60" w:after="144"/>
              <w:contextualSpacing/>
              <w:jc w:val="left"/>
              <w:rPr>
                <w:sz w:val="20"/>
                <w:szCs w:val="20"/>
              </w:rPr>
            </w:pPr>
            <w:r w:rsidRPr="00641CFB">
              <w:rPr>
                <w:sz w:val="20"/>
                <w:szCs w:val="20"/>
              </w:rPr>
              <w:t>Electrolytes</w:t>
            </w:r>
          </w:p>
          <w:p w14:paraId="5DFCCFCF" w14:textId="77777777" w:rsidR="002837D1" w:rsidRPr="00641CFB" w:rsidRDefault="002837D1" w:rsidP="001A7846">
            <w:pPr>
              <w:pStyle w:val="MAWP-Bodytext"/>
              <w:spacing w:afterLines="60" w:after="144"/>
              <w:contextualSpacing/>
              <w:jc w:val="left"/>
              <w:rPr>
                <w:sz w:val="20"/>
                <w:szCs w:val="20"/>
              </w:rPr>
            </w:pPr>
            <w:r w:rsidRPr="00641CFB">
              <w:rPr>
                <w:sz w:val="20"/>
                <w:szCs w:val="20"/>
              </w:rPr>
              <w:t>Catalysts and electrodes</w:t>
            </w:r>
          </w:p>
          <w:p w14:paraId="46BD2213" w14:textId="77777777" w:rsidR="002837D1" w:rsidRPr="00641CFB" w:rsidRDefault="002837D1" w:rsidP="001A7846">
            <w:pPr>
              <w:pStyle w:val="MAWP-Bodytext"/>
              <w:spacing w:afterLines="60" w:after="144"/>
              <w:contextualSpacing/>
              <w:jc w:val="left"/>
              <w:rPr>
                <w:sz w:val="20"/>
                <w:szCs w:val="20"/>
              </w:rPr>
            </w:pPr>
            <w:r w:rsidRPr="00641CFB">
              <w:rPr>
                <w:sz w:val="20"/>
                <w:szCs w:val="20"/>
              </w:rPr>
              <w:t>Stack Materials and Design</w:t>
            </w:r>
          </w:p>
          <w:p w14:paraId="60D0FFA1" w14:textId="77777777" w:rsidR="002837D1" w:rsidRPr="00641CFB" w:rsidRDefault="002837D1" w:rsidP="001A7846">
            <w:pPr>
              <w:pStyle w:val="MAWP-Bodytext"/>
              <w:spacing w:afterLines="60" w:after="144"/>
              <w:contextualSpacing/>
              <w:jc w:val="left"/>
              <w:rPr>
                <w:sz w:val="20"/>
                <w:szCs w:val="20"/>
              </w:rPr>
            </w:pPr>
            <w:r w:rsidRPr="00641CFB">
              <w:rPr>
                <w:sz w:val="20"/>
                <w:szCs w:val="20"/>
              </w:rPr>
              <w:t>Modelling, Validation and Diagnosis</w:t>
            </w:r>
          </w:p>
        </w:tc>
      </w:tr>
      <w:tr w:rsidR="002837D1" w:rsidRPr="00B364CB" w14:paraId="3BDB7C32" w14:textId="77777777" w:rsidTr="001A7846">
        <w:trPr>
          <w:jc w:val="center"/>
        </w:trPr>
        <w:tc>
          <w:tcPr>
            <w:tcW w:w="0" w:type="auto"/>
            <w:vAlign w:val="center"/>
          </w:tcPr>
          <w:p w14:paraId="05FF7131" w14:textId="77777777" w:rsidR="002837D1" w:rsidRPr="00641CFB" w:rsidRDefault="002837D1" w:rsidP="001A7846">
            <w:pPr>
              <w:pStyle w:val="MAWP-Bodytext"/>
              <w:spacing w:afterLines="60" w:after="144"/>
              <w:contextualSpacing/>
              <w:jc w:val="left"/>
              <w:rPr>
                <w:sz w:val="20"/>
                <w:szCs w:val="20"/>
              </w:rPr>
            </w:pPr>
            <w:r w:rsidRPr="00641CFB">
              <w:rPr>
                <w:sz w:val="20"/>
                <w:szCs w:val="20"/>
              </w:rPr>
              <w:t>Other routes of renewable hydrogen production</w:t>
            </w:r>
          </w:p>
        </w:tc>
        <w:tc>
          <w:tcPr>
            <w:tcW w:w="0" w:type="auto"/>
            <w:vAlign w:val="center"/>
          </w:tcPr>
          <w:p w14:paraId="33A617D4" w14:textId="77777777" w:rsidR="002837D1" w:rsidRPr="00641CFB" w:rsidRDefault="002837D1" w:rsidP="001A7846">
            <w:pPr>
              <w:pStyle w:val="MAWP-Bodytext"/>
              <w:spacing w:afterLines="60" w:after="144"/>
              <w:contextualSpacing/>
              <w:jc w:val="left"/>
              <w:rPr>
                <w:sz w:val="20"/>
                <w:szCs w:val="20"/>
              </w:rPr>
            </w:pPr>
            <w:r w:rsidRPr="00641CFB">
              <w:rPr>
                <w:sz w:val="20"/>
                <w:szCs w:val="20"/>
              </w:rPr>
              <w:t>Biomass &amp; bio-waste gasification</w:t>
            </w:r>
          </w:p>
          <w:p w14:paraId="05ECEE3F" w14:textId="77777777" w:rsidR="002837D1" w:rsidRPr="00641CFB" w:rsidRDefault="002837D1" w:rsidP="001A7846">
            <w:pPr>
              <w:pStyle w:val="MAWP-Bodytext"/>
              <w:spacing w:afterLines="60" w:after="144"/>
              <w:contextualSpacing/>
              <w:jc w:val="left"/>
              <w:rPr>
                <w:sz w:val="20"/>
                <w:szCs w:val="20"/>
              </w:rPr>
            </w:pPr>
            <w:r w:rsidRPr="00641CFB">
              <w:rPr>
                <w:sz w:val="20"/>
                <w:szCs w:val="20"/>
              </w:rPr>
              <w:t>Pyrolysis</w:t>
            </w:r>
          </w:p>
          <w:p w14:paraId="6D7C8C46" w14:textId="77777777" w:rsidR="002837D1" w:rsidRPr="00641CFB" w:rsidRDefault="002837D1" w:rsidP="001A7846">
            <w:pPr>
              <w:pStyle w:val="MAWP-Bodytext"/>
              <w:spacing w:afterLines="60" w:after="144"/>
              <w:contextualSpacing/>
              <w:jc w:val="left"/>
              <w:rPr>
                <w:sz w:val="20"/>
                <w:szCs w:val="20"/>
              </w:rPr>
            </w:pPr>
            <w:r w:rsidRPr="00641CFB">
              <w:rPr>
                <w:sz w:val="20"/>
                <w:szCs w:val="20"/>
              </w:rPr>
              <w:t>Biological production</w:t>
            </w:r>
          </w:p>
          <w:p w14:paraId="5E1E4BC5" w14:textId="77777777" w:rsidR="002837D1" w:rsidRPr="00641CFB" w:rsidRDefault="002837D1" w:rsidP="001A7846">
            <w:pPr>
              <w:pStyle w:val="MAWP-Bodytext"/>
              <w:spacing w:afterLines="60" w:after="144"/>
              <w:contextualSpacing/>
              <w:jc w:val="left"/>
              <w:rPr>
                <w:sz w:val="20"/>
                <w:szCs w:val="20"/>
              </w:rPr>
            </w:pPr>
            <w:r w:rsidRPr="00641CFB">
              <w:rPr>
                <w:sz w:val="20"/>
                <w:szCs w:val="20"/>
              </w:rPr>
              <w:t>Electro-hydrogenesis</w:t>
            </w:r>
          </w:p>
          <w:p w14:paraId="4B4DA599" w14:textId="77777777" w:rsidR="002837D1" w:rsidRPr="00641CFB" w:rsidRDefault="002837D1" w:rsidP="001A7846">
            <w:pPr>
              <w:pStyle w:val="MAWP-Bodytext"/>
              <w:spacing w:afterLines="60" w:after="144"/>
              <w:contextualSpacing/>
              <w:jc w:val="left"/>
              <w:rPr>
                <w:sz w:val="20"/>
                <w:szCs w:val="20"/>
              </w:rPr>
            </w:pPr>
            <w:r w:rsidRPr="00641CFB">
              <w:rPr>
                <w:sz w:val="20"/>
                <w:szCs w:val="20"/>
              </w:rPr>
              <w:t>Direct solar</w:t>
            </w:r>
          </w:p>
        </w:tc>
        <w:tc>
          <w:tcPr>
            <w:tcW w:w="0" w:type="auto"/>
            <w:vAlign w:val="center"/>
          </w:tcPr>
          <w:p w14:paraId="7CD6C109" w14:textId="77777777" w:rsidR="002837D1" w:rsidRPr="00641CFB" w:rsidRDefault="002837D1" w:rsidP="001A7846">
            <w:pPr>
              <w:pStyle w:val="MAWP-Bodytext"/>
              <w:spacing w:afterLines="60" w:after="144"/>
              <w:contextualSpacing/>
              <w:jc w:val="left"/>
              <w:rPr>
                <w:sz w:val="20"/>
                <w:szCs w:val="20"/>
              </w:rPr>
            </w:pPr>
            <w:r w:rsidRPr="00641CFB">
              <w:rPr>
                <w:sz w:val="20"/>
                <w:szCs w:val="20"/>
              </w:rPr>
              <w:t>Producing hydrogen from low temperature methane (from biogas) decomposition (MD)</w:t>
            </w:r>
          </w:p>
          <w:p w14:paraId="55B86A08" w14:textId="77777777" w:rsidR="002837D1" w:rsidRPr="00641CFB" w:rsidRDefault="002837D1" w:rsidP="001A7846">
            <w:pPr>
              <w:pStyle w:val="MAWP-Bodytext"/>
              <w:spacing w:afterLines="60" w:after="144"/>
              <w:contextualSpacing/>
              <w:jc w:val="left"/>
              <w:rPr>
                <w:sz w:val="20"/>
                <w:szCs w:val="20"/>
              </w:rPr>
            </w:pPr>
            <w:r w:rsidRPr="00641CFB">
              <w:rPr>
                <w:sz w:val="20"/>
                <w:szCs w:val="20"/>
              </w:rPr>
              <w:t>Novel routes to green hydrogen production</w:t>
            </w:r>
          </w:p>
        </w:tc>
        <w:tc>
          <w:tcPr>
            <w:tcW w:w="0" w:type="auto"/>
            <w:vAlign w:val="center"/>
          </w:tcPr>
          <w:p w14:paraId="1EC8A72D" w14:textId="77777777" w:rsidR="002837D1" w:rsidRPr="00641CFB" w:rsidRDefault="002837D1" w:rsidP="001A7846">
            <w:pPr>
              <w:pStyle w:val="MAWP-Bodytext"/>
              <w:spacing w:afterLines="60" w:after="144"/>
              <w:contextualSpacing/>
              <w:jc w:val="left"/>
              <w:rPr>
                <w:sz w:val="20"/>
                <w:szCs w:val="20"/>
              </w:rPr>
            </w:pPr>
            <w:r w:rsidRPr="00641CFB">
              <w:rPr>
                <w:sz w:val="20"/>
                <w:szCs w:val="20"/>
              </w:rPr>
              <w:t>Non-electrochemical hydrogen production: Biomass/Biowaste, Algae, Water Thermolysis, Photocatalyis</w:t>
            </w:r>
          </w:p>
          <w:p w14:paraId="12C21CE7" w14:textId="77777777" w:rsidR="002837D1" w:rsidRPr="00641CFB" w:rsidRDefault="002837D1" w:rsidP="001A7846">
            <w:pPr>
              <w:pStyle w:val="MAWP-Bodytext"/>
              <w:spacing w:afterLines="60" w:after="144"/>
              <w:contextualSpacing/>
              <w:jc w:val="left"/>
              <w:rPr>
                <w:sz w:val="20"/>
                <w:szCs w:val="20"/>
              </w:rPr>
            </w:pPr>
            <w:r w:rsidRPr="00641CFB">
              <w:rPr>
                <w:sz w:val="20"/>
                <w:szCs w:val="20"/>
              </w:rPr>
              <w:t>Safety, Codes and Standards for Other Hydrogen Production Methods</w:t>
            </w:r>
          </w:p>
        </w:tc>
      </w:tr>
      <w:tr w:rsidR="002837D1" w:rsidRPr="00B364CB" w14:paraId="33C9AA4B" w14:textId="77777777" w:rsidTr="001A7846">
        <w:trPr>
          <w:jc w:val="center"/>
        </w:trPr>
        <w:tc>
          <w:tcPr>
            <w:tcW w:w="0" w:type="auto"/>
            <w:vAlign w:val="center"/>
          </w:tcPr>
          <w:p w14:paraId="6E385F6E" w14:textId="17DB0125" w:rsidR="002837D1" w:rsidRPr="00641CFB" w:rsidRDefault="0094406A" w:rsidP="001A7846">
            <w:pPr>
              <w:pStyle w:val="MAWP-Bodytext"/>
              <w:spacing w:afterLines="60" w:after="144"/>
              <w:contextualSpacing/>
              <w:jc w:val="left"/>
              <w:rPr>
                <w:sz w:val="20"/>
                <w:szCs w:val="20"/>
              </w:rPr>
            </w:pPr>
            <w:r w:rsidRPr="00641CFB">
              <w:rPr>
                <w:sz w:val="20"/>
                <w:szCs w:val="20"/>
              </w:rPr>
              <w:t>Hydrogen</w:t>
            </w:r>
            <w:r w:rsidR="002837D1" w:rsidRPr="00641CFB">
              <w:rPr>
                <w:sz w:val="20"/>
                <w:szCs w:val="20"/>
              </w:rPr>
              <w:t xml:space="preserve"> Storage</w:t>
            </w:r>
          </w:p>
        </w:tc>
        <w:tc>
          <w:tcPr>
            <w:tcW w:w="0" w:type="auto"/>
            <w:vAlign w:val="center"/>
          </w:tcPr>
          <w:p w14:paraId="0E482A07" w14:textId="77777777" w:rsidR="002837D1" w:rsidRPr="00641CFB" w:rsidRDefault="002837D1" w:rsidP="001A7846">
            <w:pPr>
              <w:pStyle w:val="MAWP-Bodytext"/>
              <w:spacing w:afterLines="60" w:after="144"/>
              <w:contextualSpacing/>
              <w:jc w:val="left"/>
              <w:rPr>
                <w:sz w:val="20"/>
                <w:szCs w:val="20"/>
              </w:rPr>
            </w:pPr>
            <w:r w:rsidRPr="00641CFB">
              <w:rPr>
                <w:sz w:val="20"/>
                <w:szCs w:val="20"/>
              </w:rPr>
              <w:t>New concepts of large scale storage</w:t>
            </w:r>
          </w:p>
          <w:p w14:paraId="03B1F3EE" w14:textId="244FF9B7" w:rsidR="00950E84" w:rsidRPr="00641CFB" w:rsidRDefault="00950E84" w:rsidP="001A7846">
            <w:pPr>
              <w:pStyle w:val="MAWP-Bodytext"/>
              <w:spacing w:afterLines="60" w:after="144"/>
              <w:contextualSpacing/>
              <w:jc w:val="left"/>
              <w:rPr>
                <w:sz w:val="20"/>
                <w:szCs w:val="20"/>
              </w:rPr>
            </w:pPr>
            <w:r w:rsidRPr="00641CFB">
              <w:rPr>
                <w:sz w:val="20"/>
                <w:szCs w:val="20"/>
              </w:rPr>
              <w:t>Advanced materials for hydrogen storage</w:t>
            </w:r>
          </w:p>
        </w:tc>
        <w:tc>
          <w:tcPr>
            <w:tcW w:w="0" w:type="auto"/>
            <w:vAlign w:val="center"/>
          </w:tcPr>
          <w:p w14:paraId="5CE79367" w14:textId="77777777" w:rsidR="002837D1" w:rsidRPr="00641CFB" w:rsidRDefault="002837D1" w:rsidP="001A7846">
            <w:pPr>
              <w:pStyle w:val="MAWP-Bodytext"/>
              <w:spacing w:afterLines="60" w:after="144"/>
              <w:contextualSpacing/>
              <w:jc w:val="left"/>
              <w:rPr>
                <w:sz w:val="20"/>
                <w:szCs w:val="20"/>
              </w:rPr>
            </w:pPr>
            <w:r w:rsidRPr="00641CFB">
              <w:rPr>
                <w:sz w:val="20"/>
                <w:szCs w:val="20"/>
              </w:rPr>
              <w:t>Shaping Covalent Organic Frameworks for Industrial Applications</w:t>
            </w:r>
          </w:p>
          <w:p w14:paraId="3B0EBB1F" w14:textId="77777777" w:rsidR="002837D1" w:rsidRPr="00641CFB" w:rsidRDefault="002837D1" w:rsidP="001A7846">
            <w:pPr>
              <w:pStyle w:val="MAWP-Bodytext"/>
              <w:spacing w:afterLines="60" w:after="144"/>
              <w:contextualSpacing/>
              <w:jc w:val="left"/>
              <w:rPr>
                <w:sz w:val="20"/>
                <w:szCs w:val="20"/>
              </w:rPr>
            </w:pPr>
            <w:r w:rsidRPr="00641CFB">
              <w:rPr>
                <w:sz w:val="20"/>
                <w:szCs w:val="20"/>
              </w:rPr>
              <w:t>Making hydrogen easy to deliver</w:t>
            </w:r>
          </w:p>
          <w:p w14:paraId="53A64AA6" w14:textId="77777777" w:rsidR="002837D1" w:rsidRPr="00641CFB" w:rsidRDefault="002837D1" w:rsidP="001A7846">
            <w:pPr>
              <w:pStyle w:val="MAWP-Bodytext"/>
              <w:spacing w:afterLines="60" w:after="144"/>
              <w:contextualSpacing/>
              <w:jc w:val="left"/>
              <w:rPr>
                <w:sz w:val="20"/>
                <w:szCs w:val="20"/>
              </w:rPr>
            </w:pPr>
            <w:r w:rsidRPr="00641CFB">
              <w:rPr>
                <w:sz w:val="20"/>
                <w:szCs w:val="20"/>
              </w:rPr>
              <w:t>Highly efficient Power Production by green Ammonia total Oxidation in a Membrane Reactor</w:t>
            </w:r>
          </w:p>
          <w:p w14:paraId="3F2D72E6" w14:textId="47C7B638" w:rsidR="001A7846" w:rsidRPr="00641CFB" w:rsidRDefault="001A7846" w:rsidP="001A7846">
            <w:pPr>
              <w:pStyle w:val="MAWP-Bodytext"/>
              <w:spacing w:afterLines="60" w:after="144"/>
              <w:contextualSpacing/>
              <w:jc w:val="left"/>
              <w:rPr>
                <w:sz w:val="20"/>
                <w:szCs w:val="20"/>
              </w:rPr>
            </w:pPr>
          </w:p>
        </w:tc>
        <w:tc>
          <w:tcPr>
            <w:tcW w:w="0" w:type="auto"/>
            <w:vAlign w:val="center"/>
          </w:tcPr>
          <w:p w14:paraId="4D9DA4D7" w14:textId="378C69B9" w:rsidR="002837D1" w:rsidRPr="00641CFB" w:rsidRDefault="00605AA3" w:rsidP="001A7846">
            <w:pPr>
              <w:pStyle w:val="MAWP-Bodytext"/>
              <w:spacing w:afterLines="60" w:after="144"/>
              <w:contextualSpacing/>
              <w:jc w:val="left"/>
              <w:rPr>
                <w:sz w:val="20"/>
                <w:szCs w:val="20"/>
              </w:rPr>
            </w:pPr>
            <w:r w:rsidRPr="00641CFB">
              <w:rPr>
                <w:sz w:val="20"/>
                <w:szCs w:val="20"/>
              </w:rPr>
              <w:t xml:space="preserve">Different </w:t>
            </w:r>
            <w:r w:rsidR="002837D1" w:rsidRPr="00641CFB">
              <w:rPr>
                <w:sz w:val="20"/>
                <w:szCs w:val="20"/>
              </w:rPr>
              <w:t>Hydrogen Storage</w:t>
            </w:r>
            <w:r w:rsidRPr="00641CFB">
              <w:rPr>
                <w:sz w:val="20"/>
                <w:szCs w:val="20"/>
              </w:rPr>
              <w:t xml:space="preserve"> Technologies</w:t>
            </w:r>
          </w:p>
        </w:tc>
      </w:tr>
      <w:tr w:rsidR="002837D1" w:rsidRPr="00B364CB" w14:paraId="254FAAC4" w14:textId="77777777" w:rsidTr="001A7846">
        <w:trPr>
          <w:jc w:val="center"/>
        </w:trPr>
        <w:tc>
          <w:tcPr>
            <w:tcW w:w="0" w:type="auto"/>
            <w:vAlign w:val="center"/>
          </w:tcPr>
          <w:p w14:paraId="5A96BF15" w14:textId="77777777" w:rsidR="002837D1" w:rsidRPr="00641CFB" w:rsidRDefault="002837D1" w:rsidP="001A7846">
            <w:pPr>
              <w:pStyle w:val="MAWP-Bodytext"/>
              <w:spacing w:afterLines="60" w:after="144"/>
              <w:contextualSpacing/>
              <w:jc w:val="left"/>
              <w:rPr>
                <w:sz w:val="20"/>
                <w:szCs w:val="20"/>
              </w:rPr>
            </w:pPr>
            <w:r w:rsidRPr="00641CFB">
              <w:rPr>
                <w:sz w:val="20"/>
                <w:szCs w:val="20"/>
              </w:rPr>
              <w:t>Building blocks for hydrogen use in transport applications</w:t>
            </w:r>
          </w:p>
        </w:tc>
        <w:tc>
          <w:tcPr>
            <w:tcW w:w="0" w:type="auto"/>
            <w:vAlign w:val="center"/>
          </w:tcPr>
          <w:p w14:paraId="642D7F8A" w14:textId="77777777" w:rsidR="002837D1" w:rsidRPr="00641CFB" w:rsidRDefault="002837D1" w:rsidP="001A7846">
            <w:pPr>
              <w:pStyle w:val="MAWP-Bodytext"/>
              <w:spacing w:afterLines="60" w:after="144"/>
              <w:contextualSpacing/>
              <w:jc w:val="left"/>
              <w:rPr>
                <w:sz w:val="20"/>
                <w:szCs w:val="20"/>
              </w:rPr>
            </w:pPr>
            <w:r w:rsidRPr="00641CFB">
              <w:rPr>
                <w:sz w:val="20"/>
                <w:szCs w:val="20"/>
              </w:rPr>
              <w:t>FC disruptive technologies</w:t>
            </w:r>
          </w:p>
          <w:p w14:paraId="4082B516" w14:textId="77777777" w:rsidR="002837D1" w:rsidRPr="00641CFB" w:rsidRDefault="002837D1" w:rsidP="001A7846">
            <w:pPr>
              <w:pStyle w:val="MAWP-Bodytext"/>
              <w:spacing w:afterLines="60" w:after="144"/>
              <w:contextualSpacing/>
              <w:jc w:val="left"/>
              <w:rPr>
                <w:sz w:val="20"/>
                <w:szCs w:val="20"/>
              </w:rPr>
            </w:pPr>
            <w:r w:rsidRPr="00641CFB">
              <w:rPr>
                <w:sz w:val="20"/>
                <w:szCs w:val="20"/>
              </w:rPr>
              <w:t>Low or free-PGM loading</w:t>
            </w:r>
          </w:p>
          <w:p w14:paraId="7169F2AB" w14:textId="77777777" w:rsidR="002837D1" w:rsidRPr="00641CFB" w:rsidRDefault="002837D1" w:rsidP="001A7846">
            <w:pPr>
              <w:pStyle w:val="MAWP-Bodytext"/>
              <w:spacing w:afterLines="60" w:after="144"/>
              <w:contextualSpacing/>
              <w:jc w:val="left"/>
              <w:rPr>
                <w:sz w:val="20"/>
                <w:szCs w:val="20"/>
              </w:rPr>
            </w:pPr>
            <w:r w:rsidRPr="00641CFB">
              <w:rPr>
                <w:sz w:val="20"/>
                <w:szCs w:val="20"/>
              </w:rPr>
              <w:t>High-pressure tanks</w:t>
            </w:r>
          </w:p>
          <w:p w14:paraId="269DA5AC" w14:textId="77777777" w:rsidR="002837D1" w:rsidRPr="00641CFB" w:rsidRDefault="002837D1" w:rsidP="001A7846">
            <w:pPr>
              <w:pStyle w:val="MAWP-Bodytext"/>
              <w:spacing w:afterLines="60" w:after="144"/>
              <w:contextualSpacing/>
              <w:jc w:val="left"/>
              <w:rPr>
                <w:sz w:val="20"/>
                <w:szCs w:val="20"/>
              </w:rPr>
            </w:pPr>
            <w:r w:rsidRPr="00641CFB">
              <w:rPr>
                <w:sz w:val="20"/>
                <w:szCs w:val="20"/>
              </w:rPr>
              <w:t>Novel storage concepts</w:t>
            </w:r>
          </w:p>
          <w:p w14:paraId="088F769F" w14:textId="1349CD89" w:rsidR="002604C5" w:rsidRPr="00641CFB" w:rsidRDefault="002604C5" w:rsidP="001A7846">
            <w:pPr>
              <w:pStyle w:val="MAWP-Bodytext"/>
              <w:spacing w:afterLines="60" w:after="144"/>
              <w:contextualSpacing/>
              <w:jc w:val="left"/>
              <w:rPr>
                <w:sz w:val="20"/>
                <w:szCs w:val="20"/>
              </w:rPr>
            </w:pPr>
            <w:r w:rsidRPr="00641CFB">
              <w:rPr>
                <w:sz w:val="20"/>
                <w:szCs w:val="20"/>
              </w:rPr>
              <w:t xml:space="preserve">Understanding </w:t>
            </w:r>
            <w:r w:rsidRPr="00641CFB">
              <w:rPr>
                <w:sz w:val="20"/>
                <w:szCs w:val="20"/>
              </w:rPr>
              <w:lastRenderedPageBreak/>
              <w:t>performance / durability mechanisms</w:t>
            </w:r>
          </w:p>
        </w:tc>
        <w:tc>
          <w:tcPr>
            <w:tcW w:w="0" w:type="auto"/>
            <w:vAlign w:val="center"/>
          </w:tcPr>
          <w:p w14:paraId="02C665D7" w14:textId="77777777" w:rsidR="002837D1" w:rsidRPr="00641CFB" w:rsidRDefault="002837D1" w:rsidP="001A7846">
            <w:pPr>
              <w:pStyle w:val="MAWP-Bodytext"/>
              <w:spacing w:afterLines="60" w:after="144"/>
              <w:contextualSpacing/>
              <w:jc w:val="left"/>
              <w:rPr>
                <w:sz w:val="20"/>
                <w:szCs w:val="20"/>
              </w:rPr>
            </w:pPr>
            <w:r w:rsidRPr="00641CFB">
              <w:rPr>
                <w:sz w:val="20"/>
                <w:szCs w:val="20"/>
              </w:rPr>
              <w:lastRenderedPageBreak/>
              <w:t>Novel screening method to find efficient fuel cells that rely on cheap materials</w:t>
            </w:r>
          </w:p>
          <w:p w14:paraId="103DA5CD" w14:textId="77777777" w:rsidR="002837D1" w:rsidRPr="00641CFB" w:rsidRDefault="002837D1" w:rsidP="001A7846">
            <w:pPr>
              <w:pStyle w:val="MAWP-Bodytext"/>
              <w:spacing w:afterLines="60" w:after="144"/>
              <w:contextualSpacing/>
              <w:jc w:val="left"/>
              <w:rPr>
                <w:sz w:val="20"/>
                <w:szCs w:val="20"/>
              </w:rPr>
            </w:pPr>
            <w:r w:rsidRPr="00641CFB">
              <w:rPr>
                <w:sz w:val="20"/>
                <w:szCs w:val="20"/>
              </w:rPr>
              <w:t xml:space="preserve">Light to Store chemical Energy in reduced Graphene Oxide for electricity </w:t>
            </w:r>
            <w:r w:rsidRPr="00641CFB">
              <w:rPr>
                <w:sz w:val="20"/>
                <w:szCs w:val="20"/>
              </w:rPr>
              <w:lastRenderedPageBreak/>
              <w:t>generation</w:t>
            </w:r>
          </w:p>
        </w:tc>
        <w:tc>
          <w:tcPr>
            <w:tcW w:w="0" w:type="auto"/>
            <w:vAlign w:val="center"/>
          </w:tcPr>
          <w:p w14:paraId="280E61E6" w14:textId="77777777" w:rsidR="002837D1" w:rsidRPr="00641CFB" w:rsidRDefault="002837D1" w:rsidP="001A7846">
            <w:pPr>
              <w:pStyle w:val="MAWP-Bodytext"/>
              <w:spacing w:afterLines="60" w:after="144"/>
              <w:contextualSpacing/>
              <w:jc w:val="left"/>
              <w:rPr>
                <w:sz w:val="20"/>
                <w:szCs w:val="20"/>
              </w:rPr>
            </w:pPr>
            <w:r w:rsidRPr="00641CFB">
              <w:rPr>
                <w:sz w:val="20"/>
                <w:szCs w:val="20"/>
              </w:rPr>
              <w:lastRenderedPageBreak/>
              <w:t>Electrolytes</w:t>
            </w:r>
          </w:p>
          <w:p w14:paraId="4ACE766B" w14:textId="77777777" w:rsidR="002837D1" w:rsidRPr="00641CFB" w:rsidRDefault="002837D1" w:rsidP="001A7846">
            <w:pPr>
              <w:pStyle w:val="MAWP-Bodytext"/>
              <w:spacing w:afterLines="60" w:after="144"/>
              <w:contextualSpacing/>
              <w:jc w:val="left"/>
              <w:rPr>
                <w:sz w:val="20"/>
                <w:szCs w:val="20"/>
              </w:rPr>
            </w:pPr>
            <w:r w:rsidRPr="00641CFB">
              <w:rPr>
                <w:sz w:val="20"/>
                <w:szCs w:val="20"/>
              </w:rPr>
              <w:t>Catalysts and electrodes</w:t>
            </w:r>
          </w:p>
          <w:p w14:paraId="6DA1B3BF" w14:textId="77777777" w:rsidR="002837D1" w:rsidRPr="00641CFB" w:rsidRDefault="002837D1" w:rsidP="001A7846">
            <w:pPr>
              <w:pStyle w:val="MAWP-Bodytext"/>
              <w:spacing w:afterLines="60" w:after="144"/>
              <w:contextualSpacing/>
              <w:jc w:val="left"/>
              <w:rPr>
                <w:sz w:val="20"/>
                <w:szCs w:val="20"/>
              </w:rPr>
            </w:pPr>
            <w:r w:rsidRPr="00641CFB">
              <w:rPr>
                <w:sz w:val="20"/>
                <w:szCs w:val="20"/>
              </w:rPr>
              <w:t>Stack Materials and Design</w:t>
            </w:r>
          </w:p>
          <w:p w14:paraId="6F798E29" w14:textId="77777777" w:rsidR="002837D1" w:rsidRPr="00641CFB" w:rsidRDefault="002837D1" w:rsidP="001A7846">
            <w:pPr>
              <w:pStyle w:val="MAWP-Bodytext"/>
              <w:spacing w:afterLines="60" w:after="144"/>
              <w:contextualSpacing/>
              <w:jc w:val="left"/>
              <w:rPr>
                <w:sz w:val="20"/>
                <w:szCs w:val="20"/>
              </w:rPr>
            </w:pPr>
            <w:r w:rsidRPr="00641CFB">
              <w:rPr>
                <w:sz w:val="20"/>
                <w:szCs w:val="20"/>
              </w:rPr>
              <w:t>Modelling, Validation and Diagnosis</w:t>
            </w:r>
          </w:p>
        </w:tc>
      </w:tr>
      <w:tr w:rsidR="002837D1" w:rsidRPr="00B364CB" w14:paraId="31583EEC" w14:textId="77777777" w:rsidTr="001A7846">
        <w:trPr>
          <w:jc w:val="center"/>
        </w:trPr>
        <w:tc>
          <w:tcPr>
            <w:tcW w:w="0" w:type="auto"/>
            <w:vAlign w:val="center"/>
          </w:tcPr>
          <w:p w14:paraId="7C56DC05" w14:textId="77777777" w:rsidR="002837D1" w:rsidRPr="00641CFB" w:rsidRDefault="002837D1" w:rsidP="001A7846">
            <w:pPr>
              <w:pStyle w:val="MAWP-Bodytext"/>
              <w:spacing w:afterLines="60" w:after="144"/>
              <w:contextualSpacing/>
              <w:jc w:val="left"/>
              <w:rPr>
                <w:sz w:val="20"/>
                <w:szCs w:val="20"/>
              </w:rPr>
            </w:pPr>
            <w:r w:rsidRPr="00641CFB">
              <w:rPr>
                <w:sz w:val="20"/>
                <w:szCs w:val="20"/>
              </w:rPr>
              <w:t>Heavy duty vehicles</w:t>
            </w:r>
          </w:p>
        </w:tc>
        <w:tc>
          <w:tcPr>
            <w:tcW w:w="0" w:type="auto"/>
            <w:vAlign w:val="center"/>
          </w:tcPr>
          <w:p w14:paraId="2B439C36" w14:textId="77777777" w:rsidR="002837D1" w:rsidRPr="00641CFB" w:rsidRDefault="002837D1" w:rsidP="001A7846">
            <w:pPr>
              <w:pStyle w:val="MAWP-Bodytext"/>
              <w:spacing w:afterLines="60" w:after="144"/>
              <w:contextualSpacing/>
              <w:jc w:val="left"/>
              <w:rPr>
                <w:sz w:val="20"/>
                <w:szCs w:val="20"/>
              </w:rPr>
            </w:pPr>
            <w:r w:rsidRPr="00641CFB">
              <w:rPr>
                <w:sz w:val="20"/>
                <w:szCs w:val="20"/>
              </w:rPr>
              <w:t>New design of HDV systems</w:t>
            </w:r>
          </w:p>
          <w:p w14:paraId="5BCC88C6" w14:textId="77777777" w:rsidR="002837D1" w:rsidRPr="00641CFB" w:rsidRDefault="002837D1" w:rsidP="001A7846">
            <w:pPr>
              <w:pStyle w:val="MAWP-Bodytext"/>
              <w:spacing w:afterLines="60" w:after="144"/>
              <w:contextualSpacing/>
              <w:jc w:val="left"/>
              <w:rPr>
                <w:sz w:val="20"/>
                <w:szCs w:val="20"/>
              </w:rPr>
            </w:pPr>
            <w:r w:rsidRPr="00641CFB">
              <w:rPr>
                <w:sz w:val="20"/>
                <w:szCs w:val="20"/>
              </w:rPr>
              <w:t>Disruptive FC concepts for HDV</w:t>
            </w:r>
          </w:p>
        </w:tc>
        <w:tc>
          <w:tcPr>
            <w:tcW w:w="0" w:type="auto"/>
            <w:vAlign w:val="center"/>
          </w:tcPr>
          <w:p w14:paraId="50A806DE" w14:textId="574E9267" w:rsidR="002837D1" w:rsidRPr="00641CFB" w:rsidRDefault="000E4B8C" w:rsidP="001A7846">
            <w:pPr>
              <w:pStyle w:val="MAWP-Bodytext"/>
              <w:spacing w:afterLines="60" w:after="144"/>
              <w:contextualSpacing/>
              <w:jc w:val="left"/>
              <w:rPr>
                <w:sz w:val="20"/>
                <w:szCs w:val="20"/>
              </w:rPr>
            </w:pPr>
            <w:r w:rsidRPr="00641CFB">
              <w:rPr>
                <w:sz w:val="20"/>
                <w:szCs w:val="20"/>
              </w:rPr>
              <w:t xml:space="preserve">Converting combustion engines from fossil fuel to hydrogen burners </w:t>
            </w:r>
          </w:p>
        </w:tc>
        <w:tc>
          <w:tcPr>
            <w:tcW w:w="0" w:type="auto"/>
            <w:vAlign w:val="center"/>
          </w:tcPr>
          <w:p w14:paraId="591C64EA" w14:textId="77777777" w:rsidR="002837D1" w:rsidRPr="00641CFB" w:rsidRDefault="002837D1" w:rsidP="001A7846">
            <w:pPr>
              <w:pStyle w:val="MAWP-Bodytext"/>
              <w:spacing w:afterLines="60" w:after="144"/>
              <w:contextualSpacing/>
              <w:jc w:val="left"/>
              <w:rPr>
                <w:sz w:val="20"/>
                <w:szCs w:val="20"/>
              </w:rPr>
            </w:pPr>
          </w:p>
        </w:tc>
      </w:tr>
      <w:tr w:rsidR="002837D1" w:rsidRPr="00B364CB" w14:paraId="3E533B98" w14:textId="77777777" w:rsidTr="001A7846">
        <w:trPr>
          <w:jc w:val="center"/>
        </w:trPr>
        <w:tc>
          <w:tcPr>
            <w:tcW w:w="0" w:type="auto"/>
            <w:vAlign w:val="center"/>
          </w:tcPr>
          <w:p w14:paraId="2172BC60" w14:textId="77777777" w:rsidR="002837D1" w:rsidRPr="00641CFB" w:rsidRDefault="002837D1" w:rsidP="001A7846">
            <w:pPr>
              <w:pStyle w:val="MAWP-Bodytext"/>
              <w:spacing w:afterLines="60" w:after="144"/>
              <w:contextualSpacing/>
              <w:jc w:val="left"/>
              <w:rPr>
                <w:sz w:val="20"/>
                <w:szCs w:val="20"/>
              </w:rPr>
            </w:pPr>
            <w:r w:rsidRPr="00641CFB">
              <w:rPr>
                <w:sz w:val="20"/>
                <w:szCs w:val="20"/>
              </w:rPr>
              <w:t>Stationary Fuel Cells</w:t>
            </w:r>
          </w:p>
        </w:tc>
        <w:tc>
          <w:tcPr>
            <w:tcW w:w="0" w:type="auto"/>
            <w:vAlign w:val="center"/>
          </w:tcPr>
          <w:p w14:paraId="49B18425" w14:textId="77777777" w:rsidR="002837D1" w:rsidRPr="00641CFB" w:rsidRDefault="002837D1" w:rsidP="001A7846">
            <w:pPr>
              <w:pStyle w:val="MAWP-Bodytext"/>
              <w:spacing w:afterLines="60" w:after="144"/>
              <w:contextualSpacing/>
              <w:jc w:val="left"/>
              <w:rPr>
                <w:sz w:val="20"/>
                <w:szCs w:val="20"/>
              </w:rPr>
            </w:pPr>
            <w:r w:rsidRPr="00641CFB">
              <w:rPr>
                <w:sz w:val="20"/>
                <w:szCs w:val="20"/>
              </w:rPr>
              <w:t>New cell materials and stack technologies</w:t>
            </w:r>
          </w:p>
          <w:p w14:paraId="5A6F2F3C" w14:textId="77777777" w:rsidR="002837D1" w:rsidRPr="00641CFB" w:rsidRDefault="002837D1" w:rsidP="001A7846">
            <w:pPr>
              <w:pStyle w:val="MAWP-Bodytext"/>
              <w:spacing w:afterLines="60" w:after="144"/>
              <w:contextualSpacing/>
              <w:jc w:val="left"/>
              <w:rPr>
                <w:sz w:val="20"/>
                <w:szCs w:val="20"/>
              </w:rPr>
            </w:pPr>
            <w:r w:rsidRPr="00641CFB">
              <w:rPr>
                <w:sz w:val="20"/>
                <w:szCs w:val="20"/>
              </w:rPr>
              <w:t>Advanced reversible cell concepts</w:t>
            </w:r>
          </w:p>
          <w:p w14:paraId="3A274E0B" w14:textId="38702F9B" w:rsidR="002604C5" w:rsidRPr="00641CFB" w:rsidRDefault="002604C5" w:rsidP="001A7846">
            <w:pPr>
              <w:pStyle w:val="MAWP-Bodytext"/>
              <w:spacing w:afterLines="60" w:after="144"/>
              <w:contextualSpacing/>
              <w:jc w:val="left"/>
              <w:rPr>
                <w:sz w:val="20"/>
                <w:szCs w:val="20"/>
              </w:rPr>
            </w:pPr>
            <w:r w:rsidRPr="00641CFB">
              <w:rPr>
                <w:sz w:val="20"/>
                <w:szCs w:val="20"/>
              </w:rPr>
              <w:t>Understanding performance / durability mechanisms</w:t>
            </w:r>
          </w:p>
        </w:tc>
        <w:tc>
          <w:tcPr>
            <w:tcW w:w="0" w:type="auto"/>
            <w:vAlign w:val="center"/>
          </w:tcPr>
          <w:p w14:paraId="10E9C43B" w14:textId="77777777" w:rsidR="002837D1" w:rsidRPr="00641CFB" w:rsidRDefault="002837D1" w:rsidP="001A7846">
            <w:pPr>
              <w:pStyle w:val="MAWP-Bodytext"/>
              <w:spacing w:afterLines="60" w:after="144"/>
              <w:contextualSpacing/>
              <w:jc w:val="left"/>
              <w:rPr>
                <w:sz w:val="20"/>
                <w:szCs w:val="20"/>
              </w:rPr>
            </w:pPr>
          </w:p>
        </w:tc>
        <w:tc>
          <w:tcPr>
            <w:tcW w:w="0" w:type="auto"/>
            <w:vAlign w:val="center"/>
          </w:tcPr>
          <w:p w14:paraId="7319C2CE" w14:textId="7C535E6B" w:rsidR="002837D1" w:rsidRPr="00641CFB" w:rsidRDefault="002837D1" w:rsidP="001A7846">
            <w:pPr>
              <w:pStyle w:val="MAWP-Bodytext"/>
              <w:spacing w:afterLines="60" w:after="144"/>
              <w:contextualSpacing/>
              <w:jc w:val="left"/>
              <w:rPr>
                <w:sz w:val="20"/>
                <w:szCs w:val="20"/>
              </w:rPr>
            </w:pPr>
            <w:r w:rsidRPr="00641CFB">
              <w:rPr>
                <w:sz w:val="20"/>
                <w:szCs w:val="20"/>
              </w:rPr>
              <w:t>FC systems</w:t>
            </w:r>
            <w:r w:rsidR="00D46C9B" w:rsidRPr="00641CFB">
              <w:rPr>
                <w:sz w:val="20"/>
                <w:szCs w:val="20"/>
              </w:rPr>
              <w:t>, looking at developments on both system and component level, including development of innovative fuel cell system concepts, decreased costs of components, prolonged life-time and availability of components.</w:t>
            </w:r>
          </w:p>
        </w:tc>
      </w:tr>
      <w:tr w:rsidR="002837D1" w:rsidRPr="00B364CB" w14:paraId="3CF9B3C5" w14:textId="77777777" w:rsidTr="001A7846">
        <w:trPr>
          <w:jc w:val="center"/>
        </w:trPr>
        <w:tc>
          <w:tcPr>
            <w:tcW w:w="0" w:type="auto"/>
            <w:vAlign w:val="center"/>
          </w:tcPr>
          <w:p w14:paraId="1A21F948" w14:textId="77777777" w:rsidR="002837D1" w:rsidRPr="00641CFB" w:rsidRDefault="002837D1" w:rsidP="001A7846">
            <w:pPr>
              <w:pStyle w:val="MAWP-Bodytext"/>
              <w:spacing w:afterLines="60" w:after="144"/>
              <w:contextualSpacing/>
              <w:jc w:val="left"/>
              <w:rPr>
                <w:sz w:val="20"/>
                <w:szCs w:val="20"/>
              </w:rPr>
            </w:pPr>
            <w:r w:rsidRPr="00641CFB">
              <w:rPr>
                <w:sz w:val="20"/>
                <w:szCs w:val="20"/>
              </w:rPr>
              <w:t>Turbines, boilers and burners</w:t>
            </w:r>
          </w:p>
        </w:tc>
        <w:tc>
          <w:tcPr>
            <w:tcW w:w="0" w:type="auto"/>
            <w:vAlign w:val="center"/>
          </w:tcPr>
          <w:p w14:paraId="24650870" w14:textId="77777777" w:rsidR="002837D1" w:rsidRPr="00641CFB" w:rsidRDefault="002837D1" w:rsidP="001A7846">
            <w:pPr>
              <w:pStyle w:val="MAWP-Bodytext"/>
              <w:spacing w:afterLines="60" w:after="144"/>
              <w:contextualSpacing/>
              <w:jc w:val="left"/>
              <w:rPr>
                <w:sz w:val="20"/>
                <w:szCs w:val="20"/>
              </w:rPr>
            </w:pPr>
            <w:r w:rsidRPr="00641CFB">
              <w:rPr>
                <w:sz w:val="20"/>
                <w:szCs w:val="20"/>
              </w:rPr>
              <w:t>Gas turbine operation with pure hydrogen</w:t>
            </w:r>
          </w:p>
        </w:tc>
        <w:tc>
          <w:tcPr>
            <w:tcW w:w="0" w:type="auto"/>
            <w:vAlign w:val="center"/>
          </w:tcPr>
          <w:p w14:paraId="53017CE4" w14:textId="77777777" w:rsidR="002837D1" w:rsidRPr="00641CFB" w:rsidRDefault="002837D1" w:rsidP="001A7846">
            <w:pPr>
              <w:pStyle w:val="MAWP-Bodytext"/>
              <w:spacing w:afterLines="60" w:after="144"/>
              <w:contextualSpacing/>
              <w:jc w:val="left"/>
              <w:rPr>
                <w:sz w:val="20"/>
                <w:szCs w:val="20"/>
              </w:rPr>
            </w:pPr>
            <w:r w:rsidRPr="00641CFB">
              <w:rPr>
                <w:sz w:val="20"/>
                <w:szCs w:val="20"/>
              </w:rPr>
              <w:t>Modular Plants for Renewable Chemical Products</w:t>
            </w:r>
          </w:p>
        </w:tc>
        <w:tc>
          <w:tcPr>
            <w:tcW w:w="0" w:type="auto"/>
            <w:vAlign w:val="center"/>
          </w:tcPr>
          <w:p w14:paraId="7B210640" w14:textId="77777777" w:rsidR="002837D1" w:rsidRPr="00641CFB" w:rsidRDefault="002837D1" w:rsidP="001A7846">
            <w:pPr>
              <w:pStyle w:val="MAWP-Bodytext"/>
              <w:spacing w:afterLines="60" w:after="144"/>
              <w:contextualSpacing/>
              <w:jc w:val="left"/>
              <w:rPr>
                <w:sz w:val="20"/>
                <w:szCs w:val="20"/>
              </w:rPr>
            </w:pPr>
          </w:p>
        </w:tc>
      </w:tr>
      <w:tr w:rsidR="002837D1" w:rsidRPr="00B364CB" w14:paraId="672EAF07" w14:textId="77777777" w:rsidTr="001A7846">
        <w:trPr>
          <w:jc w:val="center"/>
        </w:trPr>
        <w:tc>
          <w:tcPr>
            <w:tcW w:w="0" w:type="auto"/>
            <w:vAlign w:val="center"/>
          </w:tcPr>
          <w:p w14:paraId="52726368" w14:textId="77777777" w:rsidR="002837D1" w:rsidRPr="00641CFB" w:rsidRDefault="002837D1" w:rsidP="001A7846">
            <w:pPr>
              <w:pStyle w:val="MAWP-Bodytext"/>
              <w:spacing w:afterLines="60" w:after="144"/>
              <w:contextualSpacing/>
              <w:jc w:val="left"/>
              <w:rPr>
                <w:sz w:val="20"/>
                <w:szCs w:val="20"/>
              </w:rPr>
            </w:pPr>
            <w:r w:rsidRPr="00641CFB">
              <w:rPr>
                <w:sz w:val="20"/>
                <w:szCs w:val="20"/>
              </w:rPr>
              <w:t>Education and public Awareness</w:t>
            </w:r>
          </w:p>
        </w:tc>
        <w:tc>
          <w:tcPr>
            <w:tcW w:w="0" w:type="auto"/>
            <w:vAlign w:val="center"/>
          </w:tcPr>
          <w:p w14:paraId="095C7AA1" w14:textId="77777777" w:rsidR="002837D1" w:rsidRPr="00641CFB" w:rsidRDefault="002837D1" w:rsidP="001A7846">
            <w:pPr>
              <w:pStyle w:val="MAWP-Bodytext"/>
              <w:spacing w:afterLines="60" w:after="144"/>
              <w:contextualSpacing/>
              <w:jc w:val="left"/>
              <w:rPr>
                <w:sz w:val="20"/>
                <w:szCs w:val="20"/>
              </w:rPr>
            </w:pPr>
            <w:r w:rsidRPr="00641CFB">
              <w:rPr>
                <w:sz w:val="20"/>
                <w:szCs w:val="20"/>
              </w:rPr>
              <w:t>Educational and public understanding and acceptance</w:t>
            </w:r>
          </w:p>
          <w:p w14:paraId="3BD930E7" w14:textId="77777777" w:rsidR="002837D1" w:rsidRPr="00641CFB" w:rsidRDefault="002837D1" w:rsidP="001A7846">
            <w:pPr>
              <w:pStyle w:val="MAWP-Bodytext"/>
              <w:spacing w:afterLines="60" w:after="144"/>
              <w:contextualSpacing/>
              <w:jc w:val="left"/>
              <w:rPr>
                <w:sz w:val="20"/>
                <w:szCs w:val="20"/>
              </w:rPr>
            </w:pPr>
            <w:r w:rsidRPr="00641CFB">
              <w:rPr>
                <w:sz w:val="20"/>
                <w:szCs w:val="20"/>
              </w:rPr>
              <w:t>E-learning materials</w:t>
            </w:r>
          </w:p>
        </w:tc>
        <w:tc>
          <w:tcPr>
            <w:tcW w:w="0" w:type="auto"/>
            <w:vAlign w:val="center"/>
          </w:tcPr>
          <w:p w14:paraId="1635F386" w14:textId="77777777" w:rsidR="002837D1" w:rsidRPr="00641CFB" w:rsidRDefault="002837D1" w:rsidP="001A7846">
            <w:pPr>
              <w:pStyle w:val="MAWP-Bodytext"/>
              <w:spacing w:afterLines="60" w:after="144"/>
              <w:contextualSpacing/>
              <w:jc w:val="left"/>
              <w:rPr>
                <w:sz w:val="20"/>
                <w:szCs w:val="20"/>
              </w:rPr>
            </w:pPr>
            <w:r w:rsidRPr="00641CFB">
              <w:rPr>
                <w:sz w:val="20"/>
                <w:szCs w:val="20"/>
              </w:rPr>
              <w:t>Active Living Infrastructure</w:t>
            </w:r>
          </w:p>
        </w:tc>
        <w:tc>
          <w:tcPr>
            <w:tcW w:w="0" w:type="auto"/>
            <w:vAlign w:val="center"/>
          </w:tcPr>
          <w:p w14:paraId="2ECC1AD8" w14:textId="77777777" w:rsidR="002837D1" w:rsidRPr="00641CFB" w:rsidRDefault="002837D1" w:rsidP="001A7846">
            <w:pPr>
              <w:pStyle w:val="MAWP-Bodytext"/>
              <w:spacing w:afterLines="60" w:after="144"/>
              <w:contextualSpacing/>
              <w:jc w:val="left"/>
              <w:rPr>
                <w:sz w:val="20"/>
                <w:szCs w:val="20"/>
              </w:rPr>
            </w:pPr>
          </w:p>
        </w:tc>
      </w:tr>
    </w:tbl>
    <w:p w14:paraId="3BC2B75A" w14:textId="77777777" w:rsidR="002837D1" w:rsidRDefault="002837D1" w:rsidP="002837D1"/>
    <w:sectPr w:rsidR="002837D1" w:rsidSect="00DF663B">
      <w:pgSz w:w="11900" w:h="16840"/>
      <w:pgMar w:top="1347" w:right="1379" w:bottom="1425" w:left="139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B0C18" w14:textId="77777777" w:rsidR="006F41A6" w:rsidRDefault="006F41A6">
      <w:r>
        <w:separator/>
      </w:r>
    </w:p>
  </w:endnote>
  <w:endnote w:type="continuationSeparator" w:id="0">
    <w:p w14:paraId="5E3A0943" w14:textId="77777777" w:rsidR="006F41A6" w:rsidRDefault="006F41A6">
      <w:r>
        <w:continuationSeparator/>
      </w:r>
    </w:p>
  </w:endnote>
  <w:endnote w:type="continuationNotice" w:id="1">
    <w:p w14:paraId="644751D0" w14:textId="77777777" w:rsidR="006F41A6" w:rsidRDefault="006F41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ECBC2" w14:textId="77777777" w:rsidR="00F76020" w:rsidRDefault="00F76020">
    <w:pPr>
      <w:rPr>
        <w:sz w:val="2"/>
        <w:szCs w:val="2"/>
      </w:rPr>
    </w:pPr>
    <w:r>
      <w:rPr>
        <w:noProof/>
        <w:lang w:eastAsia="en-GB" w:bidi="ar-SA"/>
      </w:rPr>
      <mc:AlternateContent>
        <mc:Choice Requires="wps">
          <w:drawing>
            <wp:anchor distT="0" distB="0" distL="63500" distR="63500" simplePos="0" relativeHeight="251659776" behindDoc="1" locked="0" layoutInCell="1" allowOverlap="1" wp14:anchorId="06B9A2D0" wp14:editId="1AA7B452">
              <wp:simplePos x="0" y="0"/>
              <wp:positionH relativeFrom="page">
                <wp:posOffset>3558540</wp:posOffset>
              </wp:positionH>
              <wp:positionV relativeFrom="page">
                <wp:posOffset>9834245</wp:posOffset>
              </wp:positionV>
              <wp:extent cx="459105" cy="146050"/>
              <wp:effectExtent l="0"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82738" w14:textId="42BCECAC" w:rsidR="00F76020" w:rsidRDefault="00F76020">
                          <w:pPr>
                            <w:pStyle w:val="Headerorfooter1"/>
                            <w:shd w:val="clear" w:color="auto" w:fill="auto"/>
                            <w:spacing w:line="240" w:lineRule="auto"/>
                          </w:pPr>
                          <w:r>
                            <w:fldChar w:fldCharType="begin"/>
                          </w:r>
                          <w:r>
                            <w:instrText xml:space="preserve"> PAGE \* MERGEFORMAT </w:instrText>
                          </w:r>
                          <w:r>
                            <w:fldChar w:fldCharType="separate"/>
                          </w:r>
                          <w:r w:rsidRPr="00057A7A">
                            <w:rPr>
                              <w:rStyle w:val="Headerorfooter0"/>
                              <w:noProof/>
                            </w:rPr>
                            <w:t>158</w:t>
                          </w:r>
                          <w:r>
                            <w:rPr>
                              <w:rStyle w:val="Headerorfooter0"/>
                            </w:rPr>
                            <w:fldChar w:fldCharType="end"/>
                          </w:r>
                          <w:r>
                            <w:rPr>
                              <w:rStyle w:val="Headerorfooter0"/>
                            </w:rPr>
                            <w:t xml:space="preserve"> of 50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B9A2D0" id="_x0000_t202" coordsize="21600,21600" o:spt="202" path="m,l,21600r21600,l21600,xe">
              <v:stroke joinstyle="miter"/>
              <v:path gradientshapeok="t" o:connecttype="rect"/>
            </v:shapetype>
            <v:shape id="Text Box 4" o:spid="_x0000_s1028" type="#_x0000_t202" style="position:absolute;margin-left:280.2pt;margin-top:774.35pt;width:36.15pt;height:11.5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" filled="f" stroked="f">
              <v:textbox style="mso-fit-shape-to-text:t" inset="0,0,0,0">
                <w:txbxContent>
                  <w:p w14:paraId="25E82738" w14:textId="42BCECAC" w:rsidR="00F76020" w:rsidRDefault="00F76020">
                    <w:pPr>
                      <w:pStyle w:val="Headerorfooter1"/>
                      <w:shd w:val="clear" w:color="auto" w:fill="auto"/>
                      <w:spacing w:line="240" w:lineRule="auto"/>
                    </w:pPr>
                    <w:r>
                      <w:fldChar w:fldCharType="begin"/>
                    </w:r>
                    <w:r>
                      <w:instrText xml:space="preserve"> PAGE \* MERGEFORMAT </w:instrText>
                    </w:r>
                    <w:r>
                      <w:fldChar w:fldCharType="separate"/>
                    </w:r>
                    <w:r w:rsidRPr="00057A7A">
                      <w:rPr>
                        <w:rStyle w:val="Headerorfooter0"/>
                        <w:noProof/>
                      </w:rPr>
                      <w:t>158</w:t>
                    </w:r>
                    <w:r>
                      <w:rPr>
                        <w:rStyle w:val="Headerorfooter0"/>
                      </w:rPr>
                      <w:fldChar w:fldCharType="end"/>
                    </w:r>
                    <w:r>
                      <w:rPr>
                        <w:rStyle w:val="Headerorfooter0"/>
                      </w:rPr>
                      <w:t xml:space="preserve"> of 50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48423"/>
      <w:docPartObj>
        <w:docPartGallery w:val="Page Numbers (Bottom of Page)"/>
        <w:docPartUnique/>
      </w:docPartObj>
    </w:sdtPr>
    <w:sdtEndPr>
      <w:rPr>
        <w:noProof/>
      </w:rPr>
    </w:sdtEndPr>
    <w:sdtContent>
      <w:p w14:paraId="5CBDF4F2" w14:textId="68F73FDF" w:rsidR="00F76020" w:rsidRDefault="00F76020">
        <w:pPr>
          <w:pStyle w:val="Footer"/>
          <w:jc w:val="center"/>
        </w:pPr>
        <w:r>
          <w:fldChar w:fldCharType="begin"/>
        </w:r>
        <w:r>
          <w:instrText xml:space="preserve"> PAGE   \* MERGEFORMAT </w:instrText>
        </w:r>
        <w:r>
          <w:fldChar w:fldCharType="separate"/>
        </w:r>
        <w:r w:rsidR="00313455">
          <w:rPr>
            <w:noProof/>
          </w:rPr>
          <w:t>2</w:t>
        </w:r>
        <w:r>
          <w:rPr>
            <w:noProof/>
          </w:rPr>
          <w:fldChar w:fldCharType="end"/>
        </w:r>
      </w:p>
    </w:sdtContent>
  </w:sdt>
  <w:p w14:paraId="7E6ACC3D" w14:textId="77777777" w:rsidR="00F76020" w:rsidRDefault="00F76020">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70A21" w14:textId="77777777" w:rsidR="0036785D" w:rsidRDefault="003678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FF942" w14:textId="24A45735" w:rsidR="00F76020" w:rsidRDefault="00F76020">
    <w:pPr>
      <w:rPr>
        <w:sz w:val="2"/>
        <w:szCs w:val="2"/>
      </w:rPr>
    </w:pPr>
    <w:r>
      <w:rPr>
        <w:noProof/>
        <w:lang w:eastAsia="en-GB" w:bidi="ar-SA"/>
      </w:rPr>
      <mc:AlternateContent>
        <mc:Choice Requires="wps">
          <w:drawing>
            <wp:anchor distT="0" distB="0" distL="63500" distR="63500" simplePos="0" relativeHeight="251656704" behindDoc="1" locked="0" layoutInCell="1" allowOverlap="1" wp14:anchorId="03CC93B0" wp14:editId="1E2B0E00">
              <wp:simplePos x="0" y="0"/>
              <wp:positionH relativeFrom="page">
                <wp:posOffset>3592195</wp:posOffset>
              </wp:positionH>
              <wp:positionV relativeFrom="page">
                <wp:posOffset>9778365</wp:posOffset>
              </wp:positionV>
              <wp:extent cx="454025" cy="94615"/>
              <wp:effectExtent l="1270" t="0" r="1905" b="4445"/>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28506" w14:textId="77777777" w:rsidR="00F76020" w:rsidRDefault="00F76020">
                          <w:pPr>
                            <w:pStyle w:val="Headerorfooter1"/>
                            <w:shd w:val="clear" w:color="auto" w:fill="auto"/>
                            <w:spacing w:line="240" w:lineRule="auto"/>
                          </w:pPr>
                          <w:r>
                            <w:fldChar w:fldCharType="begin"/>
                          </w:r>
                          <w:r>
                            <w:instrText xml:space="preserve"> PAGE \* MERGEFORMAT </w:instrText>
                          </w:r>
                          <w:r>
                            <w:fldChar w:fldCharType="separate"/>
                          </w:r>
                          <w:r w:rsidRPr="00E63308">
                            <w:rPr>
                              <w:rStyle w:val="Headerorfooter0"/>
                              <w:noProof/>
                            </w:rPr>
                            <w:t>90</w:t>
                          </w:r>
                          <w:r>
                            <w:rPr>
                              <w:rStyle w:val="Headerorfooter0"/>
                            </w:rPr>
                            <w:fldChar w:fldCharType="end"/>
                          </w:r>
                          <w:r>
                            <w:rPr>
                              <w:rStyle w:val="Headerorfooter0"/>
                            </w:rPr>
                            <w:t xml:space="preserve"> of 50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CC93B0" id="_x0000_t202" coordsize="21600,21600" o:spt="202" path="m,l,21600r21600,l21600,xe">
              <v:stroke joinstyle="miter"/>
              <v:path gradientshapeok="t" o:connecttype="rect"/>
            </v:shapetype>
            <v:shape id="Text Box 26" o:spid="_x0000_s1029" type="#_x0000_t202" style="position:absolute;margin-left:282.85pt;margin-top:769.95pt;width:35.75pt;height:7.4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" filled="f" stroked="f">
              <v:textbox style="mso-fit-shape-to-text:t" inset="0,0,0,0">
                <w:txbxContent>
                  <w:p w14:paraId="33028506" w14:textId="77777777" w:rsidR="00F76020" w:rsidRDefault="00F76020">
                    <w:pPr>
                      <w:pStyle w:val="Headerorfooter1"/>
                      <w:shd w:val="clear" w:color="auto" w:fill="auto"/>
                      <w:spacing w:line="240" w:lineRule="auto"/>
                    </w:pPr>
                    <w:r>
                      <w:fldChar w:fldCharType="begin"/>
                    </w:r>
                    <w:r>
                      <w:instrText xml:space="preserve"> PAGE \* MERGEFORMAT </w:instrText>
                    </w:r>
                    <w:r>
                      <w:fldChar w:fldCharType="separate"/>
                    </w:r>
                    <w:r w:rsidRPr="00E63308">
                      <w:rPr>
                        <w:rStyle w:val="Headerorfooter0"/>
                        <w:noProof/>
                      </w:rPr>
                      <w:t>90</w:t>
                    </w:r>
                    <w:r>
                      <w:rPr>
                        <w:rStyle w:val="Headerorfooter0"/>
                      </w:rPr>
                      <w:fldChar w:fldCharType="end"/>
                    </w:r>
                    <w:r>
                      <w:rPr>
                        <w:rStyle w:val="Headerorfooter0"/>
                      </w:rPr>
                      <w:t xml:space="preserve"> of 50</w:t>
                    </w:r>
                  </w:p>
                </w:txbxContent>
              </v:textbox>
              <w10:wrap anchorx="page" anchory="page"/>
            </v:shape>
          </w:pict>
        </mc:Fallback>
      </mc:AlternateContent>
    </w:r>
    <w:r w:rsidRPr="002F7C48">
      <w:rPr>
        <w:noProof/>
        <w:lang w:eastAsia="en-GB" w:bidi="ar-SA"/>
      </w:rPr>
      <mc:AlternateContent>
        <mc:Choice Requires="wps">
          <w:drawing>
            <wp:anchor distT="0" distB="0" distL="63500" distR="63500" simplePos="0" relativeHeight="251653632" behindDoc="1" locked="0" layoutInCell="1" allowOverlap="1" wp14:anchorId="03CC93B0" wp14:editId="1E2B0E00">
              <wp:simplePos x="0" y="0"/>
              <wp:positionH relativeFrom="page">
                <wp:posOffset>3592195</wp:posOffset>
              </wp:positionH>
              <wp:positionV relativeFrom="page">
                <wp:posOffset>9778365</wp:posOffset>
              </wp:positionV>
              <wp:extent cx="454025" cy="94615"/>
              <wp:effectExtent l="1270" t="0" r="1905" b="4445"/>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A87AD" w14:textId="5AC74DB0" w:rsidR="00F76020" w:rsidRDefault="00F76020">
                          <w:pPr>
                            <w:pStyle w:val="Headerorfooter1"/>
                            <w:shd w:val="clear" w:color="auto" w:fill="auto"/>
                            <w:spacing w:line="240" w:lineRule="auto"/>
                          </w:pPr>
                          <w:r>
                            <w:fldChar w:fldCharType="begin"/>
                          </w:r>
                          <w:r>
                            <w:instrText xml:space="preserve"> PAGE \* MERGEFORMAT </w:instrText>
                          </w:r>
                          <w:r>
                            <w:fldChar w:fldCharType="separate"/>
                          </w:r>
                          <w:r w:rsidRPr="00E63308">
                            <w:rPr>
                              <w:rStyle w:val="Headerorfooter0"/>
                              <w:noProof/>
                            </w:rPr>
                            <w:t>90</w:t>
                          </w:r>
                          <w:r>
                            <w:rPr>
                              <w:rStyle w:val="Headerorfooter0"/>
                            </w:rPr>
                            <w:fldChar w:fldCharType="end"/>
                          </w:r>
                          <w:r>
                            <w:rPr>
                              <w:rStyle w:val="Headerorfooter0"/>
                            </w:rPr>
                            <w:t xml:space="preserve"> of 50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CC93B0" id="_x0000_s1030" type="#_x0000_t202" style="position:absolute;margin-left:282.85pt;margin-top:769.95pt;width:35.75pt;height:7.4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" filled="f" stroked="f">
              <v:textbox style="mso-fit-shape-to-text:t" inset="0,0,0,0">
                <w:txbxContent>
                  <w:p w14:paraId="5A4A87AD" w14:textId="5AC74DB0" w:rsidR="00F76020" w:rsidRDefault="00F76020">
                    <w:pPr>
                      <w:pStyle w:val="Headerorfooter1"/>
                      <w:shd w:val="clear" w:color="auto" w:fill="auto"/>
                      <w:spacing w:line="240" w:lineRule="auto"/>
                    </w:pPr>
                    <w:r>
                      <w:fldChar w:fldCharType="begin"/>
                    </w:r>
                    <w:r>
                      <w:instrText xml:space="preserve"> PAGE \* MERGEFORMAT </w:instrText>
                    </w:r>
                    <w:r>
                      <w:fldChar w:fldCharType="separate"/>
                    </w:r>
                    <w:r w:rsidRPr="00E63308">
                      <w:rPr>
                        <w:rStyle w:val="Headerorfooter0"/>
                        <w:noProof/>
                      </w:rPr>
                      <w:t>90</w:t>
                    </w:r>
                    <w:r>
                      <w:rPr>
                        <w:rStyle w:val="Headerorfooter0"/>
                      </w:rPr>
                      <w:fldChar w:fldCharType="end"/>
                    </w:r>
                    <w:r>
                      <w:rPr>
                        <w:rStyle w:val="Headerorfooter0"/>
                      </w:rPr>
                      <w:t xml:space="preserve"> of 50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E1E15" w14:textId="19A9DF55" w:rsidR="00F76020" w:rsidRDefault="00F76020">
    <w:pPr>
      <w:rPr>
        <w:sz w:val="2"/>
        <w:szCs w:val="2"/>
      </w:rPr>
    </w:pPr>
    <w:r>
      <w:rPr>
        <w:noProof/>
        <w:lang w:eastAsia="en-GB" w:bidi="ar-SA"/>
      </w:rPr>
      <mc:AlternateContent>
        <mc:Choice Requires="wps">
          <w:drawing>
            <wp:anchor distT="0" distB="0" distL="63500" distR="63500" simplePos="0" relativeHeight="251657728" behindDoc="1" locked="0" layoutInCell="1" allowOverlap="1" wp14:anchorId="6E65E3B5" wp14:editId="2BCB69BB">
              <wp:simplePos x="0" y="0"/>
              <wp:positionH relativeFrom="page">
                <wp:posOffset>3592195</wp:posOffset>
              </wp:positionH>
              <wp:positionV relativeFrom="page">
                <wp:posOffset>9778365</wp:posOffset>
              </wp:positionV>
              <wp:extent cx="459105" cy="146050"/>
              <wp:effectExtent l="1270" t="0" r="1905" b="4445"/>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615BE" w14:textId="09429360" w:rsidR="00F76020" w:rsidRDefault="00F76020" w:rsidP="00565B0A">
                          <w:pPr>
                            <w:pStyle w:val="Footer"/>
                            <w:jc w:val="center"/>
                            <w:rPr>
                              <w:noProof/>
                            </w:rPr>
                          </w:pPr>
                          <w:r w:rsidRPr="00565B0A">
                            <w:rPr>
                              <w:noProof/>
                            </w:rPr>
                            <w:fldChar w:fldCharType="begin"/>
                          </w:r>
                          <w:r>
                            <w:rPr>
                              <w:noProof/>
                            </w:rPr>
                            <w:instrText xml:space="preserve"> PAGE \* MERGEFORMAT </w:instrText>
                          </w:r>
                          <w:r w:rsidRPr="00565B0A">
                            <w:rPr>
                              <w:noProof/>
                            </w:rPr>
                            <w:fldChar w:fldCharType="separate"/>
                          </w:r>
                          <w:r w:rsidR="00313455">
                            <w:rPr>
                              <w:noProof/>
                            </w:rPr>
                            <w:t>179</w:t>
                          </w:r>
                          <w:r w:rsidRPr="00565B0A">
                            <w:rPr>
                              <w:noProof/>
                            </w:rPr>
                            <w:fldChar w:fldCharType="end"/>
                          </w:r>
                          <w:r w:rsidRPr="00565B0A">
                            <w:rPr>
                              <w:noProof/>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65E3B5" id="_x0000_t202" coordsize="21600,21600" o:spt="202" path="m,l,21600r21600,l21600,xe">
              <v:stroke joinstyle="miter"/>
              <v:path gradientshapeok="t" o:connecttype="rect"/>
            </v:shapetype>
            <v:shape id="Text Box 27" o:spid="_x0000_s1031" type="#_x0000_t202" style="position:absolute;margin-left:282.85pt;margin-top:769.95pt;width:36.15pt;height:11.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" filled="f" stroked="f">
              <v:textbox style="mso-fit-shape-to-text:t" inset="0,0,0,0">
                <w:txbxContent>
                  <w:p w14:paraId="02B615BE" w14:textId="09429360" w:rsidR="00F76020" w:rsidRDefault="00F76020" w:rsidP="00565B0A">
                    <w:pPr>
                      <w:pStyle w:val="Footer"/>
                      <w:jc w:val="center"/>
                      <w:rPr>
                        <w:noProof/>
                      </w:rPr>
                    </w:pPr>
                    <w:r w:rsidRPr="00565B0A">
                      <w:rPr>
                        <w:noProof/>
                      </w:rPr>
                      <w:fldChar w:fldCharType="begin"/>
                    </w:r>
                    <w:r>
                      <w:rPr>
                        <w:noProof/>
                      </w:rPr>
                      <w:instrText xml:space="preserve"> PAGE \* MERGEFORMAT </w:instrText>
                    </w:r>
                    <w:r w:rsidRPr="00565B0A">
                      <w:rPr>
                        <w:noProof/>
                      </w:rPr>
                      <w:fldChar w:fldCharType="separate"/>
                    </w:r>
                    <w:r w:rsidR="00313455">
                      <w:rPr>
                        <w:noProof/>
                      </w:rPr>
                      <w:t>179</w:t>
                    </w:r>
                    <w:r w:rsidRPr="00565B0A">
                      <w:rPr>
                        <w:noProof/>
                      </w:rPr>
                      <w:fldChar w:fldCharType="end"/>
                    </w:r>
                    <w:r w:rsidRPr="00565B0A">
                      <w:rPr>
                        <w:noProof/>
                      </w:rPr>
                      <w:t xml:space="preserve"> </w:t>
                    </w:r>
                  </w:p>
                </w:txbxContent>
              </v:textbox>
              <w10:wrap anchorx="page" anchory="page"/>
            </v:shape>
          </w:pict>
        </mc:Fallback>
      </mc:AlternateContent>
    </w:r>
    <w:r w:rsidRPr="002F7C48">
      <w:rPr>
        <w:noProof/>
        <w:lang w:eastAsia="en-GB" w:bidi="ar-SA"/>
      </w:rPr>
      <mc:AlternateContent>
        <mc:Choice Requires="wps">
          <w:drawing>
            <wp:anchor distT="0" distB="0" distL="63500" distR="63500" simplePos="0" relativeHeight="251654656" behindDoc="1" locked="0" layoutInCell="1" allowOverlap="1" wp14:anchorId="6E65E3B5" wp14:editId="2BCB69BB">
              <wp:simplePos x="0" y="0"/>
              <wp:positionH relativeFrom="page">
                <wp:posOffset>3592195</wp:posOffset>
              </wp:positionH>
              <wp:positionV relativeFrom="page">
                <wp:posOffset>9778365</wp:posOffset>
              </wp:positionV>
              <wp:extent cx="459105" cy="146050"/>
              <wp:effectExtent l="1270" t="0" r="1905" b="4445"/>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D8D4A" w14:textId="14FB7519" w:rsidR="00F76020" w:rsidRDefault="00F76020" w:rsidP="00565B0A">
                          <w:pPr>
                            <w:pStyle w:val="Footer"/>
                            <w:jc w:val="center"/>
                            <w:rPr>
                              <w:noProof/>
                            </w:rPr>
                          </w:pPr>
                          <w:r w:rsidRPr="00565B0A">
                            <w:rPr>
                              <w:noProof/>
                            </w:rPr>
                            <w:fldChar w:fldCharType="begin"/>
                          </w:r>
                          <w:r>
                            <w:rPr>
                              <w:noProof/>
                            </w:rPr>
                            <w:instrText xml:space="preserve"> PAGE \* MERGEFORMAT </w:instrText>
                          </w:r>
                          <w:r w:rsidRPr="00565B0A">
                            <w:rPr>
                              <w:noProof/>
                            </w:rPr>
                            <w:fldChar w:fldCharType="separate"/>
                          </w:r>
                          <w:r w:rsidR="00313455">
                            <w:rPr>
                              <w:noProof/>
                            </w:rPr>
                            <w:t>179</w:t>
                          </w:r>
                          <w:r w:rsidRPr="00565B0A">
                            <w:rPr>
                              <w:noProof/>
                            </w:rPr>
                            <w:fldChar w:fldCharType="end"/>
                          </w:r>
                          <w:r w:rsidRPr="00565B0A">
                            <w:rPr>
                              <w:noProof/>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65E3B5" id="_x0000_s1032" type="#_x0000_t202" style="position:absolute;margin-left:282.85pt;margin-top:769.95pt;width:36.15pt;height:11.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" filled="f" stroked="f">
              <v:textbox style="mso-fit-shape-to-text:t" inset="0,0,0,0">
                <w:txbxContent>
                  <w:p w14:paraId="55DD8D4A" w14:textId="14FB7519" w:rsidR="00F76020" w:rsidRDefault="00F76020" w:rsidP="00565B0A">
                    <w:pPr>
                      <w:pStyle w:val="Footer"/>
                      <w:jc w:val="center"/>
                      <w:rPr>
                        <w:noProof/>
                      </w:rPr>
                    </w:pPr>
                    <w:r w:rsidRPr="00565B0A">
                      <w:rPr>
                        <w:noProof/>
                      </w:rPr>
                      <w:fldChar w:fldCharType="begin"/>
                    </w:r>
                    <w:r>
                      <w:rPr>
                        <w:noProof/>
                      </w:rPr>
                      <w:instrText xml:space="preserve"> PAGE \* MERGEFORMAT </w:instrText>
                    </w:r>
                    <w:r w:rsidRPr="00565B0A">
                      <w:rPr>
                        <w:noProof/>
                      </w:rPr>
                      <w:fldChar w:fldCharType="separate"/>
                    </w:r>
                    <w:r w:rsidR="00313455">
                      <w:rPr>
                        <w:noProof/>
                      </w:rPr>
                      <w:t>179</w:t>
                    </w:r>
                    <w:r w:rsidRPr="00565B0A">
                      <w:rPr>
                        <w:noProof/>
                      </w:rPr>
                      <w:fldChar w:fldCharType="end"/>
                    </w:r>
                    <w:r w:rsidRPr="00565B0A">
                      <w:rPr>
                        <w:noProof/>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D816E" w14:textId="7AAC8E8D" w:rsidR="00F76020" w:rsidRDefault="00F76020">
    <w:pPr>
      <w:rPr>
        <w:sz w:val="2"/>
        <w:szCs w:val="2"/>
      </w:rPr>
    </w:pPr>
    <w:r>
      <w:rPr>
        <w:noProof/>
        <w:lang w:eastAsia="en-GB" w:bidi="ar-SA"/>
      </w:rPr>
      <mc:AlternateContent>
        <mc:Choice Requires="wps">
          <w:drawing>
            <wp:anchor distT="0" distB="0" distL="63500" distR="63500" simplePos="0" relativeHeight="251658752" behindDoc="1" locked="0" layoutInCell="1" allowOverlap="1" wp14:anchorId="217687E2" wp14:editId="55CDE2E2">
              <wp:simplePos x="0" y="0"/>
              <wp:positionH relativeFrom="page">
                <wp:posOffset>3548380</wp:posOffset>
              </wp:positionH>
              <wp:positionV relativeFrom="page">
                <wp:posOffset>9772650</wp:posOffset>
              </wp:positionV>
              <wp:extent cx="459105" cy="146050"/>
              <wp:effectExtent l="0" t="0" r="0" b="635"/>
              <wp:wrapNone/>
              <wp:docPr id="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CD658" w14:textId="77777777" w:rsidR="00F76020" w:rsidRDefault="00F76020">
                          <w:pPr>
                            <w:pStyle w:val="Headerorfooter1"/>
                            <w:shd w:val="clear" w:color="auto" w:fill="auto"/>
                            <w:spacing w:line="240" w:lineRule="auto"/>
                          </w:pPr>
                          <w:r>
                            <w:fldChar w:fldCharType="begin"/>
                          </w:r>
                          <w:r>
                            <w:instrText xml:space="preserve"> PAGE \* MERGEFORMAT </w:instrText>
                          </w:r>
                          <w:r>
                            <w:fldChar w:fldCharType="separate"/>
                          </w:r>
                          <w:r w:rsidRPr="00AA5FB8">
                            <w:rPr>
                              <w:rStyle w:val="Headerorfooter0"/>
                              <w:noProof/>
                            </w:rPr>
                            <w:t>29</w:t>
                          </w:r>
                          <w:r>
                            <w:rPr>
                              <w:rStyle w:val="Headerorfooter0"/>
                            </w:rPr>
                            <w:fldChar w:fldCharType="end"/>
                          </w:r>
                          <w:r>
                            <w:rPr>
                              <w:rStyle w:val="Headerorfooter0"/>
                            </w:rPr>
                            <w:t xml:space="preserve"> of 50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7687E2" id="_x0000_t202" coordsize="21600,21600" o:spt="202" path="m,l,21600r21600,l21600,xe">
              <v:stroke joinstyle="miter"/>
              <v:path gradientshapeok="t" o:connecttype="rect"/>
            </v:shapetype>
            <v:shape id="Text Box 29" o:spid="_x0000_s1033" type="#_x0000_t202" style="position:absolute;margin-left:279.4pt;margin-top:769.5pt;width:36.15pt;height:11.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" filled="f" stroked="f">
              <v:textbox style="mso-fit-shape-to-text:t" inset="0,0,0,0">
                <w:txbxContent>
                  <w:p w14:paraId="1E6CD658" w14:textId="77777777" w:rsidR="00F76020" w:rsidRDefault="00F76020">
                    <w:pPr>
                      <w:pStyle w:val="Headerorfooter1"/>
                      <w:shd w:val="clear" w:color="auto" w:fill="auto"/>
                      <w:spacing w:line="240" w:lineRule="auto"/>
                    </w:pPr>
                    <w:r>
                      <w:fldChar w:fldCharType="begin"/>
                    </w:r>
                    <w:r>
                      <w:instrText xml:space="preserve"> PAGE \* MERGEFORMAT </w:instrText>
                    </w:r>
                    <w:r>
                      <w:fldChar w:fldCharType="separate"/>
                    </w:r>
                    <w:r w:rsidRPr="00AA5FB8">
                      <w:rPr>
                        <w:rStyle w:val="Headerorfooter0"/>
                        <w:noProof/>
                      </w:rPr>
                      <w:t>29</w:t>
                    </w:r>
                    <w:r>
                      <w:rPr>
                        <w:rStyle w:val="Headerorfooter0"/>
                      </w:rPr>
                      <w:fldChar w:fldCharType="end"/>
                    </w:r>
                    <w:r>
                      <w:rPr>
                        <w:rStyle w:val="Headerorfooter0"/>
                      </w:rPr>
                      <w:t xml:space="preserve"> of 50</w:t>
                    </w:r>
                  </w:p>
                </w:txbxContent>
              </v:textbox>
              <w10:wrap anchorx="page" anchory="page"/>
            </v:shape>
          </w:pict>
        </mc:Fallback>
      </mc:AlternateContent>
    </w:r>
    <w:r w:rsidRPr="002F7C48">
      <w:rPr>
        <w:noProof/>
        <w:lang w:eastAsia="en-GB" w:bidi="ar-SA"/>
      </w:rPr>
      <mc:AlternateContent>
        <mc:Choice Requires="wps">
          <w:drawing>
            <wp:anchor distT="0" distB="0" distL="63500" distR="63500" simplePos="0" relativeHeight="251655680" behindDoc="1" locked="0" layoutInCell="1" allowOverlap="1" wp14:anchorId="217687E2" wp14:editId="55CDE2E2">
              <wp:simplePos x="0" y="0"/>
              <wp:positionH relativeFrom="page">
                <wp:posOffset>3548380</wp:posOffset>
              </wp:positionH>
              <wp:positionV relativeFrom="page">
                <wp:posOffset>9772650</wp:posOffset>
              </wp:positionV>
              <wp:extent cx="459105" cy="146050"/>
              <wp:effectExtent l="0" t="0" r="0" b="635"/>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7BA2C" w14:textId="790FF685" w:rsidR="00F76020" w:rsidRDefault="00F76020">
                          <w:pPr>
                            <w:pStyle w:val="Headerorfooter1"/>
                            <w:shd w:val="clear" w:color="auto" w:fill="auto"/>
                            <w:spacing w:line="240" w:lineRule="auto"/>
                          </w:pPr>
                          <w:r>
                            <w:fldChar w:fldCharType="begin"/>
                          </w:r>
                          <w:r>
                            <w:instrText xml:space="preserve"> PAGE \* MERGEFORMAT </w:instrText>
                          </w:r>
                          <w:r>
                            <w:fldChar w:fldCharType="separate"/>
                          </w:r>
                          <w:r w:rsidRPr="00AA5FB8">
                            <w:rPr>
                              <w:rStyle w:val="Headerorfooter0"/>
                              <w:noProof/>
                            </w:rPr>
                            <w:t>29</w:t>
                          </w:r>
                          <w:r>
                            <w:rPr>
                              <w:rStyle w:val="Headerorfooter0"/>
                            </w:rPr>
                            <w:fldChar w:fldCharType="end"/>
                          </w:r>
                          <w:r>
                            <w:rPr>
                              <w:rStyle w:val="Headerorfooter0"/>
                            </w:rPr>
                            <w:t xml:space="preserve"> of 50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7687E2" id="_x0000_s1034" type="#_x0000_t202" style="position:absolute;margin-left:279.4pt;margin-top:769.5pt;width:36.15pt;height:11.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" filled="f" stroked="f">
              <v:textbox style="mso-fit-shape-to-text:t" inset="0,0,0,0">
                <w:txbxContent>
                  <w:p w14:paraId="5B47BA2C" w14:textId="790FF685" w:rsidR="00F76020" w:rsidRDefault="00F76020">
                    <w:pPr>
                      <w:pStyle w:val="Headerorfooter1"/>
                      <w:shd w:val="clear" w:color="auto" w:fill="auto"/>
                      <w:spacing w:line="240" w:lineRule="auto"/>
                    </w:pPr>
                    <w:r>
                      <w:fldChar w:fldCharType="begin"/>
                    </w:r>
                    <w:r>
                      <w:instrText xml:space="preserve"> PAGE \* MERGEFORMAT </w:instrText>
                    </w:r>
                    <w:r>
                      <w:fldChar w:fldCharType="separate"/>
                    </w:r>
                    <w:r w:rsidRPr="00AA5FB8">
                      <w:rPr>
                        <w:rStyle w:val="Headerorfooter0"/>
                        <w:noProof/>
                      </w:rPr>
                      <w:t>29</w:t>
                    </w:r>
                    <w:r>
                      <w:rPr>
                        <w:rStyle w:val="Headerorfooter0"/>
                      </w:rPr>
                      <w:fldChar w:fldCharType="end"/>
                    </w:r>
                    <w:r>
                      <w:rPr>
                        <w:rStyle w:val="Headerorfooter0"/>
                      </w:rPr>
                      <w:t xml:space="preserve"> of 50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99716" w14:textId="77777777" w:rsidR="006F41A6" w:rsidRDefault="006F41A6">
      <w:r>
        <w:separator/>
      </w:r>
    </w:p>
  </w:footnote>
  <w:footnote w:type="continuationSeparator" w:id="0">
    <w:p w14:paraId="5F71A10F" w14:textId="77777777" w:rsidR="006F41A6" w:rsidRDefault="006F41A6">
      <w:r>
        <w:continuationSeparator/>
      </w:r>
    </w:p>
  </w:footnote>
  <w:footnote w:type="continuationNotice" w:id="1">
    <w:p w14:paraId="2232F17A" w14:textId="77777777" w:rsidR="006F41A6" w:rsidRDefault="006F41A6"/>
  </w:footnote>
  <w:footnote w:id="2">
    <w:p w14:paraId="751F669E" w14:textId="77777777" w:rsidR="00F76020" w:rsidRPr="00B364CB" w:rsidRDefault="00F76020" w:rsidP="00B364CB">
      <w:pPr>
        <w:pStyle w:val="FootnoteText"/>
        <w:jc w:val="both"/>
      </w:pPr>
      <w:r w:rsidRPr="00B364CB">
        <w:rPr>
          <w:rStyle w:val="FootnoteReference"/>
          <w:rFonts w:eastAsia="Arial"/>
        </w:rPr>
        <w:footnoteRef/>
      </w:r>
      <w:r w:rsidRPr="00B364CB">
        <w:t xml:space="preserve"> </w:t>
      </w:r>
      <w:r w:rsidRPr="00B364CB">
        <w:rPr>
          <w:rFonts w:cs="Arial"/>
        </w:rPr>
        <w:t>FCH JU was replaced by FCH 2 JU, which has taken over all rights and obligations of its predecessor. FCH 2 JU is now in turn replaced by the Clean Hydrogen Joint Undertaking.</w:t>
      </w:r>
    </w:p>
  </w:footnote>
  <w:footnote w:id="3">
    <w:p w14:paraId="4959AE7B" w14:textId="77777777" w:rsidR="000F4127" w:rsidRDefault="000F4127" w:rsidP="000F4127">
      <w:pPr>
        <w:pStyle w:val="FootnoteText"/>
      </w:pPr>
      <w:r>
        <w:rPr>
          <w:rStyle w:val="FootnoteReference"/>
        </w:rPr>
        <w:footnoteRef/>
      </w:r>
      <w:r>
        <w:t xml:space="preserve"> Previously known as Multi-Annual Work Plan (MAWP) for FCH 2 JU. </w:t>
      </w:r>
    </w:p>
  </w:footnote>
  <w:footnote w:id="4">
    <w:p w14:paraId="10876E7E" w14:textId="20B8084A" w:rsidR="000F4127" w:rsidRDefault="000F4127" w:rsidP="000F4127">
      <w:pPr>
        <w:pStyle w:val="FootnoteText"/>
      </w:pPr>
      <w:r>
        <w:rPr>
          <w:rStyle w:val="FootnoteReference"/>
        </w:rPr>
        <w:footnoteRef/>
      </w:r>
      <w:r>
        <w:t xml:space="preserve"> For purposes of communication with the public, the name Clean Hydrogen Partnership is </w:t>
      </w:r>
      <w:r w:rsidR="00B7762D">
        <w:t xml:space="preserve">also </w:t>
      </w:r>
      <w:r>
        <w:t>used instead of the legal name of the JU. In the present document only the legal name is used.</w:t>
      </w:r>
    </w:p>
  </w:footnote>
  <w:footnote w:id="5">
    <w:p w14:paraId="56AC3BC4" w14:textId="003FFE9D" w:rsidR="006B5FF9" w:rsidRDefault="006B5FF9">
      <w:pPr>
        <w:pStyle w:val="FootnoteText"/>
      </w:pPr>
      <w:r>
        <w:rPr>
          <w:rStyle w:val="FootnoteReference"/>
        </w:rPr>
        <w:footnoteRef/>
      </w:r>
      <w:r>
        <w:t xml:space="preserve"> According to the Article 2-Definitions of the SBA</w:t>
      </w:r>
    </w:p>
  </w:footnote>
  <w:footnote w:id="6">
    <w:p w14:paraId="60764B53" w14:textId="77777777" w:rsidR="005E2140" w:rsidRPr="00B364CB" w:rsidRDefault="005E2140" w:rsidP="005E2140">
      <w:pPr>
        <w:pStyle w:val="FootnoteText"/>
      </w:pPr>
      <w:r w:rsidRPr="00B364CB">
        <w:rPr>
          <w:rStyle w:val="FootnoteReference"/>
          <w:rFonts w:eastAsia="Arial"/>
        </w:rPr>
        <w:footnoteRef/>
      </w:r>
      <w:r w:rsidRPr="00B364CB">
        <w:t xml:space="preserve"> According to the “Hydrogen strategy for a climate-neutral Europe”, the blending of hydrogen in the natural gas network at a limited percentage may enable decentralised renewable hydrogen production in local networks in a transitional phase.</w:t>
      </w:r>
    </w:p>
  </w:footnote>
  <w:footnote w:id="7">
    <w:p w14:paraId="3534A6AA" w14:textId="77777777" w:rsidR="005E2140" w:rsidRPr="00B364CB" w:rsidRDefault="005E2140" w:rsidP="005E2140">
      <w:pPr>
        <w:pStyle w:val="FootnoteText"/>
      </w:pPr>
      <w:r w:rsidRPr="00B364CB">
        <w:rPr>
          <w:rStyle w:val="FootnoteReference"/>
          <w:rFonts w:eastAsia="Arial"/>
        </w:rPr>
        <w:footnoteRef/>
      </w:r>
      <w:r w:rsidRPr="00B364CB">
        <w:t xml:space="preserve"> Strengthening Strategic Value Chains for a future-ready EU Industry</w:t>
      </w:r>
      <w:r>
        <w:t>, EC,</w:t>
      </w:r>
      <w:r w:rsidRPr="00B364CB">
        <w:t xml:space="preserve"> 2019</w:t>
      </w:r>
      <w:r>
        <w:t>.</w:t>
      </w:r>
    </w:p>
  </w:footnote>
  <w:footnote w:id="8">
    <w:p w14:paraId="5A9DD19D" w14:textId="1FF8034C" w:rsidR="008E15A8" w:rsidRDefault="008E15A8">
      <w:pPr>
        <w:pStyle w:val="FootnoteText"/>
      </w:pPr>
      <w:r>
        <w:rPr>
          <w:rStyle w:val="FootnoteReference"/>
        </w:rPr>
        <w:footnoteRef/>
      </w:r>
      <w:r>
        <w:t xml:space="preserve"> See </w:t>
      </w:r>
      <w:r>
        <w:fldChar w:fldCharType="begin"/>
      </w:r>
      <w:r>
        <w:instrText xml:space="preserve"> REF _Ref91086138 \h </w:instrText>
      </w:r>
      <w:r>
        <w:fldChar w:fldCharType="separate"/>
      </w:r>
      <w:r>
        <w:t xml:space="preserve">Figure </w:t>
      </w:r>
      <w:r>
        <w:rPr>
          <w:noProof/>
        </w:rPr>
        <w:t>3</w:t>
      </w:r>
      <w:r>
        <w:t xml:space="preserve"> Strategy Map of</w:t>
      </w:r>
      <w:r w:rsidRPr="00B2762D">
        <w:t xml:space="preserve"> the Clean Hydrogen Joint Undertaking</w:t>
      </w:r>
      <w:r>
        <w:fldChar w:fldCharType="end"/>
      </w:r>
      <w:r>
        <w:t xml:space="preserve">, Section </w:t>
      </w:r>
      <w:r>
        <w:fldChar w:fldCharType="begin"/>
      </w:r>
      <w:r>
        <w:instrText xml:space="preserve"> REF _Ref93677644 \n \h </w:instrText>
      </w:r>
      <w:r>
        <w:fldChar w:fldCharType="separate"/>
      </w:r>
      <w:r>
        <w:t>7</w:t>
      </w:r>
      <w:r>
        <w:fldChar w:fldCharType="end"/>
      </w:r>
      <w:r>
        <w:t>.</w:t>
      </w:r>
    </w:p>
  </w:footnote>
  <w:footnote w:id="9">
    <w:p w14:paraId="0B7D4FBD" w14:textId="2F2F75E2" w:rsidR="00A03DCB" w:rsidRDefault="00A03DCB">
      <w:pPr>
        <w:pStyle w:val="FootnoteText"/>
      </w:pPr>
      <w:r>
        <w:rPr>
          <w:rStyle w:val="FootnoteReference"/>
        </w:rPr>
        <w:footnoteRef/>
      </w:r>
      <w:r>
        <w:t xml:space="preserve"> Previously known as M</w:t>
      </w:r>
      <w:r w:rsidR="00DB0722">
        <w:t>ulti-Annual Work Plan (M</w:t>
      </w:r>
      <w:r>
        <w:t>AWP</w:t>
      </w:r>
      <w:r w:rsidR="00DB0722">
        <w:t>)</w:t>
      </w:r>
      <w:r>
        <w:t xml:space="preserve"> for FCH 2 JU</w:t>
      </w:r>
      <w:r w:rsidR="00DB0722">
        <w:t xml:space="preserve">. </w:t>
      </w:r>
    </w:p>
  </w:footnote>
  <w:footnote w:id="10">
    <w:p w14:paraId="767817FA" w14:textId="3B4C66B3" w:rsidR="00833E84" w:rsidRDefault="00833E84">
      <w:pPr>
        <w:pStyle w:val="FootnoteText"/>
      </w:pPr>
      <w:r>
        <w:rPr>
          <w:rStyle w:val="FootnoteReference"/>
        </w:rPr>
        <w:footnoteRef/>
      </w:r>
      <w:r>
        <w:t xml:space="preserve"> For purposes of communication with the public, the name Clean Hydrogen Partnership is </w:t>
      </w:r>
      <w:r w:rsidR="00B7762D">
        <w:t xml:space="preserve">also </w:t>
      </w:r>
      <w:r>
        <w:t>used instead of the legal name of the JU. In the present document only the legal name is used.</w:t>
      </w:r>
    </w:p>
  </w:footnote>
  <w:footnote w:id="11">
    <w:p w14:paraId="29D95A7C" w14:textId="69437E0E" w:rsidR="00F76020" w:rsidRPr="00637F43" w:rsidRDefault="00F76020">
      <w:pPr>
        <w:pStyle w:val="FootnoteText"/>
      </w:pPr>
      <w:r>
        <w:rPr>
          <w:rStyle w:val="FootnoteReference"/>
        </w:rPr>
        <w:footnoteRef/>
      </w:r>
      <w:r>
        <w:t xml:space="preserve"> </w:t>
      </w:r>
      <w:r w:rsidRPr="002D3B12">
        <w:t>Regulation (EU) 2021/695 establishing Horizon Europe – the Framework Programme for Research and Innovation</w:t>
      </w:r>
      <w:r>
        <w:t>.</w:t>
      </w:r>
    </w:p>
  </w:footnote>
  <w:footnote w:id="12">
    <w:p w14:paraId="685013F3" w14:textId="77777777" w:rsidR="00F76020" w:rsidRPr="00012362" w:rsidRDefault="00F76020" w:rsidP="009A38C7">
      <w:pPr>
        <w:pStyle w:val="FootnoteText"/>
      </w:pPr>
      <w:r>
        <w:rPr>
          <w:rStyle w:val="FootnoteReference"/>
          <w:rFonts w:eastAsia="Arial"/>
        </w:rPr>
        <w:footnoteRef/>
      </w:r>
      <w:r>
        <w:t xml:space="preserve"> </w:t>
      </w:r>
      <w:hyperlink r:id="rId1" w:history="1">
        <w:r w:rsidRPr="00410802">
          <w:rPr>
            <w:rStyle w:val="Hyperlink"/>
            <w:rFonts w:eastAsia="Arial"/>
          </w:rPr>
          <w:t>https://sdgs.un.org/2030agenda</w:t>
        </w:r>
      </w:hyperlink>
      <w:r>
        <w:t xml:space="preserve"> </w:t>
      </w:r>
    </w:p>
  </w:footnote>
  <w:footnote w:id="13">
    <w:p w14:paraId="1841EFBE" w14:textId="77777777" w:rsidR="00F76020" w:rsidRPr="00012362" w:rsidRDefault="00F76020" w:rsidP="006146BC">
      <w:pPr>
        <w:pStyle w:val="FootnoteText"/>
      </w:pPr>
      <w:r>
        <w:rPr>
          <w:rStyle w:val="FootnoteReference"/>
          <w:rFonts w:eastAsia="Arial"/>
        </w:rPr>
        <w:footnoteRef/>
      </w:r>
      <w:r>
        <w:t xml:space="preserve"> </w:t>
      </w:r>
      <w:hyperlink r:id="rId2" w:history="1">
        <w:r w:rsidRPr="00410802">
          <w:rPr>
            <w:rStyle w:val="Hyperlink"/>
            <w:rFonts w:eastAsia="Arial"/>
          </w:rPr>
          <w:t>https://www.un.org/sustainabledevelopment/sustainable-development-goals/</w:t>
        </w:r>
      </w:hyperlink>
      <w:r>
        <w:t xml:space="preserve"> </w:t>
      </w:r>
    </w:p>
  </w:footnote>
  <w:footnote w:id="14">
    <w:p w14:paraId="787BEEEF" w14:textId="77777777" w:rsidR="00F76020" w:rsidRPr="00B364CB" w:rsidRDefault="00F76020" w:rsidP="00F218CD">
      <w:pPr>
        <w:pStyle w:val="FootnoteText"/>
      </w:pPr>
      <w:r w:rsidRPr="00B364CB">
        <w:rPr>
          <w:rStyle w:val="FootnoteReference"/>
          <w:rFonts w:eastAsia="Arial"/>
        </w:rPr>
        <w:footnoteRef/>
      </w:r>
      <w:r w:rsidRPr="00B364CB">
        <w:t xml:space="preserve"> European Green Deal Communication. COM(2019) 640 final.</w:t>
      </w:r>
    </w:p>
  </w:footnote>
  <w:footnote w:id="15">
    <w:p w14:paraId="458A2DC7" w14:textId="77777777" w:rsidR="00F76020" w:rsidRPr="00B364CB" w:rsidRDefault="00F76020" w:rsidP="00F218CD">
      <w:pPr>
        <w:pStyle w:val="FootnoteText"/>
      </w:pPr>
      <w:r w:rsidRPr="00B364CB">
        <w:rPr>
          <w:rStyle w:val="FootnoteReference"/>
        </w:rPr>
        <w:footnoteRef/>
      </w:r>
      <w:r w:rsidRPr="00B364CB">
        <w:t xml:space="preserve"> A Clean Planet for all Communication. COM(2018) 773 final.</w:t>
      </w:r>
    </w:p>
  </w:footnote>
  <w:footnote w:id="16">
    <w:p w14:paraId="1DF8FD00" w14:textId="31318D7A" w:rsidR="00F76020" w:rsidRPr="00B364CB" w:rsidRDefault="00F76020">
      <w:pPr>
        <w:pStyle w:val="FootnoteText"/>
      </w:pPr>
      <w:r w:rsidRPr="00B364CB">
        <w:rPr>
          <w:rStyle w:val="FootnoteReference"/>
        </w:rPr>
        <w:footnoteRef/>
      </w:r>
      <w:r w:rsidRPr="00B364CB">
        <w:t xml:space="preserve"> European Council conclusions, 12 December 2019.</w:t>
      </w:r>
    </w:p>
  </w:footnote>
  <w:footnote w:id="17">
    <w:p w14:paraId="66B98A97" w14:textId="410462FB" w:rsidR="00F76020" w:rsidRPr="00B364CB" w:rsidRDefault="00F76020">
      <w:pPr>
        <w:pStyle w:val="FootnoteText"/>
      </w:pPr>
      <w:r w:rsidRPr="00B364CB">
        <w:rPr>
          <w:rStyle w:val="FootnoteReference"/>
        </w:rPr>
        <w:footnoteRef/>
      </w:r>
      <w:r w:rsidRPr="00B364CB">
        <w:t xml:space="preserve"> European Parliament resolution on climate change, 14 March 2019.</w:t>
      </w:r>
    </w:p>
  </w:footnote>
  <w:footnote w:id="18">
    <w:p w14:paraId="610AF4F2" w14:textId="77777777" w:rsidR="00F76020" w:rsidRPr="00B364CB" w:rsidRDefault="00F76020" w:rsidP="00F218CD">
      <w:pPr>
        <w:pStyle w:val="FootnoteText"/>
      </w:pPr>
      <w:r w:rsidRPr="00B364CB">
        <w:rPr>
          <w:rStyle w:val="FootnoteReference"/>
        </w:rPr>
        <w:footnoteRef/>
      </w:r>
      <w:r w:rsidRPr="00B364CB">
        <w:t xml:space="preserve"> 2030 Climate Target Plan Communication. COM(2020) 562 final.</w:t>
      </w:r>
    </w:p>
  </w:footnote>
  <w:footnote w:id="19">
    <w:p w14:paraId="07E56D50" w14:textId="28E6EC40" w:rsidR="00F76020" w:rsidRDefault="00F76020">
      <w:pPr>
        <w:pStyle w:val="FootnoteText"/>
      </w:pPr>
      <w:r>
        <w:rPr>
          <w:rStyle w:val="FootnoteReference"/>
        </w:rPr>
        <w:footnoteRef/>
      </w:r>
      <w:r>
        <w:t xml:space="preserve"> </w:t>
      </w:r>
      <w:r w:rsidRPr="00752658">
        <w:t xml:space="preserve">Regulation </w:t>
      </w:r>
      <w:r>
        <w:t>(EU) 2021/</w:t>
      </w:r>
      <w:r w:rsidRPr="009366FA">
        <w:t xml:space="preserve"> 1119</w:t>
      </w:r>
      <w:r>
        <w:t xml:space="preserve"> </w:t>
      </w:r>
      <w:r w:rsidRPr="00752658">
        <w:t>establishing the framework for achieving climate neutrality and amending Regulations (EC) No 401/2009 and (EU) 2018/1999 (‘European Climate Law’)</w:t>
      </w:r>
      <w:r>
        <w:t>.</w:t>
      </w:r>
    </w:p>
  </w:footnote>
  <w:footnote w:id="20">
    <w:p w14:paraId="6388B66C" w14:textId="1AC9491C" w:rsidR="00F76020" w:rsidRDefault="00F76020" w:rsidP="00752658">
      <w:pPr>
        <w:pStyle w:val="FootnoteText"/>
      </w:pPr>
      <w:r>
        <w:rPr>
          <w:rStyle w:val="FootnoteReference"/>
        </w:rPr>
        <w:footnoteRef/>
      </w:r>
      <w:r>
        <w:t xml:space="preserve"> 'Fit for 55': delivering the EU's 2030 Climate Target on the way to climate neutrality, </w:t>
      </w:r>
    </w:p>
    <w:p w14:paraId="64B5EACE" w14:textId="0C5D6F47" w:rsidR="00F76020" w:rsidRDefault="00F76020" w:rsidP="00752658">
      <w:pPr>
        <w:pStyle w:val="FootnoteText"/>
      </w:pPr>
      <w:r>
        <w:t>COM(2021) 550, July 2021.</w:t>
      </w:r>
    </w:p>
  </w:footnote>
  <w:footnote w:id="21">
    <w:p w14:paraId="16BF2258" w14:textId="089C6529" w:rsidR="002B0B3D" w:rsidRDefault="002B0B3D">
      <w:pPr>
        <w:pStyle w:val="FootnoteText"/>
      </w:pPr>
      <w:r>
        <w:rPr>
          <w:rStyle w:val="FootnoteReference"/>
        </w:rPr>
        <w:footnoteRef/>
      </w:r>
      <w:r>
        <w:t xml:space="preserve"> </w:t>
      </w:r>
      <w:hyperlink r:id="rId3" w:history="1">
        <w:r w:rsidRPr="004A6125">
          <w:rPr>
            <w:rStyle w:val="Hyperlink"/>
          </w:rPr>
          <w:t>https://ec.europa.eu/commission/presscorner/detail/en/IP_21_6682</w:t>
        </w:r>
      </w:hyperlink>
      <w:r>
        <w:t xml:space="preserve"> </w:t>
      </w:r>
    </w:p>
  </w:footnote>
  <w:footnote w:id="22">
    <w:p w14:paraId="3631209A" w14:textId="4CAA055C" w:rsidR="00F76020" w:rsidRPr="00B364CB" w:rsidRDefault="00F76020">
      <w:pPr>
        <w:pStyle w:val="FootnoteText"/>
      </w:pPr>
      <w:r w:rsidRPr="00B364CB">
        <w:rPr>
          <w:rStyle w:val="FootnoteReference"/>
        </w:rPr>
        <w:footnoteRef/>
      </w:r>
      <w:r w:rsidRPr="00B364CB">
        <w:t xml:space="preserve"> Commission Staff Working Document Impact Assessment accompanying the Communication Stepping up Euro</w:t>
      </w:r>
      <w:r>
        <w:t>pe’s 2030 climate ambition. SWD(</w:t>
      </w:r>
      <w:r w:rsidRPr="00B364CB">
        <w:t>2020</w:t>
      </w:r>
      <w:r>
        <w:t xml:space="preserve">) </w:t>
      </w:r>
      <w:r w:rsidRPr="00B364CB">
        <w:t>176 final.</w:t>
      </w:r>
    </w:p>
  </w:footnote>
  <w:footnote w:id="23">
    <w:p w14:paraId="7347CC36" w14:textId="437BE071" w:rsidR="00D15E70" w:rsidRDefault="00D15E70">
      <w:pPr>
        <w:pStyle w:val="FootnoteText"/>
      </w:pPr>
      <w:r>
        <w:rPr>
          <w:rStyle w:val="FootnoteReference"/>
        </w:rPr>
        <w:footnoteRef/>
      </w:r>
      <w:r>
        <w:t xml:space="preserve"> Proposal for Regulation “Internal markets for renewable and natural gases and for hydrogen (recast)”. COM(2021) 804 final, December 2021.</w:t>
      </w:r>
    </w:p>
  </w:footnote>
  <w:footnote w:id="24">
    <w:p w14:paraId="6209398A" w14:textId="77777777" w:rsidR="00F76020" w:rsidRPr="00B364CB" w:rsidRDefault="00F76020" w:rsidP="00F218CD">
      <w:pPr>
        <w:pStyle w:val="FootnoteText"/>
      </w:pPr>
      <w:r w:rsidRPr="00B364CB">
        <w:rPr>
          <w:rStyle w:val="FootnoteReference"/>
        </w:rPr>
        <w:footnoteRef/>
      </w:r>
      <w:r w:rsidRPr="00B364CB">
        <w:t xml:space="preserve"> Strategy for Energy System Integration. COM(2020) 299 final.</w:t>
      </w:r>
    </w:p>
  </w:footnote>
  <w:footnote w:id="25">
    <w:p w14:paraId="16F155A0" w14:textId="77777777" w:rsidR="00F76020" w:rsidRPr="00B364CB" w:rsidRDefault="00F76020" w:rsidP="00F218CD">
      <w:pPr>
        <w:pStyle w:val="FootnoteText"/>
      </w:pPr>
      <w:r w:rsidRPr="00B364CB">
        <w:rPr>
          <w:rStyle w:val="FootnoteReference"/>
        </w:rPr>
        <w:footnoteRef/>
      </w:r>
      <w:r w:rsidRPr="00B364CB">
        <w:t xml:space="preserve"> A Hydrogen Strategy for a climate neutral Europe. COM(2020) 301 final.</w:t>
      </w:r>
    </w:p>
  </w:footnote>
  <w:footnote w:id="26">
    <w:p w14:paraId="436EA395" w14:textId="77777777" w:rsidR="00F76020" w:rsidRPr="00B364CB" w:rsidRDefault="00F76020" w:rsidP="00F218CD">
      <w:pPr>
        <w:pStyle w:val="FootnoteText"/>
      </w:pPr>
      <w:r w:rsidRPr="00B364CB">
        <w:rPr>
          <w:rStyle w:val="FootnoteReference"/>
        </w:rPr>
        <w:footnoteRef/>
      </w:r>
      <w:r w:rsidRPr="00B364CB">
        <w:t xml:space="preserve"> New Industrial Strategy for Europe. COM</w:t>
      </w:r>
      <w:r>
        <w:t xml:space="preserve"> </w:t>
      </w:r>
      <w:r w:rsidRPr="00B364CB">
        <w:t>(2020) 102 final.</w:t>
      </w:r>
    </w:p>
  </w:footnote>
  <w:footnote w:id="27">
    <w:p w14:paraId="06865769" w14:textId="77777777" w:rsidR="00F76020" w:rsidRPr="00B364CB" w:rsidRDefault="00F76020" w:rsidP="00F218CD">
      <w:pPr>
        <w:pStyle w:val="FootnoteText"/>
      </w:pPr>
      <w:r w:rsidRPr="00B364CB">
        <w:rPr>
          <w:rStyle w:val="FootnoteReference"/>
        </w:rPr>
        <w:footnoteRef/>
      </w:r>
      <w:r w:rsidRPr="00B364CB">
        <w:t xml:space="preserve"> Europe's moment: Repair and Prepare for the Next Generation. COM</w:t>
      </w:r>
      <w:r>
        <w:t xml:space="preserve"> </w:t>
      </w:r>
      <w:r w:rsidRPr="00B364CB">
        <w:t>(2020) 456 final.</w:t>
      </w:r>
    </w:p>
  </w:footnote>
  <w:footnote w:id="28">
    <w:p w14:paraId="3BC68AEA" w14:textId="787A506B" w:rsidR="00F76020" w:rsidRPr="00B364CB" w:rsidRDefault="00F76020" w:rsidP="001E6E4E">
      <w:pPr>
        <w:pStyle w:val="FootnoteText"/>
      </w:pPr>
      <w:r w:rsidRPr="00B364CB">
        <w:rPr>
          <w:rStyle w:val="FootnoteReference"/>
        </w:rPr>
        <w:footnoteRef/>
      </w:r>
      <w:r w:rsidRPr="00B364CB">
        <w:t xml:space="preserve"> </w:t>
      </w:r>
      <w:r w:rsidRPr="00C63308">
        <w:t xml:space="preserve">According to the Energy System Integration Strategy, the Commission </w:t>
      </w:r>
      <w:r>
        <w:t xml:space="preserve">was planning to </w:t>
      </w:r>
      <w:r w:rsidRPr="00C63308">
        <w:t>propose a comprehensive terminology for all renewable and low-carbon fuels and a European system of certification of such fuels by June 2021.</w:t>
      </w:r>
      <w:r w:rsidRPr="001E6E4E">
        <w:t xml:space="preserve"> Such a proposal has been included in the revision of the Renewable Energy Directive in the context of the ‘Fit for 55’ package, but only for renewable hydrogen. </w:t>
      </w:r>
      <w:r w:rsidRPr="00C63308">
        <w:t>As stated in the impact assessment of the proposal, a political decision is required for the inclusion or not of the certification of low-carbon fuels in the same or different</w:t>
      </w:r>
      <w:r>
        <w:t xml:space="preserve"> proposal, such as the Hydrogen and Decarbonised Gas Market Package planned for the fourth quarter of 2021. For this reason it was decided to remain with the Hydrogen Strategy terminology. </w:t>
      </w:r>
    </w:p>
  </w:footnote>
  <w:footnote w:id="29">
    <w:p w14:paraId="73680B1A" w14:textId="11DEA03A" w:rsidR="009A394B" w:rsidRDefault="009A394B">
      <w:pPr>
        <w:pStyle w:val="FootnoteText"/>
      </w:pPr>
      <w:r>
        <w:rPr>
          <w:rStyle w:val="FootnoteReference"/>
        </w:rPr>
        <w:footnoteRef/>
      </w:r>
      <w:r>
        <w:t xml:space="preserve"> In the Gas and Hydrogen Market package, a newer definition is provided for </w:t>
      </w:r>
      <w:r w:rsidRPr="009A394B">
        <w:t>low-carbon hydrogen</w:t>
      </w:r>
      <w:r>
        <w:t>. According to it, it refers to “</w:t>
      </w:r>
      <w:r w:rsidRPr="009A394B">
        <w:rPr>
          <w:i/>
          <w:iCs/>
        </w:rPr>
        <w:t>hydrogen the energy content of which is derived from non-renewable sources, which meets a greenhouse gas emission reduction threshold of 70%</w:t>
      </w:r>
      <w:r>
        <w:t>”.</w:t>
      </w:r>
    </w:p>
  </w:footnote>
  <w:footnote w:id="30">
    <w:p w14:paraId="042D7916" w14:textId="3D0125BE" w:rsidR="00F76020" w:rsidRPr="00B364CB" w:rsidRDefault="00F76020">
      <w:pPr>
        <w:pStyle w:val="FootnoteText"/>
      </w:pPr>
      <w:r w:rsidRPr="00B364CB">
        <w:rPr>
          <w:rStyle w:val="FootnoteReference"/>
        </w:rPr>
        <w:footnoteRef/>
      </w:r>
      <w:r w:rsidRPr="00B364CB">
        <w:t xml:space="preserve"> European Council conclusions, 10-11 December 2020.</w:t>
      </w:r>
    </w:p>
  </w:footnote>
  <w:footnote w:id="31">
    <w:p w14:paraId="3F936629" w14:textId="0520A699" w:rsidR="00F76020" w:rsidRDefault="00F76020">
      <w:pPr>
        <w:pStyle w:val="FootnoteText"/>
      </w:pPr>
      <w:r>
        <w:rPr>
          <w:rStyle w:val="FootnoteReference"/>
        </w:rPr>
        <w:footnoteRef/>
      </w:r>
      <w:r>
        <w:t xml:space="preserve"> </w:t>
      </w:r>
      <w:r w:rsidRPr="00626907">
        <w:t>European Parliament resolution of 19 May 2021 on a European Strategy for Hydrogen (2020/2242(INI))</w:t>
      </w:r>
    </w:p>
  </w:footnote>
  <w:footnote w:id="32">
    <w:p w14:paraId="698DBD6E" w14:textId="0913F0F8" w:rsidR="00F76020" w:rsidRDefault="00F76020">
      <w:pPr>
        <w:pStyle w:val="FootnoteText"/>
      </w:pPr>
      <w:r>
        <w:rPr>
          <w:rStyle w:val="FootnoteReference"/>
        </w:rPr>
        <w:footnoteRef/>
      </w:r>
      <w:r>
        <w:t xml:space="preserve"> Proposal for a Directive as regards the promotion of energy from renewable sources. COM (2021) 557 final.</w:t>
      </w:r>
    </w:p>
  </w:footnote>
  <w:footnote w:id="33">
    <w:p w14:paraId="25BE8FCB" w14:textId="0B581ACE" w:rsidR="00F76020" w:rsidRDefault="00F76020">
      <w:pPr>
        <w:pStyle w:val="FootnoteText"/>
      </w:pPr>
      <w:r>
        <w:rPr>
          <w:rStyle w:val="FootnoteReference"/>
        </w:rPr>
        <w:footnoteRef/>
      </w:r>
      <w:r>
        <w:t xml:space="preserve"> Establishing a system for greenhouse gas emission allowance trading with the Union. COM (2021) 551 final.</w:t>
      </w:r>
    </w:p>
  </w:footnote>
  <w:footnote w:id="34">
    <w:p w14:paraId="7F9D352B" w14:textId="2BDD94AB" w:rsidR="00F76020" w:rsidRDefault="00F76020">
      <w:pPr>
        <w:pStyle w:val="FootnoteText"/>
      </w:pPr>
      <w:r>
        <w:rPr>
          <w:rStyle w:val="FootnoteReference"/>
        </w:rPr>
        <w:footnoteRef/>
      </w:r>
      <w:r>
        <w:t xml:space="preserve"> Restructuring the Union framework for taxation of energy products and electricity, COM (2021) 563 final.</w:t>
      </w:r>
    </w:p>
  </w:footnote>
  <w:footnote w:id="35">
    <w:p w14:paraId="50CCB5D0" w14:textId="3D3846EA" w:rsidR="00F76020" w:rsidRDefault="00F76020" w:rsidP="0083272E">
      <w:pPr>
        <w:pStyle w:val="FootnoteText"/>
      </w:pPr>
      <w:r>
        <w:rPr>
          <w:rStyle w:val="FootnoteReference"/>
        </w:rPr>
        <w:footnoteRef/>
      </w:r>
      <w:r>
        <w:t xml:space="preserve"> Strengthening the CO2 emission performance standards for new passenger cars and new light commercial vehicles in line with the Union’s increased climate ambition. COM (2021) 556 final.</w:t>
      </w:r>
    </w:p>
  </w:footnote>
  <w:footnote w:id="36">
    <w:p w14:paraId="216ECDEF" w14:textId="754775EA" w:rsidR="00F76020" w:rsidRDefault="00F76020">
      <w:pPr>
        <w:pStyle w:val="FootnoteText"/>
      </w:pPr>
      <w:r>
        <w:rPr>
          <w:rStyle w:val="FootnoteReference"/>
        </w:rPr>
        <w:footnoteRef/>
      </w:r>
      <w:r>
        <w:t xml:space="preserve"> Regulation on the deployment of alternative fuels infrastructure. COM (2021) 559 final.</w:t>
      </w:r>
    </w:p>
  </w:footnote>
  <w:footnote w:id="37">
    <w:p w14:paraId="29425FBD" w14:textId="27AAC5F5" w:rsidR="00F76020" w:rsidRDefault="00F76020">
      <w:pPr>
        <w:pStyle w:val="FootnoteText"/>
      </w:pPr>
      <w:r>
        <w:rPr>
          <w:rStyle w:val="FootnoteReference"/>
        </w:rPr>
        <w:footnoteRef/>
      </w:r>
      <w:r>
        <w:t xml:space="preserve"> Regulation on the use of renewable and low-carbon fuels in maritime transport. COM (2021) 562 final. </w:t>
      </w:r>
    </w:p>
  </w:footnote>
  <w:footnote w:id="38">
    <w:p w14:paraId="63240D61" w14:textId="6DE84945" w:rsidR="00F76020" w:rsidRPr="00B364CB" w:rsidRDefault="00F76020" w:rsidP="00F218CD">
      <w:pPr>
        <w:pStyle w:val="FootnoteText"/>
      </w:pPr>
      <w:r w:rsidRPr="00B364CB">
        <w:rPr>
          <w:rStyle w:val="FootnoteReference"/>
        </w:rPr>
        <w:footnoteRef/>
      </w:r>
      <w:r w:rsidRPr="00B364CB">
        <w:t xml:space="preserve"> Council Regulation (EC) No 521/2008 of 30 May 2008 setting up the Fuel Cells and Hydrogen Joint Undertaking.</w:t>
      </w:r>
    </w:p>
  </w:footnote>
  <w:footnote w:id="39">
    <w:p w14:paraId="79223FBD" w14:textId="5DB42118" w:rsidR="00F76020" w:rsidRPr="00B364CB" w:rsidRDefault="00F76020" w:rsidP="00F218CD">
      <w:pPr>
        <w:pStyle w:val="FootnoteText"/>
      </w:pPr>
      <w:r w:rsidRPr="00B364CB">
        <w:rPr>
          <w:rStyle w:val="FootnoteReference"/>
        </w:rPr>
        <w:footnoteRef/>
      </w:r>
      <w:r w:rsidRPr="00B364CB">
        <w:t xml:space="preserve"> </w:t>
      </w:r>
      <w:r w:rsidR="00EB756A" w:rsidRPr="00EB756A">
        <w:t>Council Regulation (EU) 2021/2085 of 19 November 2021 establishing the Joint Undertakings under Horizon Europe and repealing Regulations (EC) No 219/2007, (EU) No 557/2014, (EU) No 558/2014, (EU) No 559/2014, (EU) No 560/2014, (EU) No 561/2014 and (EU) No 642/2014</w:t>
      </w:r>
      <w:r w:rsidR="00EB756A">
        <w:t>.</w:t>
      </w:r>
    </w:p>
  </w:footnote>
  <w:footnote w:id="40">
    <w:p w14:paraId="44A3521D" w14:textId="41D09400" w:rsidR="00F76020" w:rsidRDefault="00F76020" w:rsidP="00824804">
      <w:pPr>
        <w:pStyle w:val="FootnoteText"/>
        <w:jc w:val="both"/>
      </w:pPr>
      <w:r>
        <w:rPr>
          <w:rStyle w:val="FootnoteReference"/>
        </w:rPr>
        <w:footnoteRef/>
      </w:r>
      <w:r>
        <w:t xml:space="preserve"> See also recital 5</w:t>
      </w:r>
      <w:r w:rsidR="0093747B">
        <w:t>8</w:t>
      </w:r>
      <w:r>
        <w:t xml:space="preserve"> of the SBA, where it is explicitly mentioned that “</w:t>
      </w:r>
      <w:r w:rsidRPr="00824804">
        <w:rPr>
          <w:i/>
          <w:iCs/>
        </w:rPr>
        <w:t>The clean hydrogen European partnership should interact in particular with the zero emission road and waterborne transport, Europe’s railway, clean aviation, processes for the planet and clean steel European partnerships</w:t>
      </w:r>
      <w:r>
        <w:rPr>
          <w:i/>
          <w:iCs/>
        </w:rPr>
        <w:t>.</w:t>
      </w:r>
      <w:r>
        <w:t>”</w:t>
      </w:r>
      <w:r w:rsidRPr="00824804">
        <w:t>.</w:t>
      </w:r>
    </w:p>
  </w:footnote>
  <w:footnote w:id="41">
    <w:p w14:paraId="023040B0" w14:textId="335B524B" w:rsidR="00F76020" w:rsidRPr="00B364CB" w:rsidRDefault="00F76020" w:rsidP="00B364CB">
      <w:pPr>
        <w:pStyle w:val="MAWP-Bodytext"/>
      </w:pPr>
      <w:r w:rsidRPr="00B364CB">
        <w:rPr>
          <w:rStyle w:val="FootnoteReference"/>
        </w:rPr>
        <w:footnoteRef/>
      </w:r>
      <w:r w:rsidRPr="00B364CB">
        <w:t xml:space="preserve"> </w:t>
      </w:r>
      <w:r w:rsidRPr="00824804">
        <w:rPr>
          <w:rFonts w:eastAsia="Times New Roman" w:cs="Times New Roman"/>
          <w:sz w:val="20"/>
          <w:szCs w:val="20"/>
          <w:lang w:eastAsia="en-US"/>
        </w:rPr>
        <w:t>Some objectives by 2030: produce clean hydrogen at around €1.5-3/kg, which will require reaching the 2030 targets in efficiency improvement and lowering CAPEX costs. In addition, this also assumes the availability of renewable electricity at favourable prices, as well as allowing penetration into mass markets, and reducing distribution costs to less than €1/kg of hydrogen at scale.</w:t>
      </w:r>
    </w:p>
  </w:footnote>
  <w:footnote w:id="42">
    <w:p w14:paraId="02B33751" w14:textId="21E0DD03" w:rsidR="00F76020" w:rsidRDefault="00F76020">
      <w:pPr>
        <w:pStyle w:val="FootnoteText"/>
      </w:pPr>
      <w:r>
        <w:rPr>
          <w:rStyle w:val="FootnoteReference"/>
        </w:rPr>
        <w:footnoteRef/>
      </w:r>
      <w:r>
        <w:t xml:space="preserve"> The definition of flagship projects can be found in Section</w:t>
      </w:r>
      <w:r w:rsidR="00EB13DE">
        <w:t xml:space="preserve"> </w:t>
      </w:r>
      <w:r w:rsidR="00EB13DE">
        <w:fldChar w:fldCharType="begin"/>
      </w:r>
      <w:r w:rsidR="00EB13DE">
        <w:instrText xml:space="preserve"> REF _Ref93512725 \r \h </w:instrText>
      </w:r>
      <w:r w:rsidR="00EB13DE">
        <w:fldChar w:fldCharType="separate"/>
      </w:r>
      <w:r w:rsidR="00EB13DE">
        <w:t>5.2</w:t>
      </w:r>
      <w:r w:rsidR="00EB13DE">
        <w:fldChar w:fldCharType="end"/>
      </w:r>
      <w:r>
        <w:t>.</w:t>
      </w:r>
    </w:p>
  </w:footnote>
  <w:footnote w:id="43">
    <w:p w14:paraId="3C7B5284" w14:textId="5CFA11FC" w:rsidR="00F76020" w:rsidRPr="004D37F9" w:rsidRDefault="00F76020" w:rsidP="00C924BE">
      <w:pPr>
        <w:pStyle w:val="FootnoteText"/>
      </w:pPr>
      <w:r w:rsidRPr="00CE70C1">
        <w:rPr>
          <w:rStyle w:val="FootnoteReference"/>
        </w:rPr>
        <w:footnoteRef/>
      </w:r>
      <w:r w:rsidRPr="00CE70C1">
        <w:t xml:space="preserve"> The actions proposed for all the pillars are based on the final draft of the SRIA</w:t>
      </w:r>
      <w:r w:rsidR="00F22FEB">
        <w:t>-HE</w:t>
      </w:r>
      <w:r w:rsidRPr="00CE70C1">
        <w:t xml:space="preserve"> (October 2020). These should be considered indicative, especially considering the dynamic and fast growing field of research and development in hydrogen technologies, which may very likely shift the priorities over the next few years.</w:t>
      </w:r>
    </w:p>
  </w:footnote>
  <w:footnote w:id="44">
    <w:p w14:paraId="65DB1829" w14:textId="5170CF40" w:rsidR="00F76020" w:rsidRPr="00B364CB" w:rsidRDefault="00F76020">
      <w:pPr>
        <w:pStyle w:val="FootnoteText"/>
      </w:pPr>
      <w:r w:rsidRPr="00B364CB">
        <w:rPr>
          <w:rStyle w:val="FootnoteReference"/>
        </w:rPr>
        <w:footnoteRef/>
      </w:r>
      <w:r w:rsidRPr="00B364CB">
        <w:t xml:space="preserve"> </w:t>
      </w:r>
      <w:r>
        <w:t>See Figure 15 in Strategic Research and Innovation Agenda, final draft October 2020, Hydrogen Europe and Hydrogen Europe Research</w:t>
      </w:r>
    </w:p>
  </w:footnote>
  <w:footnote w:id="45">
    <w:p w14:paraId="26542BCE" w14:textId="7596132B" w:rsidR="00F76020" w:rsidRPr="00B364CB" w:rsidRDefault="00F76020" w:rsidP="005D6A5A">
      <w:pPr>
        <w:pStyle w:val="FootnoteText"/>
      </w:pPr>
      <w:r w:rsidRPr="00B364CB">
        <w:rPr>
          <w:rStyle w:val="FootnoteReference"/>
        </w:rPr>
        <w:footnoteRef/>
      </w:r>
      <w:r>
        <w:t xml:space="preserve"> Green Hydrogen Cost Reduction: Scaling up electrolysers to meet the 1.5</w:t>
      </w:r>
      <w:r>
        <w:rPr>
          <w:rFonts w:cs="Arial"/>
        </w:rPr>
        <w:t>°</w:t>
      </w:r>
      <w:r>
        <w:t>C climate Goal, IRENA 2020</w:t>
      </w:r>
    </w:p>
  </w:footnote>
  <w:footnote w:id="46">
    <w:p w14:paraId="43A2CE6F" w14:textId="77777777" w:rsidR="00F76020" w:rsidRPr="00B364CB" w:rsidRDefault="00F76020" w:rsidP="0082236F">
      <w:pPr>
        <w:pStyle w:val="FootnoteText"/>
      </w:pPr>
      <w:r w:rsidRPr="00B364CB">
        <w:rPr>
          <w:rStyle w:val="FootnoteReference"/>
        </w:rPr>
        <w:footnoteRef/>
      </w:r>
      <w:r w:rsidRPr="00B364CB">
        <w:t xml:space="preserve"> Following the methodology of the RED and FQD used for balancing GHG emissions.</w:t>
      </w:r>
    </w:p>
  </w:footnote>
  <w:footnote w:id="47">
    <w:p w14:paraId="1C3FB770" w14:textId="0EFF45E9" w:rsidR="00F76020" w:rsidRPr="00B364CB" w:rsidRDefault="00F76020">
      <w:pPr>
        <w:pStyle w:val="FootnoteText"/>
      </w:pPr>
      <w:r w:rsidRPr="00B364CB">
        <w:rPr>
          <w:rStyle w:val="FootnoteReference"/>
        </w:rPr>
        <w:footnoteRef/>
      </w:r>
      <w:r w:rsidRPr="00B364CB">
        <w:t xml:space="preserve"> Based on the capacity reported in the </w:t>
      </w:r>
      <w:hyperlink r:id="rId4" w:history="1">
        <w:r w:rsidRPr="00B364CB">
          <w:rPr>
            <w:rStyle w:val="Hyperlink"/>
          </w:rPr>
          <w:t>Fuel Cell and Hydrogen Observatory</w:t>
        </w:r>
      </w:hyperlink>
      <w:r w:rsidRPr="00B364CB">
        <w:t xml:space="preserve"> and the 84% average capacity utilisation reported in the </w:t>
      </w:r>
      <w:hyperlink r:id="rId5" w:history="1">
        <w:r w:rsidRPr="00B364CB">
          <w:rPr>
            <w:rStyle w:val="Hyperlink"/>
          </w:rPr>
          <w:t>European Clean Hydrogen Monitor 2020</w:t>
        </w:r>
      </w:hyperlink>
      <w:r w:rsidRPr="00B364CB">
        <w:t>.</w:t>
      </w:r>
    </w:p>
  </w:footnote>
  <w:footnote w:id="48">
    <w:p w14:paraId="4286A8BC" w14:textId="68EC96FC" w:rsidR="00EB756A" w:rsidRDefault="00EB756A">
      <w:pPr>
        <w:pStyle w:val="FootnoteText"/>
      </w:pPr>
      <w:r>
        <w:rPr>
          <w:rStyle w:val="FootnoteReference"/>
        </w:rPr>
        <w:footnoteRef/>
      </w:r>
      <w:r>
        <w:t xml:space="preserve"> </w:t>
      </w:r>
      <w:hyperlink r:id="rId6" w:history="1">
        <w:r w:rsidRPr="00863379">
          <w:rPr>
            <w:rStyle w:val="Hyperlink"/>
          </w:rPr>
          <w:t>https://nelhydrogen.com/press-release/nel-cmd-2021-launches-1-5-usd-kg-target-for-green-renewable-hydrogen-to-outcompete-fossil-alternatives/</w:t>
        </w:r>
      </w:hyperlink>
      <w:r>
        <w:t xml:space="preserve"> </w:t>
      </w:r>
    </w:p>
  </w:footnote>
  <w:footnote w:id="49">
    <w:p w14:paraId="03CD950B" w14:textId="1C4691C9" w:rsidR="00F76020" w:rsidRPr="00B364CB" w:rsidRDefault="00F76020">
      <w:pPr>
        <w:pStyle w:val="FootnoteText"/>
      </w:pPr>
      <w:r w:rsidRPr="00B364CB">
        <w:rPr>
          <w:rStyle w:val="FootnoteReference"/>
        </w:rPr>
        <w:footnoteRef/>
      </w:r>
      <w:r w:rsidRPr="00B364CB">
        <w:t xml:space="preserve"> </w:t>
      </w:r>
      <w:hyperlink r:id="rId7" w:history="1">
        <w:r w:rsidRPr="00482E89">
          <w:rPr>
            <w:rStyle w:val="Hyperlink"/>
          </w:rPr>
          <w:t>https://cordis.europa.eu/project/id/826089</w:t>
        </w:r>
      </w:hyperlink>
      <w:r>
        <w:t xml:space="preserve"> </w:t>
      </w:r>
    </w:p>
  </w:footnote>
  <w:footnote w:id="50">
    <w:p w14:paraId="1336AE10" w14:textId="5370F8BA" w:rsidR="00F76020" w:rsidRPr="00B364CB" w:rsidRDefault="00F76020">
      <w:pPr>
        <w:pStyle w:val="FootnoteText"/>
      </w:pPr>
      <w:r w:rsidRPr="00B364CB">
        <w:rPr>
          <w:rStyle w:val="FootnoteReference"/>
        </w:rPr>
        <w:footnoteRef/>
      </w:r>
      <w:r w:rsidRPr="00B364CB">
        <w:t xml:space="preserve"> </w:t>
      </w:r>
      <w:hyperlink r:id="rId8" w:history="1">
        <w:r w:rsidRPr="00482E89">
          <w:rPr>
            <w:rStyle w:val="Hyperlink"/>
          </w:rPr>
          <w:t>https://cordis.europa.eu/project/id/779579</w:t>
        </w:r>
      </w:hyperlink>
      <w:r>
        <w:t xml:space="preserve"> </w:t>
      </w:r>
    </w:p>
  </w:footnote>
  <w:footnote w:id="51">
    <w:p w14:paraId="554A1BD9" w14:textId="774259A6" w:rsidR="00F76020" w:rsidRPr="00B364CB" w:rsidRDefault="00F76020">
      <w:pPr>
        <w:pStyle w:val="FootnoteText"/>
      </w:pPr>
      <w:r w:rsidRPr="00B364CB">
        <w:rPr>
          <w:rStyle w:val="FootnoteReference"/>
        </w:rPr>
        <w:footnoteRef/>
      </w:r>
      <w:r w:rsidRPr="00B364CB">
        <w:t xml:space="preserve"> </w:t>
      </w:r>
      <w:hyperlink r:id="rId9" w:history="1">
        <w:r w:rsidRPr="00482E89">
          <w:rPr>
            <w:rStyle w:val="Hyperlink"/>
          </w:rPr>
          <w:t>https://cordis.europa.eu/project/rcn/207465/en.html</w:t>
        </w:r>
      </w:hyperlink>
      <w:r>
        <w:t xml:space="preserve"> </w:t>
      </w:r>
    </w:p>
  </w:footnote>
  <w:footnote w:id="52">
    <w:p w14:paraId="64F5145F" w14:textId="1D0F2CA1" w:rsidR="00F76020" w:rsidRPr="00B364CB" w:rsidRDefault="00F76020">
      <w:pPr>
        <w:pStyle w:val="FootnoteText"/>
      </w:pPr>
      <w:r w:rsidRPr="00B364CB">
        <w:rPr>
          <w:rStyle w:val="FootnoteReference"/>
        </w:rPr>
        <w:footnoteRef/>
      </w:r>
      <w:r w:rsidRPr="00B364CB">
        <w:t xml:space="preserve"> </w:t>
      </w:r>
      <w:hyperlink r:id="rId10" w:history="1">
        <w:r w:rsidRPr="00482E89">
          <w:rPr>
            <w:rStyle w:val="Hyperlink"/>
          </w:rPr>
          <w:t>https://cordis.europa.eu/project/id/875123</w:t>
        </w:r>
      </w:hyperlink>
      <w:r>
        <w:t xml:space="preserve"> </w:t>
      </w:r>
    </w:p>
  </w:footnote>
  <w:footnote w:id="53">
    <w:p w14:paraId="40E60CDB" w14:textId="48441D27" w:rsidR="00F76020" w:rsidRPr="00B364CB" w:rsidRDefault="00F76020">
      <w:pPr>
        <w:pStyle w:val="FootnoteText"/>
      </w:pPr>
      <w:r w:rsidRPr="00B364CB">
        <w:rPr>
          <w:rStyle w:val="FootnoteReference"/>
        </w:rPr>
        <w:footnoteRef/>
      </w:r>
      <w:r w:rsidRPr="00B364CB">
        <w:t xml:space="preserve"> </w:t>
      </w:r>
      <w:hyperlink r:id="rId11" w:history="1">
        <w:r w:rsidRPr="00482E89">
          <w:rPr>
            <w:rStyle w:val="Hyperlink"/>
          </w:rPr>
          <w:t>http://cordis.europa.eu/project/rcn/207243_en.html</w:t>
        </w:r>
      </w:hyperlink>
      <w:r>
        <w:t xml:space="preserve"> </w:t>
      </w:r>
    </w:p>
  </w:footnote>
  <w:footnote w:id="54">
    <w:p w14:paraId="674773C5" w14:textId="5F198510" w:rsidR="00F76020" w:rsidRPr="00B364CB" w:rsidRDefault="00F76020">
      <w:pPr>
        <w:pStyle w:val="FootnoteText"/>
      </w:pPr>
      <w:r w:rsidRPr="00B364CB">
        <w:rPr>
          <w:rStyle w:val="FootnoteReference"/>
        </w:rPr>
        <w:footnoteRef/>
      </w:r>
      <w:r w:rsidRPr="00B364CB">
        <w:t xml:space="preserve"> </w:t>
      </w:r>
      <w:hyperlink r:id="rId12" w:history="1">
        <w:r w:rsidRPr="00482E89">
          <w:rPr>
            <w:rStyle w:val="Hyperlink"/>
          </w:rPr>
          <w:t>http://cordis.europa.eu/project/rcn/199464_en.html</w:t>
        </w:r>
      </w:hyperlink>
      <w:r>
        <w:t xml:space="preserve"> </w:t>
      </w:r>
    </w:p>
  </w:footnote>
  <w:footnote w:id="55">
    <w:p w14:paraId="6B1CFE3B" w14:textId="03DF864C" w:rsidR="00F76020" w:rsidRDefault="00F76020">
      <w:pPr>
        <w:pStyle w:val="FootnoteText"/>
      </w:pPr>
      <w:r>
        <w:rPr>
          <w:rStyle w:val="FootnoteReference"/>
        </w:rPr>
        <w:footnoteRef/>
      </w:r>
      <w:r>
        <w:t xml:space="preserve"> See Annex 7 </w:t>
      </w:r>
    </w:p>
  </w:footnote>
  <w:footnote w:id="56">
    <w:p w14:paraId="78D94573" w14:textId="7112A986" w:rsidR="00F76020" w:rsidRPr="00B364CB" w:rsidRDefault="00F76020">
      <w:pPr>
        <w:pStyle w:val="FootnoteText"/>
      </w:pPr>
      <w:r w:rsidRPr="00B364CB">
        <w:rPr>
          <w:rStyle w:val="FootnoteReference"/>
        </w:rPr>
        <w:footnoteRef/>
      </w:r>
      <w:r w:rsidRPr="00B364CB">
        <w:t xml:space="preserve"> The Future of Hydrogen, </w:t>
      </w:r>
      <w:r>
        <w:t xml:space="preserve">IEA, </w:t>
      </w:r>
      <w:r w:rsidRPr="00B364CB">
        <w:t>2019</w:t>
      </w:r>
    </w:p>
  </w:footnote>
  <w:footnote w:id="57">
    <w:p w14:paraId="23F02B1C" w14:textId="00C587E7" w:rsidR="00F76020" w:rsidRPr="00B364CB" w:rsidRDefault="00F76020">
      <w:pPr>
        <w:pStyle w:val="FootnoteText"/>
      </w:pPr>
      <w:r w:rsidRPr="00B364CB">
        <w:rPr>
          <w:rStyle w:val="FootnoteReference"/>
        </w:rPr>
        <w:footnoteRef/>
      </w:r>
      <w:r w:rsidRPr="00B364CB">
        <w:t xml:space="preserve"> </w:t>
      </w:r>
      <w:hyperlink r:id="rId13" w:history="1">
        <w:r w:rsidRPr="00B364CB">
          <w:rPr>
            <w:rStyle w:val="Hyperlink"/>
          </w:rPr>
          <w:t>https://www.energynetworks.org/creating-tomorrows-networks/gas-goes-green</w:t>
        </w:r>
      </w:hyperlink>
      <w:r w:rsidRPr="00B364CB">
        <w:t xml:space="preserve"> </w:t>
      </w:r>
    </w:p>
  </w:footnote>
  <w:footnote w:id="58">
    <w:p w14:paraId="2217DC3F" w14:textId="051DBED9" w:rsidR="00F76020" w:rsidRPr="00B364CB" w:rsidRDefault="00F76020">
      <w:pPr>
        <w:pStyle w:val="FootnoteText"/>
      </w:pPr>
      <w:r w:rsidRPr="00B364CB">
        <w:rPr>
          <w:rStyle w:val="FootnoteReference"/>
        </w:rPr>
        <w:footnoteRef/>
      </w:r>
      <w:r w:rsidRPr="00B364CB">
        <w:t xml:space="preserve"> </w:t>
      </w:r>
      <w:hyperlink r:id="rId14" w:history="1">
        <w:r w:rsidRPr="00482E89">
          <w:rPr>
            <w:rStyle w:val="Hyperlink"/>
          </w:rPr>
          <w:t>https://cordis.europa.eu/project/rcn/219835/factsheet/en</w:t>
        </w:r>
      </w:hyperlink>
      <w:r>
        <w:t xml:space="preserve"> </w:t>
      </w:r>
    </w:p>
  </w:footnote>
  <w:footnote w:id="59">
    <w:p w14:paraId="63AB5353" w14:textId="592B6927" w:rsidR="00F76020" w:rsidRPr="00B364CB" w:rsidRDefault="00F76020">
      <w:pPr>
        <w:pStyle w:val="FootnoteText"/>
      </w:pPr>
      <w:r w:rsidRPr="00B364CB">
        <w:rPr>
          <w:rStyle w:val="FootnoteReference"/>
        </w:rPr>
        <w:footnoteRef/>
      </w:r>
      <w:r w:rsidRPr="00B364CB">
        <w:t xml:space="preserve"> </w:t>
      </w:r>
      <w:hyperlink r:id="rId15" w:history="1">
        <w:r w:rsidRPr="00B364CB">
          <w:rPr>
            <w:rStyle w:val="Hyperlink"/>
          </w:rPr>
          <w:t>https://cordis.europa.eu/project/id/326974/reporting</w:t>
        </w:r>
      </w:hyperlink>
      <w:r w:rsidRPr="00B364CB">
        <w:t xml:space="preserve"> </w:t>
      </w:r>
    </w:p>
  </w:footnote>
  <w:footnote w:id="60">
    <w:p w14:paraId="0EC4A822" w14:textId="3B4D580C" w:rsidR="00F76020" w:rsidRDefault="00F76020">
      <w:pPr>
        <w:pStyle w:val="FootnoteText"/>
      </w:pPr>
      <w:r>
        <w:rPr>
          <w:rStyle w:val="FootnoteReference"/>
        </w:rPr>
        <w:footnoteRef/>
      </w:r>
      <w:r>
        <w:t xml:space="preserve"> The Commission is expected to propose specific policy measures in this direction in the upcoming </w:t>
      </w:r>
      <w:r w:rsidRPr="00DE6AFE">
        <w:t>Hydrogen and Gas markets Decarbonisation Package</w:t>
      </w:r>
      <w:r>
        <w:t>.</w:t>
      </w:r>
    </w:p>
  </w:footnote>
  <w:footnote w:id="61">
    <w:p w14:paraId="135C5A73" w14:textId="3F6FC8E9" w:rsidR="00F76020" w:rsidRDefault="00F76020">
      <w:pPr>
        <w:pStyle w:val="FootnoteText"/>
      </w:pPr>
      <w:r>
        <w:rPr>
          <w:rStyle w:val="FootnoteReference"/>
        </w:rPr>
        <w:footnoteRef/>
      </w:r>
      <w:r>
        <w:t xml:space="preserve"> The revised Directive on deployment of alternative fuels infrastructure </w:t>
      </w:r>
      <w:r w:rsidR="00396773">
        <w:t xml:space="preserve">(AFIR) </w:t>
      </w:r>
      <w:r>
        <w:t xml:space="preserve">requires Member States to ensure a minimum number of accessible hydrogen refuelling stations by 2030: (a) one HRS with a minimum 2 tonnes/day capacity and at least a 700 bar dispenser per 150 km along the TEN-T core, (b) at least HRS in each urban node, and (c) at least one liquid hydrogen HRS per 450 km. </w:t>
      </w:r>
      <w:r w:rsidR="00396773">
        <w:t>The JU</w:t>
      </w:r>
      <w:r w:rsidR="00396773" w:rsidRPr="00396773">
        <w:t xml:space="preserve"> </w:t>
      </w:r>
      <w:r w:rsidR="00396773">
        <w:t>will examine ways to support its implementation.</w:t>
      </w:r>
    </w:p>
  </w:footnote>
  <w:footnote w:id="62">
    <w:p w14:paraId="21BD7122" w14:textId="1C3277CF" w:rsidR="00F76020" w:rsidRPr="00120F40" w:rsidRDefault="00F76020">
      <w:pPr>
        <w:pStyle w:val="FootnoteText"/>
      </w:pPr>
      <w:r>
        <w:rPr>
          <w:rStyle w:val="FootnoteReference"/>
        </w:rPr>
        <w:footnoteRef/>
      </w:r>
      <w:r>
        <w:t xml:space="preserve"> Science for Policy Briefs: Assessment of Hydrogen Delivery Options, 2021, JRC</w:t>
      </w:r>
    </w:p>
  </w:footnote>
  <w:footnote w:id="63">
    <w:p w14:paraId="4DB0F167" w14:textId="6501F83C" w:rsidR="00F76020" w:rsidRPr="00184046" w:rsidRDefault="00F76020">
      <w:pPr>
        <w:pStyle w:val="FootnoteText"/>
      </w:pPr>
      <w:r>
        <w:rPr>
          <w:rStyle w:val="FootnoteReference"/>
        </w:rPr>
        <w:footnoteRef/>
      </w:r>
      <w:r>
        <w:t xml:space="preserve"> </w:t>
      </w:r>
      <w:r w:rsidRPr="00184046">
        <w:t>https://www.rag-austria.at/fileadmin/bilder/0_NEU_RAG_Austria_AG/Unternehmen/sunconversion_broschuere_engl_180907_fin.pdf</w:t>
      </w:r>
    </w:p>
  </w:footnote>
  <w:footnote w:id="64">
    <w:p w14:paraId="3A07C827" w14:textId="2E40A6D8" w:rsidR="0077547E" w:rsidRPr="009D23C2" w:rsidRDefault="0077547E">
      <w:pPr>
        <w:pStyle w:val="FootnoteText"/>
        <w:rPr>
          <w:lang w:val="pt-PT"/>
        </w:rPr>
      </w:pPr>
      <w:r>
        <w:rPr>
          <w:rStyle w:val="FootnoteReference"/>
        </w:rPr>
        <w:footnoteRef/>
      </w:r>
      <w:r>
        <w:t xml:space="preserve"> </w:t>
      </w:r>
      <w:r w:rsidR="00D77D62">
        <w:t xml:space="preserve">Proposal for Regulation “Internal markets for renewable and natural gases and for hydrogen (recast)”. </w:t>
      </w:r>
      <w:r w:rsidR="00D77D62" w:rsidRPr="009D23C2">
        <w:rPr>
          <w:lang w:val="pt-PT"/>
        </w:rPr>
        <w:t>COM(2021) 804 final, December 2021.</w:t>
      </w:r>
    </w:p>
  </w:footnote>
  <w:footnote w:id="65">
    <w:p w14:paraId="5F099937" w14:textId="77777777" w:rsidR="00FA3557" w:rsidRPr="009D23C2" w:rsidRDefault="00FA3557" w:rsidP="00FA3557">
      <w:pPr>
        <w:pStyle w:val="FootnoteText"/>
        <w:rPr>
          <w:lang w:val="pt-PT"/>
        </w:rPr>
      </w:pPr>
      <w:r w:rsidRPr="00B364CB">
        <w:rPr>
          <w:rStyle w:val="FootnoteReference"/>
        </w:rPr>
        <w:footnoteRef/>
      </w:r>
      <w:r w:rsidRPr="009D23C2">
        <w:rPr>
          <w:lang w:val="pt-PT"/>
        </w:rPr>
        <w:t xml:space="preserve"> </w:t>
      </w:r>
      <w:hyperlink r:id="rId16" w:history="1">
        <w:r w:rsidRPr="009D23C2">
          <w:rPr>
            <w:rStyle w:val="Hyperlink"/>
            <w:lang w:val="pt-PT"/>
          </w:rPr>
          <w:t>https://hydeploy.co.uk/faqs/hydrogen-level-set-maximum-20/</w:t>
        </w:r>
      </w:hyperlink>
      <w:r w:rsidRPr="009D23C2">
        <w:rPr>
          <w:lang w:val="pt-PT"/>
        </w:rPr>
        <w:t xml:space="preserve"> </w:t>
      </w:r>
    </w:p>
  </w:footnote>
  <w:footnote w:id="66">
    <w:p w14:paraId="0E47B118" w14:textId="77777777" w:rsidR="00FA3557" w:rsidRPr="009D23C2" w:rsidRDefault="00FA3557" w:rsidP="00FA3557">
      <w:pPr>
        <w:pStyle w:val="FootnoteText"/>
        <w:rPr>
          <w:lang w:val="pt-PT"/>
        </w:rPr>
      </w:pPr>
      <w:r w:rsidRPr="00B364CB">
        <w:rPr>
          <w:rStyle w:val="FootnoteReference"/>
        </w:rPr>
        <w:footnoteRef/>
      </w:r>
      <w:r w:rsidRPr="009D23C2">
        <w:rPr>
          <w:lang w:val="pt-PT"/>
        </w:rPr>
        <w:t xml:space="preserve"> </w:t>
      </w:r>
      <w:hyperlink r:id="rId17" w:history="1">
        <w:r w:rsidRPr="009D23C2">
          <w:rPr>
            <w:rStyle w:val="Hyperlink"/>
            <w:lang w:val="pt-PT"/>
          </w:rPr>
          <w:t>https://www.nrel.gov/news/program/2020/hyblend-project-to-accelerate-potential-for-blending-hydrogen-in-natural-gas-pipelines.html</w:t>
        </w:r>
      </w:hyperlink>
      <w:r w:rsidRPr="009D23C2">
        <w:rPr>
          <w:lang w:val="pt-PT"/>
        </w:rPr>
        <w:t xml:space="preserve"> </w:t>
      </w:r>
    </w:p>
  </w:footnote>
  <w:footnote w:id="67">
    <w:p w14:paraId="720B8E25" w14:textId="0BD6EED2" w:rsidR="00F76020" w:rsidRPr="009D23C2" w:rsidRDefault="00F76020">
      <w:pPr>
        <w:pStyle w:val="FootnoteText"/>
        <w:rPr>
          <w:lang w:val="pt-PT"/>
        </w:rPr>
      </w:pPr>
      <w:r w:rsidRPr="00B364CB">
        <w:rPr>
          <w:rStyle w:val="FootnoteReference"/>
        </w:rPr>
        <w:footnoteRef/>
      </w:r>
      <w:r w:rsidRPr="009D23C2">
        <w:rPr>
          <w:lang w:val="pt-PT"/>
        </w:rPr>
        <w:t xml:space="preserve"> </w:t>
      </w:r>
      <w:hyperlink r:id="rId18" w:history="1">
        <w:r w:rsidRPr="009D23C2">
          <w:rPr>
            <w:rStyle w:val="Hyperlink"/>
            <w:lang w:val="pt-PT"/>
          </w:rPr>
          <w:t>https://www.h21.green/</w:t>
        </w:r>
      </w:hyperlink>
      <w:r w:rsidRPr="009D23C2">
        <w:rPr>
          <w:lang w:val="pt-PT"/>
        </w:rPr>
        <w:t xml:space="preserve"> </w:t>
      </w:r>
    </w:p>
  </w:footnote>
  <w:footnote w:id="68">
    <w:p w14:paraId="6391E575" w14:textId="2B0CBE9A" w:rsidR="00F76020" w:rsidRPr="009D23C2" w:rsidRDefault="00F76020">
      <w:pPr>
        <w:pStyle w:val="FootnoteText"/>
        <w:rPr>
          <w:lang w:val="pt-PT"/>
        </w:rPr>
      </w:pPr>
      <w:r w:rsidRPr="00B364CB">
        <w:rPr>
          <w:rStyle w:val="FootnoteReference"/>
        </w:rPr>
        <w:footnoteRef/>
      </w:r>
      <w:r w:rsidRPr="009D23C2">
        <w:rPr>
          <w:lang w:val="pt-PT"/>
        </w:rPr>
        <w:t xml:space="preserve"> </w:t>
      </w:r>
      <w:hyperlink r:id="rId19" w:history="1">
        <w:r w:rsidRPr="009D23C2">
          <w:rPr>
            <w:rStyle w:val="Hyperlink"/>
            <w:lang w:val="pt-PT"/>
          </w:rPr>
          <w:t>https://sgn.co.uk/about-us/future-of-gas/hydrogen/hydrogen-100</w:t>
        </w:r>
      </w:hyperlink>
      <w:r w:rsidRPr="009D23C2">
        <w:rPr>
          <w:lang w:val="pt-PT"/>
        </w:rPr>
        <w:t xml:space="preserve"> </w:t>
      </w:r>
    </w:p>
  </w:footnote>
  <w:footnote w:id="69">
    <w:p w14:paraId="5C0CEF51" w14:textId="20949C61" w:rsidR="00F76020" w:rsidRPr="009D23C2" w:rsidRDefault="00F76020">
      <w:pPr>
        <w:pStyle w:val="FootnoteText"/>
        <w:rPr>
          <w:lang w:val="pt-PT"/>
        </w:rPr>
      </w:pPr>
      <w:r w:rsidRPr="00B364CB">
        <w:rPr>
          <w:rStyle w:val="FootnoteReference"/>
        </w:rPr>
        <w:footnoteRef/>
      </w:r>
      <w:r w:rsidRPr="009D23C2">
        <w:rPr>
          <w:lang w:val="pt-PT"/>
        </w:rPr>
        <w:t xml:space="preserve"> </w:t>
      </w:r>
      <w:hyperlink r:id="rId20" w:history="1">
        <w:r w:rsidRPr="009D23C2">
          <w:rPr>
            <w:rStyle w:val="Hyperlink"/>
            <w:lang w:val="pt-PT"/>
          </w:rPr>
          <w:t>https://hynet.co.uk/</w:t>
        </w:r>
      </w:hyperlink>
      <w:r w:rsidRPr="009D23C2">
        <w:rPr>
          <w:lang w:val="pt-PT"/>
        </w:rPr>
        <w:t xml:space="preserve"> </w:t>
      </w:r>
    </w:p>
  </w:footnote>
  <w:footnote w:id="70">
    <w:p w14:paraId="541F3803" w14:textId="612F49FF" w:rsidR="00F76020" w:rsidRPr="009D23C2" w:rsidRDefault="00F76020">
      <w:pPr>
        <w:pStyle w:val="FootnoteText"/>
        <w:rPr>
          <w:lang w:val="pt-PT"/>
        </w:rPr>
      </w:pPr>
      <w:r w:rsidRPr="00B364CB">
        <w:rPr>
          <w:rStyle w:val="FootnoteReference"/>
        </w:rPr>
        <w:footnoteRef/>
      </w:r>
      <w:r w:rsidRPr="009D23C2">
        <w:rPr>
          <w:lang w:val="pt-PT"/>
        </w:rPr>
        <w:t xml:space="preserve"> </w:t>
      </w:r>
      <w:hyperlink r:id="rId21" w:history="1">
        <w:r w:rsidRPr="009D23C2">
          <w:rPr>
            <w:rStyle w:val="Hyperlink"/>
            <w:lang w:val="pt-PT"/>
          </w:rPr>
          <w:t>https://www.engie.com/en/businesses/gas/hydrogen/power-to-gas/the-grhyd-demonstration-project</w:t>
        </w:r>
      </w:hyperlink>
    </w:p>
  </w:footnote>
  <w:footnote w:id="71">
    <w:p w14:paraId="63CA8F44" w14:textId="28DEBE15" w:rsidR="00F76020" w:rsidRPr="009D23C2" w:rsidRDefault="00F76020">
      <w:pPr>
        <w:pStyle w:val="FootnoteText"/>
        <w:rPr>
          <w:lang w:val="pt-PT"/>
        </w:rPr>
      </w:pPr>
      <w:r w:rsidRPr="00B364CB">
        <w:rPr>
          <w:rStyle w:val="FootnoteReference"/>
        </w:rPr>
        <w:footnoteRef/>
      </w:r>
      <w:r w:rsidRPr="009D23C2">
        <w:rPr>
          <w:lang w:val="pt-PT"/>
        </w:rPr>
        <w:t xml:space="preserve"> </w:t>
      </w:r>
      <w:hyperlink r:id="rId22" w:history="1">
        <w:r w:rsidRPr="009D23C2">
          <w:rPr>
            <w:rStyle w:val="Hyperlink"/>
            <w:lang w:val="pt-PT"/>
          </w:rPr>
          <w:t>http://www.grtgaz.com/en/press/press-releases/news-details/article/hydrogene-lancement-du-projet-mosahyc.html</w:t>
        </w:r>
      </w:hyperlink>
      <w:r w:rsidRPr="009D23C2">
        <w:rPr>
          <w:lang w:val="pt-PT"/>
        </w:rPr>
        <w:t xml:space="preserve"> </w:t>
      </w:r>
    </w:p>
  </w:footnote>
  <w:footnote w:id="72">
    <w:p w14:paraId="288984AC" w14:textId="72FD36F8" w:rsidR="00F76020" w:rsidRPr="00481E60" w:rsidRDefault="00F76020">
      <w:pPr>
        <w:pStyle w:val="FootnoteText"/>
        <w:rPr>
          <w:lang w:val="pt-PT"/>
        </w:rPr>
      </w:pPr>
      <w:r w:rsidRPr="00B364CB">
        <w:rPr>
          <w:rStyle w:val="FootnoteReference"/>
        </w:rPr>
        <w:footnoteRef/>
      </w:r>
      <w:r w:rsidRPr="009D23C2">
        <w:rPr>
          <w:lang w:val="pt-PT"/>
        </w:rPr>
        <w:t xml:space="preserve"> </w:t>
      </w:r>
      <w:hyperlink r:id="rId23" w:history="1">
        <w:r w:rsidR="00481E60" w:rsidRPr="000675F1">
          <w:rPr>
            <w:rStyle w:val="Hyperlink"/>
            <w:lang w:val="pt-PT"/>
          </w:rPr>
          <w:t>https://www.gasunie.nl/en/news/gasunie-hydrogen-pipeline-from-dow-to-yara-brought-into-operation</w:t>
        </w:r>
      </w:hyperlink>
      <w:r w:rsidR="00481E60">
        <w:rPr>
          <w:lang w:val="pt-PT"/>
        </w:rPr>
        <w:t xml:space="preserve"> </w:t>
      </w:r>
    </w:p>
  </w:footnote>
  <w:footnote w:id="73">
    <w:p w14:paraId="752B690D" w14:textId="176BCF57" w:rsidR="00F76020" w:rsidRPr="009D23C2" w:rsidRDefault="00F76020">
      <w:pPr>
        <w:pStyle w:val="FootnoteText"/>
        <w:rPr>
          <w:lang w:val="pt-PT"/>
        </w:rPr>
      </w:pPr>
      <w:r>
        <w:rPr>
          <w:rStyle w:val="FootnoteReference"/>
        </w:rPr>
        <w:footnoteRef/>
      </w:r>
      <w:r w:rsidRPr="009D23C2">
        <w:rPr>
          <w:lang w:val="pt-PT"/>
        </w:rPr>
        <w:t xml:space="preserve"> </w:t>
      </w:r>
      <w:hyperlink r:id="rId24" w:history="1">
        <w:r w:rsidR="00715A2D" w:rsidRPr="009D23C2">
          <w:rPr>
            <w:rStyle w:val="Hyperlink"/>
            <w:lang w:val="pt-PT"/>
          </w:rPr>
          <w:t>https://www.gasunie.nl/en/news/europes-largest-green-hydrogen-project-starts-in-groningen</w:t>
        </w:r>
      </w:hyperlink>
      <w:r w:rsidR="00715A2D" w:rsidRPr="009D23C2">
        <w:rPr>
          <w:lang w:val="pt-PT"/>
        </w:rPr>
        <w:t xml:space="preserve"> </w:t>
      </w:r>
    </w:p>
  </w:footnote>
  <w:footnote w:id="74">
    <w:p w14:paraId="1B5B06A7" w14:textId="753F952C" w:rsidR="00715A2D" w:rsidRPr="009D23C2" w:rsidRDefault="00715A2D" w:rsidP="00715A2D">
      <w:pPr>
        <w:pStyle w:val="FootnoteText"/>
        <w:rPr>
          <w:lang w:val="pt-PT"/>
        </w:rPr>
      </w:pPr>
      <w:r>
        <w:rPr>
          <w:rStyle w:val="FootnoteReference"/>
        </w:rPr>
        <w:footnoteRef/>
      </w:r>
      <w:r w:rsidRPr="009D23C2">
        <w:rPr>
          <w:lang w:val="pt-PT"/>
        </w:rPr>
        <w:t xml:space="preserve"> </w:t>
      </w:r>
      <w:hyperlink r:id="rId25" w:history="1">
        <w:r w:rsidRPr="009D23C2">
          <w:rPr>
            <w:rStyle w:val="Hyperlink"/>
            <w:lang w:val="pt-PT"/>
          </w:rPr>
          <w:t>https://gasforclimate2050.eu/news-item/european-hydrogen-backbone-grows-to-40000-km/</w:t>
        </w:r>
      </w:hyperlink>
      <w:r w:rsidRPr="009D23C2">
        <w:rPr>
          <w:lang w:val="pt-PT"/>
        </w:rPr>
        <w:t xml:space="preserve"> </w:t>
      </w:r>
    </w:p>
  </w:footnote>
  <w:footnote w:id="75">
    <w:p w14:paraId="75DFF11C" w14:textId="0A0B5457" w:rsidR="00F76020" w:rsidRPr="009D23C2" w:rsidRDefault="00F76020">
      <w:pPr>
        <w:pStyle w:val="FootnoteText"/>
        <w:rPr>
          <w:lang w:val="pt-PT"/>
        </w:rPr>
      </w:pPr>
      <w:r w:rsidRPr="00B364CB">
        <w:rPr>
          <w:rStyle w:val="FootnoteReference"/>
        </w:rPr>
        <w:footnoteRef/>
      </w:r>
      <w:r w:rsidRPr="009D23C2">
        <w:rPr>
          <w:lang w:val="pt-PT"/>
        </w:rPr>
        <w:t xml:space="preserve"> </w:t>
      </w:r>
      <w:hyperlink r:id="rId26" w:history="1">
        <w:r w:rsidR="00481E60" w:rsidRPr="000675F1">
          <w:rPr>
            <w:rStyle w:val="Hyperlink"/>
            <w:lang w:val="pt-PT"/>
          </w:rPr>
          <w:t>https://cordis.europa.eu/project/rcn/213080_en.html</w:t>
        </w:r>
      </w:hyperlink>
      <w:r w:rsidR="00481E60">
        <w:rPr>
          <w:lang w:val="pt-PT"/>
        </w:rPr>
        <w:t xml:space="preserve"> </w:t>
      </w:r>
    </w:p>
  </w:footnote>
  <w:footnote w:id="76">
    <w:p w14:paraId="7529BE16" w14:textId="6367EAC4" w:rsidR="00F76020" w:rsidRPr="009D23C2" w:rsidRDefault="00F76020">
      <w:pPr>
        <w:pStyle w:val="FootnoteText"/>
        <w:rPr>
          <w:lang w:val="pt-PT"/>
        </w:rPr>
      </w:pPr>
      <w:r>
        <w:rPr>
          <w:rStyle w:val="FootnoteReference"/>
        </w:rPr>
        <w:footnoteRef/>
      </w:r>
      <w:r w:rsidRPr="009D23C2">
        <w:rPr>
          <w:lang w:val="pt-PT"/>
        </w:rPr>
        <w:t xml:space="preserve"> https://ec.europa.eu/jrc/sites/default/files/jrc124206_assessment_of_hydrogen_delivery_options.pdf</w:t>
      </w:r>
    </w:p>
  </w:footnote>
  <w:footnote w:id="77">
    <w:p w14:paraId="0D30815B" w14:textId="66B75C78" w:rsidR="00F76020" w:rsidRPr="009D23C2" w:rsidRDefault="00F76020">
      <w:pPr>
        <w:pStyle w:val="FootnoteText"/>
        <w:rPr>
          <w:lang w:val="pt-PT"/>
        </w:rPr>
      </w:pPr>
    </w:p>
  </w:footnote>
  <w:footnote w:id="78">
    <w:p w14:paraId="4F20B5A5" w14:textId="1EB9DB6A" w:rsidR="00F76020" w:rsidRPr="009D23C2" w:rsidRDefault="00F76020">
      <w:pPr>
        <w:pStyle w:val="FootnoteText"/>
        <w:rPr>
          <w:lang w:val="pt-PT"/>
        </w:rPr>
      </w:pPr>
      <w:r w:rsidRPr="00B364CB">
        <w:rPr>
          <w:rStyle w:val="FootnoteReference"/>
        </w:rPr>
        <w:footnoteRef/>
      </w:r>
      <w:r w:rsidRPr="009D23C2">
        <w:rPr>
          <w:lang w:val="pt-PT"/>
        </w:rPr>
        <w:t xml:space="preserve"> </w:t>
      </w:r>
      <w:hyperlink r:id="rId27" w:history="1">
        <w:r w:rsidRPr="009D23C2">
          <w:rPr>
            <w:rStyle w:val="Hyperlink"/>
            <w:lang w:val="pt-PT"/>
          </w:rPr>
          <w:t>https://global.kawasaki.com/en/corp/newsroom/news/detail/?f=20191211_3487</w:t>
        </w:r>
      </w:hyperlink>
      <w:r w:rsidRPr="009D23C2">
        <w:rPr>
          <w:lang w:val="pt-PT"/>
        </w:rPr>
        <w:t xml:space="preserve"> </w:t>
      </w:r>
    </w:p>
  </w:footnote>
  <w:footnote w:id="79">
    <w:p w14:paraId="7AFD7011" w14:textId="3A8D1B44" w:rsidR="00F76020" w:rsidRPr="0088779F" w:rsidRDefault="00F76020" w:rsidP="00C63E21">
      <w:pPr>
        <w:pStyle w:val="FootnoteText"/>
        <w:rPr>
          <w:lang w:val="pt-PT"/>
        </w:rPr>
      </w:pPr>
      <w:r w:rsidRPr="00B364CB">
        <w:rPr>
          <w:rStyle w:val="FootnoteReference"/>
        </w:rPr>
        <w:footnoteRef/>
      </w:r>
      <w:r w:rsidRPr="009D23C2">
        <w:rPr>
          <w:lang w:val="pt-PT"/>
        </w:rPr>
        <w:t xml:space="preserve"> </w:t>
      </w:r>
      <w:hyperlink r:id="rId28" w:history="1">
        <w:r w:rsidR="0088779F" w:rsidRPr="000675F1">
          <w:rPr>
            <w:rStyle w:val="Hyperlink"/>
            <w:lang w:val="pt-PT"/>
          </w:rPr>
          <w:t>http://cordis.europa.eu/project/rcn/198235_en.html</w:t>
        </w:r>
      </w:hyperlink>
      <w:r w:rsidR="0088779F">
        <w:rPr>
          <w:lang w:val="pt-PT"/>
        </w:rPr>
        <w:t xml:space="preserve"> </w:t>
      </w:r>
    </w:p>
  </w:footnote>
  <w:footnote w:id="80">
    <w:p w14:paraId="38AA9C10" w14:textId="77777777" w:rsidR="00F76020" w:rsidRPr="00B364CB" w:rsidRDefault="00F76020" w:rsidP="00C63E21">
      <w:pPr>
        <w:pStyle w:val="FootnoteText"/>
      </w:pPr>
      <w:r w:rsidRPr="00B364CB">
        <w:rPr>
          <w:rStyle w:val="FootnoteReference"/>
        </w:rPr>
        <w:footnoteRef/>
      </w:r>
      <w:r w:rsidRPr="00B364CB">
        <w:t xml:space="preserve"> </w:t>
      </w:r>
      <w:hyperlink r:id="rId29" w:history="1">
        <w:r w:rsidRPr="0015530E">
          <w:rPr>
            <w:rStyle w:val="Hyperlink"/>
          </w:rPr>
          <w:t>Development of a Metering Protocol for Hydrogen Refuelling Stations</w:t>
        </w:r>
      </w:hyperlink>
      <w:r>
        <w:t>, FCH 2 JU, 2018</w:t>
      </w:r>
    </w:p>
  </w:footnote>
  <w:footnote w:id="81">
    <w:p w14:paraId="482CDC1D" w14:textId="4DC2228D" w:rsidR="00F76020" w:rsidRPr="00B364CB" w:rsidRDefault="00F76020" w:rsidP="00C63E21">
      <w:pPr>
        <w:pStyle w:val="FootnoteText"/>
      </w:pPr>
      <w:r w:rsidRPr="00B364CB">
        <w:rPr>
          <w:rStyle w:val="FootnoteReference"/>
        </w:rPr>
        <w:footnoteRef/>
      </w:r>
      <w:r w:rsidRPr="00B364CB">
        <w:t xml:space="preserve"> </w:t>
      </w:r>
      <w:hyperlink r:id="rId30" w:history="1">
        <w:r w:rsidRPr="00482E89">
          <w:rPr>
            <w:rStyle w:val="Hyperlink"/>
          </w:rPr>
          <w:t>http://cordis.europa.eu/project/rcn/204284_en.html</w:t>
        </w:r>
      </w:hyperlink>
      <w:r>
        <w:t xml:space="preserve"> </w:t>
      </w:r>
      <w:r w:rsidRPr="008810A3" w:rsidDel="008810A3">
        <w:t xml:space="preserve"> </w:t>
      </w:r>
      <w:r>
        <w:t xml:space="preserve"> </w:t>
      </w:r>
    </w:p>
  </w:footnote>
  <w:footnote w:id="82">
    <w:p w14:paraId="7C0522A4" w14:textId="2BB4481A" w:rsidR="00F76020" w:rsidRPr="00B364CB" w:rsidRDefault="00F76020" w:rsidP="00C63E21">
      <w:pPr>
        <w:pStyle w:val="FootnoteText"/>
      </w:pPr>
      <w:r w:rsidRPr="00B364CB">
        <w:rPr>
          <w:rStyle w:val="FootnoteReference"/>
        </w:rPr>
        <w:footnoteRef/>
      </w:r>
      <w:r w:rsidRPr="00B364CB">
        <w:t xml:space="preserve"> </w:t>
      </w:r>
      <w:hyperlink r:id="rId31" w:history="1">
        <w:r w:rsidRPr="00482E89">
          <w:rPr>
            <w:rStyle w:val="Hyperlink"/>
          </w:rPr>
          <w:t>http://cordis.europa.eu/project/rcn/207240_en.html</w:t>
        </w:r>
      </w:hyperlink>
      <w:r>
        <w:t xml:space="preserve"> </w:t>
      </w:r>
      <w:r w:rsidRPr="008810A3" w:rsidDel="008810A3">
        <w:t xml:space="preserve"> </w:t>
      </w:r>
    </w:p>
  </w:footnote>
  <w:footnote w:id="83">
    <w:p w14:paraId="15F48DB6" w14:textId="44D0C542" w:rsidR="00F76020" w:rsidRPr="00B70874" w:rsidRDefault="00F76020">
      <w:pPr>
        <w:pStyle w:val="FootnoteText"/>
      </w:pPr>
      <w:r>
        <w:rPr>
          <w:rStyle w:val="FootnoteReference"/>
        </w:rPr>
        <w:footnoteRef/>
      </w:r>
      <w:r>
        <w:t xml:space="preserve"> </w:t>
      </w:r>
      <w:hyperlink r:id="rId32" w:history="1">
        <w:r w:rsidRPr="00177986">
          <w:rPr>
            <w:rStyle w:val="Hyperlink"/>
          </w:rPr>
          <w:t>https://ec.europa.eu/info/files/european-partnership-metrology_en</w:t>
        </w:r>
      </w:hyperlink>
      <w:r>
        <w:t xml:space="preserve"> </w:t>
      </w:r>
    </w:p>
  </w:footnote>
  <w:footnote w:id="84">
    <w:p w14:paraId="5B695DFA" w14:textId="31472BBE" w:rsidR="00F76020" w:rsidRPr="00B364CB" w:rsidRDefault="00F76020" w:rsidP="003E3ED4">
      <w:pPr>
        <w:pStyle w:val="FootnoteText"/>
      </w:pPr>
      <w:r w:rsidRPr="00B364CB">
        <w:rPr>
          <w:rStyle w:val="FootnoteReference"/>
        </w:rPr>
        <w:footnoteRef/>
      </w:r>
      <w:r w:rsidRPr="00B364CB">
        <w:t xml:space="preserve"> </w:t>
      </w:r>
      <w:hyperlink r:id="rId33" w:history="1">
        <w:r w:rsidRPr="0015530E">
          <w:rPr>
            <w:rStyle w:val="Hyperlink"/>
          </w:rPr>
          <w:t>Study on fuel cells hydrogen trucks</w:t>
        </w:r>
      </w:hyperlink>
      <w:r w:rsidRPr="007917A3">
        <w:t xml:space="preserve">, </w:t>
      </w:r>
      <w:r>
        <w:t>FCH 2 JU, 2020</w:t>
      </w:r>
      <w:r w:rsidRPr="00B364CB">
        <w:t xml:space="preserve"> </w:t>
      </w:r>
    </w:p>
  </w:footnote>
  <w:footnote w:id="85">
    <w:p w14:paraId="0F8A242D" w14:textId="6F3C0CBD" w:rsidR="00F76020" w:rsidRPr="00B364CB" w:rsidRDefault="00F76020">
      <w:pPr>
        <w:pStyle w:val="FootnoteText"/>
      </w:pPr>
      <w:r w:rsidRPr="00B364CB">
        <w:rPr>
          <w:rStyle w:val="FootnoteReference"/>
        </w:rPr>
        <w:footnoteRef/>
      </w:r>
      <w:r w:rsidRPr="00B364CB">
        <w:t xml:space="preserve"> </w:t>
      </w:r>
      <w:hyperlink r:id="rId34" w:history="1">
        <w:r w:rsidRPr="00482E89">
          <w:rPr>
            <w:rStyle w:val="Hyperlink"/>
          </w:rPr>
          <w:t>http://cordis.europa.eu/project/rcn/198091_en.html</w:t>
        </w:r>
      </w:hyperlink>
      <w:r>
        <w:t xml:space="preserve"> </w:t>
      </w:r>
      <w:r w:rsidRPr="0015530E" w:rsidDel="0015530E">
        <w:t xml:space="preserve"> </w:t>
      </w:r>
      <w:r>
        <w:t xml:space="preserve">  </w:t>
      </w:r>
    </w:p>
  </w:footnote>
  <w:footnote w:id="86">
    <w:p w14:paraId="0D51FC38" w14:textId="636C684B" w:rsidR="00F76020" w:rsidRDefault="00F76020">
      <w:pPr>
        <w:pStyle w:val="FootnoteText"/>
      </w:pPr>
      <w:r>
        <w:rPr>
          <w:rStyle w:val="FootnoteReference"/>
        </w:rPr>
        <w:footnoteRef/>
      </w:r>
      <w:r>
        <w:t xml:space="preserve"> See </w:t>
      </w:r>
      <w:hyperlink r:id="rId35" w:history="1">
        <w:r w:rsidRPr="00467AE0">
          <w:rPr>
            <w:rStyle w:val="Hyperlink"/>
          </w:rPr>
          <w:t>Chapter 1 – Technology &amp; Market Report 2021</w:t>
        </w:r>
      </w:hyperlink>
      <w:r>
        <w:t>, FCHO.</w:t>
      </w:r>
    </w:p>
  </w:footnote>
  <w:footnote w:id="87">
    <w:p w14:paraId="71580682" w14:textId="707345D7" w:rsidR="00F76020" w:rsidRDefault="00F76020">
      <w:pPr>
        <w:pStyle w:val="FootnoteText"/>
      </w:pPr>
      <w:r>
        <w:rPr>
          <w:rStyle w:val="FootnoteReference"/>
        </w:rPr>
        <w:footnoteRef/>
      </w:r>
      <w:r>
        <w:t xml:space="preserve"> E</w:t>
      </w:r>
      <w:r w:rsidRPr="000E0534">
        <w:t>nsuring a level playing field for sustainable air transport</w:t>
      </w:r>
      <w:r>
        <w:t>. COM(2021) 561 final.</w:t>
      </w:r>
    </w:p>
  </w:footnote>
  <w:footnote w:id="88">
    <w:p w14:paraId="794E1CDB" w14:textId="5871608D" w:rsidR="00F76020" w:rsidRPr="0089052C" w:rsidRDefault="00F76020" w:rsidP="0089052C">
      <w:pPr>
        <w:pStyle w:val="FootnoteText"/>
      </w:pPr>
      <w:r>
        <w:rPr>
          <w:rStyle w:val="FootnoteReference"/>
        </w:rPr>
        <w:footnoteRef/>
      </w:r>
      <w:r>
        <w:t xml:space="preserve"> The module includes </w:t>
      </w:r>
      <w:r w:rsidRPr="0089052C">
        <w:t>Fuel cell stack</w:t>
      </w:r>
      <w:r>
        <w:t xml:space="preserve">, </w:t>
      </w:r>
      <w:r w:rsidRPr="0089052C">
        <w:t>hydrogen supply of the FC system (e.g. inlet</w:t>
      </w:r>
      <w:r>
        <w:t xml:space="preserve"> </w:t>
      </w:r>
      <w:r w:rsidRPr="0089052C">
        <w:t xml:space="preserve">valve), </w:t>
      </w:r>
    </w:p>
    <w:p w14:paraId="7EFACB95" w14:textId="1CB575C6" w:rsidR="00F76020" w:rsidRDefault="00F76020" w:rsidP="0089052C">
      <w:pPr>
        <w:pStyle w:val="FootnoteText"/>
      </w:pPr>
      <w:r w:rsidRPr="0089052C">
        <w:t>air compressor,</w:t>
      </w:r>
      <w:r>
        <w:t xml:space="preserve"> </w:t>
      </w:r>
      <w:r w:rsidRPr="0089052C">
        <w:t>cooling system,</w:t>
      </w:r>
      <w:r>
        <w:t xml:space="preserve"> </w:t>
      </w:r>
      <w:r w:rsidRPr="0089052C">
        <w:t>power electronics</w:t>
      </w:r>
      <w:r w:rsidR="007E4A07">
        <w:t xml:space="preserve">, </w:t>
      </w:r>
      <w:r w:rsidRPr="0089052C">
        <w:t>control unit</w:t>
      </w:r>
      <w:r>
        <w:t>.</w:t>
      </w:r>
    </w:p>
  </w:footnote>
  <w:footnote w:id="89">
    <w:p w14:paraId="35437D73" w14:textId="3C8C1E26" w:rsidR="00F76020" w:rsidRDefault="00F76020">
      <w:pPr>
        <w:pStyle w:val="FootnoteText"/>
      </w:pPr>
      <w:r>
        <w:rPr>
          <w:rStyle w:val="FootnoteReference"/>
        </w:rPr>
        <w:footnoteRef/>
      </w:r>
      <w:r>
        <w:t xml:space="preserve"> IEA “</w:t>
      </w:r>
      <w:r w:rsidRPr="00B2600C">
        <w:t>Global EV Outlook 2021</w:t>
      </w:r>
      <w:r>
        <w:t xml:space="preserve">” </w:t>
      </w:r>
      <w:hyperlink r:id="rId36" w:history="1">
        <w:r w:rsidRPr="00F9648A">
          <w:rPr>
            <w:rStyle w:val="Hyperlink"/>
          </w:rPr>
          <w:t>https://www.iea.org/reports/global-ev-outlook-2021</w:t>
        </w:r>
      </w:hyperlink>
      <w:r>
        <w:t>, global FCEV stock 34.800 units.</w:t>
      </w:r>
    </w:p>
  </w:footnote>
  <w:footnote w:id="90">
    <w:p w14:paraId="7738C700" w14:textId="42F6FE50" w:rsidR="00F76020" w:rsidRPr="00E4788A" w:rsidRDefault="00F76020">
      <w:pPr>
        <w:pStyle w:val="FootnoteText"/>
      </w:pPr>
      <w:r>
        <w:rPr>
          <w:rStyle w:val="FootnoteReference"/>
        </w:rPr>
        <w:footnoteRef/>
      </w:r>
      <w:r>
        <w:t xml:space="preserve"> </w:t>
      </w:r>
      <w:hyperlink r:id="rId37" w:history="1">
        <w:r w:rsidRPr="00B364CB">
          <w:rPr>
            <w:rStyle w:val="Hyperlink"/>
          </w:rPr>
          <w:t>https://cordis.europa.eu/project/id/256848</w:t>
        </w:r>
      </w:hyperlink>
    </w:p>
  </w:footnote>
  <w:footnote w:id="91">
    <w:p w14:paraId="26E83E6B" w14:textId="7D23D76F" w:rsidR="00F76020" w:rsidRPr="00B364CB" w:rsidRDefault="00F76020">
      <w:pPr>
        <w:pStyle w:val="FootnoteText"/>
      </w:pPr>
      <w:r w:rsidRPr="00B364CB">
        <w:rPr>
          <w:rStyle w:val="FootnoteReference"/>
        </w:rPr>
        <w:footnoteRef/>
      </w:r>
      <w:r w:rsidRPr="00B364CB">
        <w:t xml:space="preserve"> </w:t>
      </w:r>
      <w:hyperlink r:id="rId38" w:history="1">
        <w:r w:rsidRPr="00482E89">
          <w:rPr>
            <w:rStyle w:val="Hyperlink"/>
          </w:rPr>
          <w:t>http://cordis.europa.eu/project/rcn/197067_en.html</w:t>
        </w:r>
      </w:hyperlink>
      <w:r>
        <w:t xml:space="preserve"> </w:t>
      </w:r>
    </w:p>
  </w:footnote>
  <w:footnote w:id="92">
    <w:p w14:paraId="58267BA0" w14:textId="366BA186" w:rsidR="00F76020" w:rsidRPr="00B364CB" w:rsidRDefault="00F76020" w:rsidP="00D50024">
      <w:pPr>
        <w:pStyle w:val="FootnoteText"/>
      </w:pPr>
      <w:r w:rsidRPr="00B364CB">
        <w:rPr>
          <w:rStyle w:val="FootnoteReference"/>
        </w:rPr>
        <w:footnoteRef/>
      </w:r>
      <w:r w:rsidRPr="00B364CB">
        <w:t xml:space="preserve"> Energy, transport and environment statistics, </w:t>
      </w:r>
      <w:r>
        <w:t xml:space="preserve">Eurostat, </w:t>
      </w:r>
      <w:r w:rsidRPr="00B364CB">
        <w:t>2019</w:t>
      </w:r>
    </w:p>
  </w:footnote>
  <w:footnote w:id="93">
    <w:p w14:paraId="57618D27" w14:textId="79B8E268" w:rsidR="00F76020" w:rsidRPr="00B364CB" w:rsidRDefault="00F76020" w:rsidP="00D50024">
      <w:pPr>
        <w:pStyle w:val="FootnoteText"/>
      </w:pPr>
      <w:r w:rsidRPr="00B364CB">
        <w:rPr>
          <w:rStyle w:val="FootnoteReference"/>
        </w:rPr>
        <w:footnoteRef/>
      </w:r>
      <w:r w:rsidRPr="00B364CB">
        <w:t xml:space="preserve"> </w:t>
      </w:r>
      <w:hyperlink r:id="rId39" w:history="1">
        <w:r w:rsidRPr="00A87FBC">
          <w:rPr>
            <w:rStyle w:val="Hyperlink"/>
          </w:rPr>
          <w:t>Carbon dioxide emissions from Europe's heavy-duty vehicles</w:t>
        </w:r>
      </w:hyperlink>
      <w:r>
        <w:t xml:space="preserve">, </w:t>
      </w:r>
      <w:r w:rsidRPr="00B364CB">
        <w:t xml:space="preserve">European Environment Agency, </w:t>
      </w:r>
      <w:r>
        <w:t>2020</w:t>
      </w:r>
    </w:p>
  </w:footnote>
  <w:footnote w:id="94">
    <w:p w14:paraId="698EC8B7" w14:textId="3E092044" w:rsidR="00F76020" w:rsidRPr="00B364CB" w:rsidRDefault="00F76020" w:rsidP="005E4983">
      <w:pPr>
        <w:pStyle w:val="FootnoteText"/>
      </w:pPr>
      <w:r w:rsidRPr="00B364CB">
        <w:rPr>
          <w:rStyle w:val="FootnoteReference"/>
        </w:rPr>
        <w:footnoteRef/>
      </w:r>
      <w:r w:rsidRPr="00B364CB">
        <w:t xml:space="preserve"> </w:t>
      </w:r>
      <w:hyperlink r:id="rId40" w:history="1">
        <w:r w:rsidRPr="0015530E">
          <w:rPr>
            <w:rStyle w:val="Hyperlink"/>
          </w:rPr>
          <w:t>Study on fuel cells hydrogen trucks</w:t>
        </w:r>
      </w:hyperlink>
      <w:r w:rsidRPr="00A17F30">
        <w:t xml:space="preserve">, </w:t>
      </w:r>
      <w:r>
        <w:t>FCH 2 JU, 2020</w:t>
      </w:r>
      <w:r w:rsidRPr="00B364CB">
        <w:t xml:space="preserve"> </w:t>
      </w:r>
    </w:p>
  </w:footnote>
  <w:footnote w:id="95">
    <w:p w14:paraId="25B6FC42" w14:textId="7F27B793" w:rsidR="00F76020" w:rsidRPr="00B364CB" w:rsidRDefault="00F76020" w:rsidP="005E4983">
      <w:pPr>
        <w:pStyle w:val="FootnoteText"/>
      </w:pPr>
      <w:r w:rsidRPr="00B364CB">
        <w:rPr>
          <w:rStyle w:val="FootnoteReference"/>
        </w:rPr>
        <w:footnoteRef/>
      </w:r>
      <w:r w:rsidRPr="00B364CB">
        <w:t xml:space="preserve"> </w:t>
      </w:r>
      <w:hyperlink r:id="rId41" w:history="1">
        <w:r w:rsidRPr="00482E89">
          <w:rPr>
            <w:rStyle w:val="Hyperlink"/>
          </w:rPr>
          <w:t>https://cordis.europa.eu/project/id/826236</w:t>
        </w:r>
      </w:hyperlink>
      <w:r>
        <w:t xml:space="preserve"> </w:t>
      </w:r>
    </w:p>
  </w:footnote>
  <w:footnote w:id="96">
    <w:p w14:paraId="77F83967" w14:textId="31BA91AB" w:rsidR="00F76020" w:rsidRPr="00B364CB" w:rsidRDefault="00F76020" w:rsidP="005E4983">
      <w:pPr>
        <w:pStyle w:val="FootnoteText"/>
      </w:pPr>
      <w:r w:rsidRPr="00B364CB">
        <w:rPr>
          <w:rStyle w:val="FootnoteReference"/>
        </w:rPr>
        <w:footnoteRef/>
      </w:r>
      <w:r w:rsidRPr="00B364CB">
        <w:t xml:space="preserve"> </w:t>
      </w:r>
      <w:hyperlink r:id="rId42" w:history="1">
        <w:r w:rsidRPr="00482E89">
          <w:rPr>
            <w:rStyle w:val="Hyperlink"/>
          </w:rPr>
          <w:t>https://cordis.europa.eu/project/rcn/213073/factsheet/en</w:t>
        </w:r>
      </w:hyperlink>
      <w:r>
        <w:t xml:space="preserve"> </w:t>
      </w:r>
    </w:p>
  </w:footnote>
  <w:footnote w:id="97">
    <w:p w14:paraId="08BF24EC" w14:textId="5D036AEA" w:rsidR="00F76020" w:rsidRPr="00B364CB" w:rsidRDefault="00F76020" w:rsidP="005E4983">
      <w:pPr>
        <w:pStyle w:val="FootnoteText"/>
      </w:pPr>
      <w:r w:rsidRPr="00B364CB">
        <w:rPr>
          <w:rStyle w:val="FootnoteReference"/>
        </w:rPr>
        <w:footnoteRef/>
      </w:r>
      <w:r w:rsidRPr="00B364CB">
        <w:t xml:space="preserve"> </w:t>
      </w:r>
      <w:hyperlink r:id="rId43" w:history="1">
        <w:r w:rsidRPr="00482E89">
          <w:rPr>
            <w:rStyle w:val="Hyperlink"/>
          </w:rPr>
          <w:t>https://www.reuters.com/article/hyundai-switzerland-hydrogen-trucks-idUSKBN26S1FM</w:t>
        </w:r>
      </w:hyperlink>
      <w:r>
        <w:t xml:space="preserve"> </w:t>
      </w:r>
    </w:p>
  </w:footnote>
  <w:footnote w:id="98">
    <w:p w14:paraId="797F6AB7" w14:textId="5D730BFC" w:rsidR="00F76020" w:rsidRPr="00B364CB" w:rsidRDefault="00F76020" w:rsidP="008505CF">
      <w:pPr>
        <w:pStyle w:val="FootnoteText"/>
      </w:pPr>
      <w:r w:rsidRPr="00B364CB">
        <w:rPr>
          <w:rStyle w:val="FootnoteReference"/>
        </w:rPr>
        <w:footnoteRef/>
      </w:r>
      <w:r w:rsidRPr="00B364CB">
        <w:t xml:space="preserve"> </w:t>
      </w:r>
      <w:hyperlink r:id="rId44" w:history="1">
        <w:r w:rsidRPr="00482E89">
          <w:rPr>
            <w:rStyle w:val="Hyperlink"/>
          </w:rPr>
          <w:t>https://cordis.europa.eu/project/id/101005934</w:t>
        </w:r>
      </w:hyperlink>
      <w:r>
        <w:t xml:space="preserve"> </w:t>
      </w:r>
    </w:p>
  </w:footnote>
  <w:footnote w:id="99">
    <w:p w14:paraId="282DF8F3" w14:textId="219FAB99" w:rsidR="00F76020" w:rsidRPr="00B364CB" w:rsidRDefault="00F76020" w:rsidP="008505CF">
      <w:pPr>
        <w:pStyle w:val="FootnoteText"/>
      </w:pPr>
      <w:r w:rsidRPr="00B364CB">
        <w:rPr>
          <w:rStyle w:val="FootnoteReference"/>
        </w:rPr>
        <w:footnoteRef/>
      </w:r>
      <w:r w:rsidRPr="00B364CB">
        <w:t xml:space="preserve"> </w:t>
      </w:r>
      <w:hyperlink r:id="rId45" w:history="1">
        <w:r w:rsidRPr="00482E89">
          <w:rPr>
            <w:rStyle w:val="Hyperlink"/>
          </w:rPr>
          <w:t>https://cordis.europa.eu/project/id/874997</w:t>
        </w:r>
      </w:hyperlink>
      <w:r>
        <w:t xml:space="preserve"> </w:t>
      </w:r>
    </w:p>
  </w:footnote>
  <w:footnote w:id="100">
    <w:p w14:paraId="27FB5C28" w14:textId="4477CE76" w:rsidR="00F76020" w:rsidRPr="00B364CB" w:rsidRDefault="00F76020" w:rsidP="00D50024">
      <w:pPr>
        <w:pStyle w:val="FootnoteText"/>
      </w:pPr>
      <w:r w:rsidRPr="00B364CB">
        <w:rPr>
          <w:rStyle w:val="FootnoteReference"/>
        </w:rPr>
        <w:footnoteRef/>
      </w:r>
      <w:r w:rsidRPr="00B364CB">
        <w:t xml:space="preserve"> </w:t>
      </w:r>
      <w:r>
        <w:t>Council Regulation (EC) No 1232/2019 of 20 June 2019 setting CO2 emission performance standards for new heavy-duty vehicles.</w:t>
      </w:r>
    </w:p>
  </w:footnote>
  <w:footnote w:id="101">
    <w:p w14:paraId="1C348A00" w14:textId="655EF312" w:rsidR="00F76020" w:rsidRPr="00B364CB" w:rsidRDefault="00F76020" w:rsidP="00D50024">
      <w:pPr>
        <w:pStyle w:val="FootnoteText"/>
      </w:pPr>
      <w:r w:rsidRPr="00B364CB">
        <w:rPr>
          <w:rStyle w:val="FootnoteReference"/>
        </w:rPr>
        <w:footnoteRef/>
      </w:r>
      <w:r w:rsidRPr="00B364CB">
        <w:t xml:space="preserve"> Coalition Statement On the deployment of fuel cell and hydrogen heavy-duty trucks in Europe (</w:t>
      </w:r>
      <w:hyperlink r:id="rId46" w:history="1">
        <w:r w:rsidRPr="00482E89">
          <w:rPr>
            <w:rStyle w:val="Hyperlink"/>
          </w:rPr>
          <w:t>https://www.fch.europa.eu/publications/study-fuel-cells-hydrogen-trucks</w:t>
        </w:r>
      </w:hyperlink>
      <w:r w:rsidRPr="00B364CB">
        <w:t>)</w:t>
      </w:r>
      <w:r>
        <w:t xml:space="preserve"> </w:t>
      </w:r>
    </w:p>
  </w:footnote>
  <w:footnote w:id="102">
    <w:p w14:paraId="61DDE179" w14:textId="1FCDD5BA" w:rsidR="00F76020" w:rsidRPr="00B364CB" w:rsidRDefault="00F76020">
      <w:pPr>
        <w:pStyle w:val="FootnoteText"/>
      </w:pPr>
      <w:r w:rsidRPr="00B364CB">
        <w:rPr>
          <w:rStyle w:val="FootnoteReference"/>
        </w:rPr>
        <w:footnoteRef/>
      </w:r>
      <w:r w:rsidRPr="00B364CB">
        <w:t xml:space="preserve"> </w:t>
      </w:r>
      <w:hyperlink r:id="rId47" w:history="1">
        <w:r w:rsidRPr="00B364CB">
          <w:rPr>
            <w:rStyle w:val="Hyperlink"/>
          </w:rPr>
          <w:t>https://www.imo.org/en/MediaCentre/PressBriefings/Pages/06GHGinitialstrategy.aspx</w:t>
        </w:r>
      </w:hyperlink>
      <w:r w:rsidRPr="00B364CB">
        <w:t xml:space="preserve"> </w:t>
      </w:r>
    </w:p>
  </w:footnote>
  <w:footnote w:id="103">
    <w:p w14:paraId="644CF601" w14:textId="605D1D44" w:rsidR="00F76020" w:rsidRPr="00B364CB" w:rsidRDefault="00F76020" w:rsidP="000100F4">
      <w:pPr>
        <w:rPr>
          <w:rFonts w:cstheme="minorHAnsi"/>
          <w:sz w:val="18"/>
          <w:szCs w:val="18"/>
        </w:rPr>
      </w:pPr>
      <w:r w:rsidRPr="00B364CB">
        <w:rPr>
          <w:rStyle w:val="FootnoteReference"/>
          <w:rFonts w:asciiTheme="minorHAnsi" w:eastAsia="Arial" w:hAnsiTheme="minorHAnsi" w:cstheme="minorHAnsi"/>
        </w:rPr>
        <w:footnoteRef/>
      </w:r>
      <w:r w:rsidRPr="00B364CB">
        <w:rPr>
          <w:rFonts w:asciiTheme="minorHAnsi" w:hAnsiTheme="minorHAnsi" w:cstheme="minorHAnsi"/>
          <w:sz w:val="18"/>
          <w:szCs w:val="18"/>
        </w:rPr>
        <w:t xml:space="preserve"> </w:t>
      </w:r>
      <w:r w:rsidRPr="00E4788A">
        <w:rPr>
          <w:rFonts w:cs="Arial"/>
          <w:sz w:val="20"/>
          <w:szCs w:val="20"/>
        </w:rPr>
        <w:t>In terms of gross tons delivered, see</w:t>
      </w:r>
      <w:r>
        <w:rPr>
          <w:rFonts w:cs="Arial"/>
          <w:sz w:val="20"/>
          <w:szCs w:val="20"/>
        </w:rPr>
        <w:t xml:space="preserve"> the </w:t>
      </w:r>
      <w:hyperlink r:id="rId48" w:history="1">
        <w:r w:rsidRPr="00726234">
          <w:rPr>
            <w:rStyle w:val="Hyperlink"/>
            <w:rFonts w:cs="Arial"/>
            <w:sz w:val="20"/>
            <w:szCs w:val="20"/>
          </w:rPr>
          <w:t>Review of Maritime Transport</w:t>
        </w:r>
      </w:hyperlink>
      <w:r>
        <w:rPr>
          <w:rFonts w:cs="Arial"/>
          <w:sz w:val="20"/>
          <w:szCs w:val="20"/>
        </w:rPr>
        <w:t>, UNCTAD, 2018.</w:t>
      </w:r>
      <w:r w:rsidRPr="00E4788A">
        <w:rPr>
          <w:rFonts w:cs="Arial"/>
          <w:sz w:val="20"/>
          <w:szCs w:val="20"/>
        </w:rPr>
        <w:t xml:space="preserve"> </w:t>
      </w:r>
    </w:p>
  </w:footnote>
  <w:footnote w:id="104">
    <w:p w14:paraId="054A9655" w14:textId="3ED22ED1" w:rsidR="00F76020" w:rsidRPr="00B364CB" w:rsidRDefault="00F76020">
      <w:pPr>
        <w:pStyle w:val="FootnoteText"/>
      </w:pPr>
      <w:r w:rsidRPr="00B364CB">
        <w:rPr>
          <w:rStyle w:val="FootnoteReference"/>
        </w:rPr>
        <w:footnoteRef/>
      </w:r>
      <w:r w:rsidRPr="00B364CB">
        <w:t xml:space="preserve"> </w:t>
      </w:r>
      <w:hyperlink r:id="rId49" w:history="1">
        <w:r w:rsidRPr="00B364CB">
          <w:rPr>
            <w:rStyle w:val="Hyperlink"/>
          </w:rPr>
          <w:t>https://fuelcellsworks.com/news/norse-group-announces-launch-of-mf-hydra-worlds-first-lh2-driven-ferry-boat/</w:t>
        </w:r>
      </w:hyperlink>
      <w:r w:rsidRPr="00B364CB">
        <w:t xml:space="preserve"> </w:t>
      </w:r>
    </w:p>
  </w:footnote>
  <w:footnote w:id="105">
    <w:p w14:paraId="6624BBB7" w14:textId="6E476D30" w:rsidR="00F76020" w:rsidRPr="00B364CB" w:rsidRDefault="00F76020">
      <w:pPr>
        <w:pStyle w:val="FootnoteText"/>
      </w:pPr>
      <w:r w:rsidRPr="00B364CB">
        <w:rPr>
          <w:rStyle w:val="FootnoteReference"/>
        </w:rPr>
        <w:footnoteRef/>
      </w:r>
      <w:r w:rsidRPr="00B364CB">
        <w:t xml:space="preserve"> </w:t>
      </w:r>
      <w:hyperlink r:id="rId50" w:history="1">
        <w:r w:rsidRPr="00B364CB">
          <w:rPr>
            <w:rStyle w:val="Hyperlink"/>
          </w:rPr>
          <w:t>https://www.norled.no/en/news/partners-receive-pilot-e-support-to-develop-liquid-hydrogen-supply-chain-for-maritime-applications-in-norway/</w:t>
        </w:r>
      </w:hyperlink>
      <w:r w:rsidRPr="00B364CB">
        <w:t xml:space="preserve"> </w:t>
      </w:r>
    </w:p>
  </w:footnote>
  <w:footnote w:id="106">
    <w:p w14:paraId="35CC8E7B" w14:textId="04D72E37" w:rsidR="00F76020" w:rsidRPr="00B364CB" w:rsidRDefault="00F76020">
      <w:pPr>
        <w:pStyle w:val="FootnoteText"/>
      </w:pPr>
      <w:r w:rsidRPr="00B364CB">
        <w:rPr>
          <w:rStyle w:val="FootnoteReference"/>
        </w:rPr>
        <w:footnoteRef/>
      </w:r>
      <w:r w:rsidRPr="00B364CB">
        <w:t xml:space="preserve"> </w:t>
      </w:r>
      <w:hyperlink r:id="rId51" w:history="1">
        <w:r w:rsidRPr="00B364CB">
          <w:rPr>
            <w:rStyle w:val="Hyperlink"/>
          </w:rPr>
          <w:t>https://www.hyseas3.eu/</w:t>
        </w:r>
      </w:hyperlink>
      <w:r w:rsidRPr="00B364CB">
        <w:t xml:space="preserve"> </w:t>
      </w:r>
    </w:p>
  </w:footnote>
  <w:footnote w:id="107">
    <w:p w14:paraId="4AC84C57" w14:textId="6C74DFA5" w:rsidR="00F76020" w:rsidRPr="00B364CB" w:rsidRDefault="00F76020">
      <w:pPr>
        <w:pStyle w:val="FootnoteText"/>
      </w:pPr>
      <w:r w:rsidRPr="00B364CB">
        <w:rPr>
          <w:rStyle w:val="FootnoteReference"/>
        </w:rPr>
        <w:footnoteRef/>
      </w:r>
      <w:r w:rsidRPr="00B364CB">
        <w:t xml:space="preserve"> </w:t>
      </w:r>
      <w:hyperlink r:id="rId52" w:history="1">
        <w:r w:rsidRPr="00482E89">
          <w:rPr>
            <w:rStyle w:val="Hyperlink"/>
          </w:rPr>
          <w:t>https://cordis.europa.eu/project/id/875156</w:t>
        </w:r>
      </w:hyperlink>
      <w:r>
        <w:t xml:space="preserve"> </w:t>
      </w:r>
      <w:r w:rsidRPr="00726234" w:rsidDel="00726234">
        <w:t xml:space="preserve"> </w:t>
      </w:r>
    </w:p>
  </w:footnote>
  <w:footnote w:id="108">
    <w:p w14:paraId="1BDB2063" w14:textId="5E11BC81" w:rsidR="00F76020" w:rsidRPr="00B364CB" w:rsidRDefault="00F76020">
      <w:pPr>
        <w:pStyle w:val="FootnoteText"/>
      </w:pPr>
      <w:r w:rsidRPr="00B364CB">
        <w:rPr>
          <w:rStyle w:val="FootnoteReference"/>
        </w:rPr>
        <w:footnoteRef/>
      </w:r>
      <w:r w:rsidRPr="00B364CB">
        <w:t xml:space="preserve"> </w:t>
      </w:r>
      <w:hyperlink r:id="rId53" w:history="1">
        <w:r w:rsidRPr="00482E89">
          <w:rPr>
            <w:rStyle w:val="Hyperlink"/>
          </w:rPr>
          <w:t>https://cordis.europa.eu/project/rcn/219834/factsheet/en</w:t>
        </w:r>
      </w:hyperlink>
      <w:r>
        <w:t xml:space="preserve"> </w:t>
      </w:r>
      <w:r w:rsidRPr="00726234" w:rsidDel="00726234">
        <w:t xml:space="preserve"> </w:t>
      </w:r>
    </w:p>
  </w:footnote>
  <w:footnote w:id="109">
    <w:p w14:paraId="07FAC39F" w14:textId="23D7CA61" w:rsidR="00F76020" w:rsidRPr="00B364CB" w:rsidRDefault="00F76020">
      <w:pPr>
        <w:pStyle w:val="FootnoteText"/>
      </w:pPr>
      <w:r w:rsidRPr="00B364CB">
        <w:rPr>
          <w:rStyle w:val="FootnoteReference"/>
        </w:rPr>
        <w:footnoteRef/>
      </w:r>
      <w:r w:rsidRPr="00B364CB">
        <w:t xml:space="preserve"> </w:t>
      </w:r>
      <w:hyperlink r:id="rId54" w:history="1">
        <w:r w:rsidRPr="009914FB">
          <w:rPr>
            <w:rStyle w:val="Hyperlink"/>
          </w:rPr>
          <w:t>Study on the use of fuel cells and hydrogen in the railway environment</w:t>
        </w:r>
      </w:hyperlink>
      <w:r>
        <w:t xml:space="preserve">, FCH 2 JU, 2019 </w:t>
      </w:r>
    </w:p>
  </w:footnote>
  <w:footnote w:id="110">
    <w:p w14:paraId="5FF04BA3" w14:textId="7867A987" w:rsidR="00F76020" w:rsidRPr="00B364CB" w:rsidRDefault="00F76020">
      <w:pPr>
        <w:pStyle w:val="FootnoteText"/>
      </w:pPr>
      <w:r w:rsidRPr="00B364CB">
        <w:rPr>
          <w:rStyle w:val="FootnoteReference"/>
        </w:rPr>
        <w:footnoteRef/>
      </w:r>
      <w:r w:rsidRPr="00B364CB">
        <w:t xml:space="preserve"> </w:t>
      </w:r>
      <w:hyperlink r:id="rId55" w:history="1">
        <w:r w:rsidRPr="00B364CB">
          <w:rPr>
            <w:rStyle w:val="Hyperlink"/>
          </w:rPr>
          <w:t>https://www.alstom.com/solutions/rolling-stock/coradia-ilint-worlds-1st-hydrogen-powered-train</w:t>
        </w:r>
      </w:hyperlink>
      <w:r w:rsidRPr="00B364CB">
        <w:t xml:space="preserve"> </w:t>
      </w:r>
    </w:p>
  </w:footnote>
  <w:footnote w:id="111">
    <w:p w14:paraId="45C6C1DB" w14:textId="18D680C4" w:rsidR="00F76020" w:rsidRPr="00B364CB" w:rsidRDefault="00F76020">
      <w:pPr>
        <w:pStyle w:val="FootnoteText"/>
      </w:pPr>
      <w:r w:rsidRPr="00B364CB">
        <w:rPr>
          <w:rStyle w:val="FootnoteReference"/>
        </w:rPr>
        <w:footnoteRef/>
      </w:r>
      <w:r w:rsidRPr="00B364CB">
        <w:t xml:space="preserve"> </w:t>
      </w:r>
      <w:hyperlink r:id="rId56" w:history="1">
        <w:r w:rsidRPr="00B364CB">
          <w:rPr>
            <w:rStyle w:val="Hyperlink"/>
          </w:rPr>
          <w:t>https://www.mobility.siemens.com/global/en/portfolio/rail/rolling-stock/commuter-and-regional-trains/mireo.html</w:t>
        </w:r>
      </w:hyperlink>
      <w:r w:rsidRPr="00B364CB">
        <w:t xml:space="preserve"> </w:t>
      </w:r>
    </w:p>
  </w:footnote>
  <w:footnote w:id="112">
    <w:p w14:paraId="2BDAFB44" w14:textId="133E6AEC" w:rsidR="00F76020" w:rsidRPr="00B364CB" w:rsidRDefault="00F76020">
      <w:pPr>
        <w:pStyle w:val="FootnoteText"/>
      </w:pPr>
      <w:r w:rsidRPr="00B364CB">
        <w:rPr>
          <w:rStyle w:val="FootnoteReference"/>
        </w:rPr>
        <w:footnoteRef/>
      </w:r>
      <w:r w:rsidRPr="00B364CB">
        <w:t xml:space="preserve"> </w:t>
      </w:r>
      <w:hyperlink r:id="rId57" w:history="1">
        <w:r w:rsidRPr="00B364CB">
          <w:rPr>
            <w:rStyle w:val="Hyperlink"/>
          </w:rPr>
          <w:t>https://www.stadlerrail.com/en/media/article/green-tech-for-the-us-stadler-signs-first-ever-contractfor-hydrogen-powered-train/649/</w:t>
        </w:r>
      </w:hyperlink>
      <w:r w:rsidRPr="00B364CB">
        <w:t xml:space="preserve"> </w:t>
      </w:r>
    </w:p>
  </w:footnote>
  <w:footnote w:id="113">
    <w:p w14:paraId="16DA077B" w14:textId="760BAA0C" w:rsidR="00F76020" w:rsidRPr="00B364CB" w:rsidRDefault="00F76020">
      <w:pPr>
        <w:pStyle w:val="FootnoteText"/>
      </w:pPr>
      <w:r w:rsidRPr="00B364CB">
        <w:rPr>
          <w:rStyle w:val="FootnoteReference"/>
        </w:rPr>
        <w:footnoteRef/>
      </w:r>
      <w:r w:rsidRPr="00B364CB">
        <w:t xml:space="preserve"> </w:t>
      </w:r>
      <w:hyperlink r:id="rId58" w:history="1">
        <w:r w:rsidRPr="00482E89">
          <w:rPr>
            <w:rStyle w:val="Hyperlink"/>
          </w:rPr>
          <w:t>https://cordis.europa.eu/project/id/101006633</w:t>
        </w:r>
      </w:hyperlink>
      <w:r>
        <w:t xml:space="preserve"> </w:t>
      </w:r>
      <w:r w:rsidRPr="009914FB" w:rsidDel="009914FB">
        <w:t xml:space="preserve"> </w:t>
      </w:r>
    </w:p>
  </w:footnote>
  <w:footnote w:id="114">
    <w:p w14:paraId="07B28AC9" w14:textId="0FED9334" w:rsidR="00520A3C" w:rsidRDefault="00520A3C">
      <w:pPr>
        <w:pStyle w:val="FootnoteText"/>
      </w:pPr>
      <w:r>
        <w:rPr>
          <w:rStyle w:val="FootnoteReference"/>
        </w:rPr>
        <w:footnoteRef/>
      </w:r>
      <w:r>
        <w:t xml:space="preserve"> </w:t>
      </w:r>
      <w:hyperlink r:id="rId59" w:history="1">
        <w:r w:rsidRPr="00863379">
          <w:rPr>
            <w:rStyle w:val="Hyperlink"/>
          </w:rPr>
          <w:t>https://heaven-fch-project.eu/</w:t>
        </w:r>
      </w:hyperlink>
      <w:r>
        <w:t xml:space="preserve"> </w:t>
      </w:r>
    </w:p>
  </w:footnote>
  <w:footnote w:id="115">
    <w:p w14:paraId="7E50C2F4" w14:textId="65D1DA70" w:rsidR="00F76020" w:rsidRPr="00B364CB" w:rsidRDefault="00F76020">
      <w:pPr>
        <w:pStyle w:val="FootnoteText"/>
      </w:pPr>
      <w:r w:rsidRPr="00B364CB">
        <w:rPr>
          <w:rStyle w:val="FootnoteReference"/>
        </w:rPr>
        <w:footnoteRef/>
      </w:r>
      <w:r w:rsidRPr="00B364CB">
        <w:t xml:space="preserve"> </w:t>
      </w:r>
      <w:hyperlink r:id="rId60" w:history="1">
        <w:r w:rsidRPr="00B364CB">
          <w:rPr>
            <w:rStyle w:val="Hyperlink"/>
          </w:rPr>
          <w:t>https://h2fly.de/</w:t>
        </w:r>
      </w:hyperlink>
      <w:r w:rsidRPr="00B364CB">
        <w:t xml:space="preserve"> </w:t>
      </w:r>
    </w:p>
  </w:footnote>
  <w:footnote w:id="116">
    <w:p w14:paraId="5EFED7CD" w14:textId="5FF96604" w:rsidR="00F76020" w:rsidRPr="00B364CB" w:rsidRDefault="00F76020">
      <w:pPr>
        <w:pStyle w:val="FootnoteText"/>
      </w:pPr>
      <w:r w:rsidRPr="00B364CB">
        <w:rPr>
          <w:rStyle w:val="FootnoteReference"/>
        </w:rPr>
        <w:footnoteRef/>
      </w:r>
      <w:r w:rsidRPr="00B364CB">
        <w:t xml:space="preserve"> </w:t>
      </w:r>
      <w:hyperlink r:id="rId61" w:history="1">
        <w:r w:rsidRPr="00B364CB">
          <w:rPr>
            <w:rStyle w:val="Hyperlink"/>
          </w:rPr>
          <w:t>https://www.zeroavia.com/</w:t>
        </w:r>
      </w:hyperlink>
      <w:r w:rsidRPr="00B364CB">
        <w:t xml:space="preserve"> </w:t>
      </w:r>
    </w:p>
  </w:footnote>
  <w:footnote w:id="117">
    <w:p w14:paraId="5C8813A1" w14:textId="31BE10F4" w:rsidR="00F76020" w:rsidRPr="00B364CB" w:rsidRDefault="00F76020">
      <w:pPr>
        <w:pStyle w:val="FootnoteText"/>
      </w:pPr>
      <w:r w:rsidRPr="00B364CB">
        <w:rPr>
          <w:rStyle w:val="FootnoteReference"/>
        </w:rPr>
        <w:footnoteRef/>
      </w:r>
      <w:r w:rsidRPr="00B364CB">
        <w:t xml:space="preserve"> </w:t>
      </w:r>
      <w:hyperlink r:id="rId62" w:history="1">
        <w:r w:rsidRPr="00B364CB">
          <w:rPr>
            <w:rStyle w:val="Hyperlink"/>
          </w:rPr>
          <w:t>https://www.airbus.com/newsroom/press-releases/en/2020/09/airbus-reveals-new-zeroemission-concept-aircraft.html</w:t>
        </w:r>
      </w:hyperlink>
      <w:r w:rsidRPr="00B364CB">
        <w:t xml:space="preserve"> </w:t>
      </w:r>
    </w:p>
  </w:footnote>
  <w:footnote w:id="118">
    <w:p w14:paraId="071059C2" w14:textId="7CCF3B99" w:rsidR="00F76020" w:rsidRPr="00B364CB" w:rsidRDefault="00F76020">
      <w:pPr>
        <w:pStyle w:val="FootnoteText"/>
      </w:pPr>
      <w:r w:rsidRPr="00B364CB">
        <w:rPr>
          <w:rStyle w:val="FootnoteReference"/>
        </w:rPr>
        <w:footnoteRef/>
      </w:r>
      <w:r w:rsidRPr="00B364CB">
        <w:t xml:space="preserve"> </w:t>
      </w:r>
      <w:hyperlink r:id="rId63" w:history="1">
        <w:r w:rsidRPr="00B364CB">
          <w:rPr>
            <w:rStyle w:val="Hyperlink"/>
          </w:rPr>
          <w:t>https://www.ir.plugpower.com/Press-Releases/Press-Release-Details/2020/Plug-Power-Partners-with-Universal-Hydrogen-on-Hydrogen-Fuel-Cell-Propulsion-System-for-Regional-Turboprop-Aircraft/default.aspx</w:t>
        </w:r>
      </w:hyperlink>
      <w:r w:rsidRPr="00B364CB">
        <w:t xml:space="preserve"> </w:t>
      </w:r>
    </w:p>
  </w:footnote>
  <w:footnote w:id="119">
    <w:p w14:paraId="43EE1780" w14:textId="44974EEC" w:rsidR="00F76020" w:rsidRPr="00B364CB" w:rsidRDefault="00F76020">
      <w:pPr>
        <w:pStyle w:val="FootnoteText"/>
      </w:pPr>
      <w:r w:rsidRPr="00B364CB">
        <w:rPr>
          <w:rStyle w:val="FootnoteReference"/>
        </w:rPr>
        <w:footnoteRef/>
      </w:r>
      <w:r w:rsidRPr="00B364CB">
        <w:t xml:space="preserve"> </w:t>
      </w:r>
      <w:hyperlink r:id="rId64" w:history="1">
        <w:r w:rsidRPr="00482E89">
          <w:rPr>
            <w:rStyle w:val="Hyperlink"/>
          </w:rPr>
          <w:t>http://cordis.europa.eu/project/rcn/108542_en.html</w:t>
        </w:r>
      </w:hyperlink>
      <w:r>
        <w:t xml:space="preserve"> </w:t>
      </w:r>
      <w:r w:rsidRPr="00645C97" w:rsidDel="00645C97">
        <w:t xml:space="preserve"> </w:t>
      </w:r>
    </w:p>
  </w:footnote>
  <w:footnote w:id="120">
    <w:p w14:paraId="0DB1B2D7" w14:textId="5FA69A1B" w:rsidR="00F76020" w:rsidRDefault="00F76020">
      <w:pPr>
        <w:pStyle w:val="FootnoteText"/>
      </w:pPr>
      <w:r>
        <w:rPr>
          <w:rStyle w:val="FootnoteReference"/>
        </w:rPr>
        <w:footnoteRef/>
      </w:r>
      <w:r>
        <w:t xml:space="preserve"> </w:t>
      </w:r>
      <w:hyperlink r:id="rId65" w:history="1">
        <w:r w:rsidRPr="00FE2AD8">
          <w:rPr>
            <w:rStyle w:val="Hyperlink"/>
          </w:rPr>
          <w:t>Hydrogen-powered aviation</w:t>
        </w:r>
      </w:hyperlink>
      <w:r>
        <w:t>, FCH 2 JU, 2020</w:t>
      </w:r>
    </w:p>
  </w:footnote>
  <w:footnote w:id="121">
    <w:p w14:paraId="6442BF1E" w14:textId="7935183A" w:rsidR="00F76020" w:rsidRPr="00B364CB" w:rsidRDefault="00F76020" w:rsidP="0073517D">
      <w:pPr>
        <w:pStyle w:val="FootnoteText"/>
      </w:pPr>
      <w:r w:rsidRPr="00B364CB">
        <w:rPr>
          <w:rStyle w:val="FootnoteReference"/>
        </w:rPr>
        <w:footnoteRef/>
      </w:r>
      <w:r w:rsidRPr="00B364CB">
        <w:t xml:space="preserve"> According to the “Hydrogen strategy for a climate-neutral Europe”, the blending of hydrogen in the natural gas network at a limited percentage may enable decentralised renewable hydrogen production in local networks in a transitional phase.</w:t>
      </w:r>
    </w:p>
  </w:footnote>
  <w:footnote w:id="122">
    <w:p w14:paraId="7CBD39B9" w14:textId="0CD5FB33" w:rsidR="00F76020" w:rsidRPr="00B364CB" w:rsidRDefault="00F76020" w:rsidP="00AC2609">
      <w:pPr>
        <w:pStyle w:val="FootnoteText"/>
      </w:pPr>
      <w:r w:rsidRPr="00B364CB">
        <w:rPr>
          <w:rStyle w:val="FootnoteReference"/>
        </w:rPr>
        <w:footnoteRef/>
      </w:r>
      <w:r w:rsidRPr="00B364CB">
        <w:t xml:space="preserve"> World Energy Outlook</w:t>
      </w:r>
      <w:r>
        <w:t>,</w:t>
      </w:r>
      <w:r w:rsidRPr="00B364CB">
        <w:t xml:space="preserve"> IEA</w:t>
      </w:r>
      <w:r>
        <w:t>, 2020</w:t>
      </w:r>
      <w:r w:rsidRPr="00B364CB">
        <w:t>.</w:t>
      </w:r>
    </w:p>
  </w:footnote>
  <w:footnote w:id="123">
    <w:p w14:paraId="64BB4E14" w14:textId="77777777" w:rsidR="00F76020" w:rsidRPr="00B364CB" w:rsidRDefault="00F76020" w:rsidP="00A22E99">
      <w:pPr>
        <w:pStyle w:val="FootnoteText"/>
      </w:pPr>
      <w:r w:rsidRPr="00B364CB">
        <w:rPr>
          <w:rStyle w:val="FootnoteReference"/>
        </w:rPr>
        <w:footnoteRef/>
      </w:r>
      <w:r w:rsidRPr="00B364CB">
        <w:t xml:space="preserve"> Including gas turbines for open and combined cycles </w:t>
      </w:r>
    </w:p>
  </w:footnote>
  <w:footnote w:id="124">
    <w:p w14:paraId="00AF5253" w14:textId="77777777" w:rsidR="00F76020" w:rsidRPr="00B364CB" w:rsidRDefault="00F76020" w:rsidP="00A22E99">
      <w:pPr>
        <w:pStyle w:val="FootnoteText"/>
      </w:pPr>
    </w:p>
  </w:footnote>
  <w:footnote w:id="125">
    <w:p w14:paraId="7F2B02AD" w14:textId="752E1640" w:rsidR="0085380B" w:rsidRDefault="0085380B">
      <w:pPr>
        <w:pStyle w:val="FootnoteText"/>
      </w:pPr>
      <w:r>
        <w:rPr>
          <w:rStyle w:val="FootnoteReference"/>
        </w:rPr>
        <w:footnoteRef/>
      </w:r>
      <w:r>
        <w:t xml:space="preserve"> </w:t>
      </w:r>
      <w:r w:rsidRPr="0085380B">
        <w:t>The net efficiency is the ratio between the net electrical power generated and the chemical energy flow rate.</w:t>
      </w:r>
    </w:p>
  </w:footnote>
  <w:footnote w:id="126">
    <w:p w14:paraId="16A46021" w14:textId="7BBB92E4" w:rsidR="00F76020" w:rsidRPr="00B364CB" w:rsidRDefault="00F76020">
      <w:pPr>
        <w:pStyle w:val="FootnoteText"/>
      </w:pPr>
      <w:r w:rsidRPr="00B364CB">
        <w:rPr>
          <w:rStyle w:val="FootnoteReference"/>
        </w:rPr>
        <w:footnoteRef/>
      </w:r>
      <w:r w:rsidRPr="00B364CB">
        <w:t xml:space="preserve"> Buildings in Europe are responsible for 40% of our energy consumption and 36% of greenhouse gas emissions</w:t>
      </w:r>
      <w:r>
        <w:t xml:space="preserve">. Source: </w:t>
      </w:r>
      <w:hyperlink r:id="rId66" w:history="1">
        <w:r w:rsidRPr="00F97232">
          <w:rPr>
            <w:rStyle w:val="Hyperlink"/>
          </w:rPr>
          <w:t>DG ENER</w:t>
        </w:r>
      </w:hyperlink>
      <w:r>
        <w:t>, 2020.</w:t>
      </w:r>
      <w:r w:rsidRPr="00B364CB">
        <w:t xml:space="preserve"> </w:t>
      </w:r>
    </w:p>
  </w:footnote>
  <w:footnote w:id="127">
    <w:p w14:paraId="118B3DBC" w14:textId="08D09A9C" w:rsidR="00F76020" w:rsidRPr="00B364CB" w:rsidRDefault="00F76020" w:rsidP="00A22E99">
      <w:pPr>
        <w:pStyle w:val="FootnoteText"/>
      </w:pPr>
      <w:r w:rsidRPr="00B364CB">
        <w:rPr>
          <w:rStyle w:val="FootnoteReference"/>
        </w:rPr>
        <w:footnoteRef/>
      </w:r>
      <w:r w:rsidRPr="00B364CB">
        <w:t xml:space="preserve"> </w:t>
      </w:r>
      <w:hyperlink r:id="rId67" w:history="1">
        <w:r w:rsidRPr="00482E89">
          <w:rPr>
            <w:rStyle w:val="Hyperlink"/>
          </w:rPr>
          <w:t>http://cordis.europa.eu/project/rcn/104765_en.html</w:t>
        </w:r>
      </w:hyperlink>
      <w:r>
        <w:t xml:space="preserve"> </w:t>
      </w:r>
    </w:p>
  </w:footnote>
  <w:footnote w:id="128">
    <w:p w14:paraId="25CC17D6" w14:textId="232B2DCD" w:rsidR="00F76020" w:rsidRPr="00B364CB" w:rsidRDefault="00F76020" w:rsidP="00A22E99">
      <w:pPr>
        <w:pStyle w:val="FootnoteText"/>
      </w:pPr>
      <w:r w:rsidRPr="00B364CB">
        <w:rPr>
          <w:rStyle w:val="FootnoteReference"/>
        </w:rPr>
        <w:footnoteRef/>
      </w:r>
      <w:r w:rsidRPr="00B364CB">
        <w:t xml:space="preserve"> </w:t>
      </w:r>
      <w:hyperlink r:id="rId68" w:history="1">
        <w:r w:rsidRPr="00482E89">
          <w:rPr>
            <w:rStyle w:val="Hyperlink"/>
          </w:rPr>
          <w:t>http://cordis.europa.eu/project/rcn/204315_en.html</w:t>
        </w:r>
      </w:hyperlink>
      <w:r>
        <w:t xml:space="preserve"> </w:t>
      </w:r>
    </w:p>
  </w:footnote>
  <w:footnote w:id="129">
    <w:p w14:paraId="066879FF" w14:textId="30582022" w:rsidR="00F76020" w:rsidRPr="00B364CB" w:rsidRDefault="00F76020">
      <w:pPr>
        <w:pStyle w:val="FootnoteText"/>
      </w:pPr>
      <w:r w:rsidRPr="00B364CB">
        <w:rPr>
          <w:rStyle w:val="FootnoteReference"/>
        </w:rPr>
        <w:footnoteRef/>
      </w:r>
      <w:r w:rsidRPr="00B364CB">
        <w:t xml:space="preserve"> </w:t>
      </w:r>
      <w:hyperlink r:id="rId69" w:history="1">
        <w:r w:rsidRPr="00482E89">
          <w:rPr>
            <w:rStyle w:val="Hyperlink"/>
          </w:rPr>
          <w:t>http://cordis.europa.eu/project/rcn/197931_en.html</w:t>
        </w:r>
      </w:hyperlink>
      <w:r>
        <w:t xml:space="preserve"> </w:t>
      </w:r>
    </w:p>
  </w:footnote>
  <w:footnote w:id="130">
    <w:p w14:paraId="14186C70" w14:textId="6C47A356" w:rsidR="00F76020" w:rsidRPr="00637F43" w:rsidRDefault="00F76020">
      <w:pPr>
        <w:pStyle w:val="FootnoteText"/>
      </w:pPr>
      <w:r>
        <w:rPr>
          <w:rStyle w:val="FootnoteReference"/>
        </w:rPr>
        <w:footnoteRef/>
      </w:r>
      <w:r>
        <w:t xml:space="preserve"> </w:t>
      </w:r>
      <w:hyperlink r:id="rId70" w:history="1">
        <w:r w:rsidRPr="00482E89">
          <w:rPr>
            <w:rStyle w:val="Hyperlink"/>
          </w:rPr>
          <w:t>https://cordis.europa.eu/project/rcn/213064/factsheet/en</w:t>
        </w:r>
      </w:hyperlink>
      <w:r>
        <w:t xml:space="preserve"> </w:t>
      </w:r>
    </w:p>
  </w:footnote>
  <w:footnote w:id="131">
    <w:p w14:paraId="135DAE95" w14:textId="67031DC9" w:rsidR="00F76020" w:rsidRPr="00637F43" w:rsidRDefault="00F76020">
      <w:pPr>
        <w:pStyle w:val="FootnoteText"/>
      </w:pPr>
      <w:r>
        <w:rPr>
          <w:rStyle w:val="FootnoteReference"/>
        </w:rPr>
        <w:footnoteRef/>
      </w:r>
      <w:r>
        <w:t xml:space="preserve"> </w:t>
      </w:r>
      <w:hyperlink r:id="rId71" w:history="1">
        <w:r w:rsidRPr="00482E89">
          <w:rPr>
            <w:rStyle w:val="Hyperlink"/>
          </w:rPr>
          <w:t>http://cordis.europa.eu/project/rcn/192597_en.html</w:t>
        </w:r>
      </w:hyperlink>
      <w:r>
        <w:t xml:space="preserve"> </w:t>
      </w:r>
    </w:p>
  </w:footnote>
  <w:footnote w:id="132">
    <w:p w14:paraId="267533F1" w14:textId="6659B83B" w:rsidR="00F76020" w:rsidRPr="00B364CB" w:rsidRDefault="00F76020">
      <w:pPr>
        <w:pStyle w:val="FootnoteText"/>
      </w:pPr>
      <w:r w:rsidRPr="00B364CB">
        <w:rPr>
          <w:rStyle w:val="FootnoteReference"/>
        </w:rPr>
        <w:footnoteRef/>
      </w:r>
      <w:r w:rsidRPr="00B364CB">
        <w:t xml:space="preserve"> </w:t>
      </w:r>
      <w:hyperlink r:id="rId72" w:history="1">
        <w:r w:rsidRPr="00482E89">
          <w:rPr>
            <w:rStyle w:val="Hyperlink"/>
          </w:rPr>
          <w:t>http://cordis.europa.eu/project/rcn/106349_en.html</w:t>
        </w:r>
      </w:hyperlink>
      <w:r>
        <w:t xml:space="preserve"> </w:t>
      </w:r>
      <w:r w:rsidRPr="00F97232" w:rsidDel="00F97232">
        <w:t xml:space="preserve"> </w:t>
      </w:r>
      <w:r>
        <w:t xml:space="preserve"> </w:t>
      </w:r>
    </w:p>
  </w:footnote>
  <w:footnote w:id="133">
    <w:p w14:paraId="543DBAF9" w14:textId="77777777" w:rsidR="00F76020" w:rsidRPr="00B364CB" w:rsidRDefault="00F76020" w:rsidP="00A22E99">
      <w:pPr>
        <w:pStyle w:val="FootnoteText"/>
      </w:pPr>
      <w:r w:rsidRPr="00B364CB">
        <w:rPr>
          <w:rStyle w:val="FootnoteReference"/>
        </w:rPr>
        <w:footnoteRef/>
      </w:r>
      <w:r w:rsidRPr="00B364CB">
        <w:t xml:space="preserve"> Cluster 5 Climate, Energy and Mobility, Destination 4 on Buildings and Industrial Facilities in Energy Transition</w:t>
      </w:r>
    </w:p>
  </w:footnote>
  <w:footnote w:id="134">
    <w:p w14:paraId="795D8026" w14:textId="35CF3CF3" w:rsidR="00F76020" w:rsidRPr="00B364CB" w:rsidRDefault="00F76020">
      <w:pPr>
        <w:pStyle w:val="FootnoteText"/>
      </w:pPr>
      <w:r w:rsidRPr="00B364CB">
        <w:rPr>
          <w:rStyle w:val="FootnoteReference"/>
        </w:rPr>
        <w:footnoteRef/>
      </w:r>
      <w:r w:rsidRPr="00B364CB">
        <w:t xml:space="preserve"> </w:t>
      </w:r>
      <w:hyperlink r:id="rId73" w:history="1">
        <w:r w:rsidRPr="00B364CB">
          <w:rPr>
            <w:rStyle w:val="Hyperlink"/>
          </w:rPr>
          <w:t>https://www.hy4heat.info/</w:t>
        </w:r>
      </w:hyperlink>
      <w:r w:rsidRPr="00B364CB">
        <w:t xml:space="preserve"> </w:t>
      </w:r>
    </w:p>
  </w:footnote>
  <w:footnote w:id="135">
    <w:p w14:paraId="579D2E91" w14:textId="6DBD24BA" w:rsidR="00F76020" w:rsidRPr="00B364CB" w:rsidRDefault="00F76020">
      <w:pPr>
        <w:pStyle w:val="FootnoteText"/>
      </w:pPr>
      <w:r w:rsidRPr="00B364CB">
        <w:rPr>
          <w:rStyle w:val="FootnoteReference"/>
        </w:rPr>
        <w:footnoteRef/>
      </w:r>
      <w:r w:rsidRPr="00B364CB">
        <w:t xml:space="preserve"> </w:t>
      </w:r>
      <w:hyperlink r:id="rId74" w:history="1">
        <w:r w:rsidRPr="00482E89">
          <w:rPr>
            <w:rStyle w:val="Hyperlink"/>
          </w:rPr>
          <w:t>https://cordis.europa.eu/project/id/256328</w:t>
        </w:r>
      </w:hyperlink>
      <w:r>
        <w:t xml:space="preserve"> </w:t>
      </w:r>
    </w:p>
  </w:footnote>
  <w:footnote w:id="136">
    <w:p w14:paraId="33C05CE9" w14:textId="2016FDF3" w:rsidR="00F76020" w:rsidRPr="00B364CB" w:rsidRDefault="00F76020">
      <w:pPr>
        <w:pStyle w:val="FootnoteText"/>
      </w:pPr>
      <w:r w:rsidRPr="00B364CB">
        <w:rPr>
          <w:rStyle w:val="FootnoteReference"/>
        </w:rPr>
        <w:footnoteRef/>
      </w:r>
      <w:r w:rsidRPr="00B364CB">
        <w:t xml:space="preserve"> </w:t>
      </w:r>
      <w:hyperlink r:id="rId75" w:history="1">
        <w:r w:rsidRPr="00482E89">
          <w:rPr>
            <w:rStyle w:val="Hyperlink"/>
          </w:rPr>
          <w:t>https://cordis.europa.eu/project/id/101007163</w:t>
        </w:r>
      </w:hyperlink>
      <w:r>
        <w:t xml:space="preserve"> </w:t>
      </w:r>
    </w:p>
  </w:footnote>
  <w:footnote w:id="137">
    <w:p w14:paraId="52E34F12" w14:textId="6E0D3920" w:rsidR="00F76020" w:rsidRPr="00B364CB" w:rsidRDefault="00F76020">
      <w:pPr>
        <w:pStyle w:val="FootnoteText"/>
      </w:pPr>
      <w:r w:rsidRPr="00B364CB">
        <w:rPr>
          <w:rStyle w:val="FootnoteReference"/>
        </w:rPr>
        <w:footnoteRef/>
      </w:r>
      <w:r w:rsidRPr="00B364CB">
        <w:t xml:space="preserve"> </w:t>
      </w:r>
      <w:hyperlink r:id="rId76" w:history="1">
        <w:r w:rsidRPr="00482E89">
          <w:rPr>
            <w:rStyle w:val="Hyperlink"/>
          </w:rPr>
          <w:t>https://cordis.europa.eu/project/id/700190</w:t>
        </w:r>
      </w:hyperlink>
      <w:r>
        <w:t xml:space="preserve"> </w:t>
      </w:r>
    </w:p>
  </w:footnote>
  <w:footnote w:id="138">
    <w:p w14:paraId="7CD9FF3F" w14:textId="5FCC07B2" w:rsidR="00F76020" w:rsidRPr="00B364CB" w:rsidRDefault="00F76020">
      <w:pPr>
        <w:pStyle w:val="FootnoteText"/>
      </w:pPr>
      <w:r w:rsidRPr="00B364CB">
        <w:rPr>
          <w:rStyle w:val="FootnoteReference"/>
        </w:rPr>
        <w:footnoteRef/>
      </w:r>
      <w:r w:rsidRPr="00B364CB">
        <w:t xml:space="preserve"> </w:t>
      </w:r>
      <w:hyperlink r:id="rId77" w:history="1">
        <w:r w:rsidRPr="00482E89">
          <w:rPr>
            <w:rStyle w:val="Hyperlink"/>
          </w:rPr>
          <w:t>https://cordis.europa.eu/project/id/101007216</w:t>
        </w:r>
      </w:hyperlink>
      <w:r>
        <w:t xml:space="preserve"> </w:t>
      </w:r>
    </w:p>
  </w:footnote>
  <w:footnote w:id="139">
    <w:p w14:paraId="14DBA1D9" w14:textId="50CE4E33" w:rsidR="00F76020" w:rsidRPr="00B364CB" w:rsidRDefault="00F76020">
      <w:pPr>
        <w:pStyle w:val="FootnoteText"/>
      </w:pPr>
      <w:r w:rsidRPr="00B364CB">
        <w:rPr>
          <w:rStyle w:val="FootnoteReference"/>
        </w:rPr>
        <w:footnoteRef/>
      </w:r>
      <w:r w:rsidRPr="00B364CB">
        <w:t xml:space="preserve"> </w:t>
      </w:r>
      <w:hyperlink r:id="rId78" w:history="1">
        <w:r w:rsidRPr="00482E89">
          <w:rPr>
            <w:rStyle w:val="Hyperlink"/>
          </w:rPr>
          <w:t>https://cordis.europa.eu/project/id/101007166</w:t>
        </w:r>
      </w:hyperlink>
      <w:r>
        <w:t xml:space="preserve"> </w:t>
      </w:r>
    </w:p>
  </w:footnote>
  <w:footnote w:id="140">
    <w:p w14:paraId="2A5FF393" w14:textId="0D70BE1F" w:rsidR="00F76020" w:rsidRPr="00B364CB" w:rsidRDefault="00F76020" w:rsidP="0023767B">
      <w:pPr>
        <w:pStyle w:val="FootnoteText"/>
      </w:pPr>
      <w:r w:rsidRPr="00B364CB">
        <w:rPr>
          <w:rStyle w:val="FootnoteReference"/>
        </w:rPr>
        <w:footnoteRef/>
      </w:r>
      <w:r w:rsidRPr="00B364CB">
        <w:t xml:space="preserve"> Critical Raw Materials Resilience: Charting a Path towards greater Security and Sustainability.  COM</w:t>
      </w:r>
      <w:r>
        <w:t>(</w:t>
      </w:r>
      <w:r w:rsidRPr="00B364CB">
        <w:t>2020</w:t>
      </w:r>
      <w:r>
        <w:t xml:space="preserve">) </w:t>
      </w:r>
      <w:r w:rsidRPr="00B364CB">
        <w:t>474 final</w:t>
      </w:r>
      <w:r>
        <w:t>.</w:t>
      </w:r>
      <w:r w:rsidRPr="00B364CB">
        <w:t xml:space="preserve"> </w:t>
      </w:r>
    </w:p>
  </w:footnote>
  <w:footnote w:id="141">
    <w:p w14:paraId="3E1009F9" w14:textId="0DBEDC71" w:rsidR="00F76020" w:rsidRPr="00B364CB" w:rsidRDefault="00F76020" w:rsidP="0023767B">
      <w:pPr>
        <w:pStyle w:val="FootnoteText"/>
      </w:pPr>
      <w:r w:rsidRPr="00B364CB">
        <w:rPr>
          <w:rStyle w:val="FootnoteReference"/>
        </w:rPr>
        <w:footnoteRef/>
      </w:r>
      <w:r w:rsidRPr="00B364CB">
        <w:t xml:space="preserve"> A new Circular Economy Action Plan. COM</w:t>
      </w:r>
      <w:r>
        <w:t>(</w:t>
      </w:r>
      <w:r w:rsidRPr="00B364CB">
        <w:t>2020</w:t>
      </w:r>
      <w:r>
        <w:t xml:space="preserve">) </w:t>
      </w:r>
      <w:r w:rsidRPr="00B364CB">
        <w:t>98 final</w:t>
      </w:r>
      <w:r>
        <w:t>.</w:t>
      </w:r>
    </w:p>
  </w:footnote>
  <w:footnote w:id="142">
    <w:p w14:paraId="085B5872" w14:textId="2343EA57" w:rsidR="00F76020" w:rsidRPr="00B364CB" w:rsidRDefault="00F76020" w:rsidP="0023767B">
      <w:pPr>
        <w:pStyle w:val="FootnoteText"/>
      </w:pPr>
      <w:r w:rsidRPr="00B364CB">
        <w:rPr>
          <w:rStyle w:val="FootnoteReference"/>
        </w:rPr>
        <w:footnoteRef/>
      </w:r>
      <w:r w:rsidRPr="00B364CB">
        <w:t xml:space="preserve"> Hydrogen</w:t>
      </w:r>
      <w:r>
        <w:t>:</w:t>
      </w:r>
      <w:r w:rsidRPr="00B364CB">
        <w:t xml:space="preserve"> Scaling up</w:t>
      </w:r>
      <w:r>
        <w:t>,</w:t>
      </w:r>
      <w:r w:rsidRPr="00B364CB">
        <w:t xml:space="preserve"> Hydrogen Council</w:t>
      </w:r>
      <w:r>
        <w:t>,</w:t>
      </w:r>
      <w:r w:rsidRPr="00B364CB">
        <w:t xml:space="preserve"> 2017.</w:t>
      </w:r>
    </w:p>
  </w:footnote>
  <w:footnote w:id="143">
    <w:p w14:paraId="335CCFBA" w14:textId="3457C314" w:rsidR="00F76020" w:rsidRPr="00FF3229" w:rsidRDefault="00F76020" w:rsidP="0023767B">
      <w:pPr>
        <w:pStyle w:val="FootnoteText"/>
      </w:pPr>
      <w:r w:rsidRPr="00B364CB">
        <w:rPr>
          <w:rStyle w:val="FootnoteReference"/>
        </w:rPr>
        <w:footnoteRef/>
      </w:r>
      <w:r w:rsidRPr="00FF3229">
        <w:t xml:space="preserve"> </w:t>
      </w:r>
      <w:hyperlink r:id="rId79" w:history="1">
        <w:r w:rsidRPr="00FF3229">
          <w:rPr>
            <w:rStyle w:val="Hyperlink"/>
          </w:rPr>
          <w:t>Hydrogen Roadmap Europe</w:t>
        </w:r>
      </w:hyperlink>
      <w:r w:rsidRPr="00FF3229">
        <w:t>, FCH 2 JU, 2019.</w:t>
      </w:r>
    </w:p>
  </w:footnote>
  <w:footnote w:id="144">
    <w:p w14:paraId="7A7E2C66" w14:textId="77777777" w:rsidR="00F76020" w:rsidRPr="00B364CB" w:rsidRDefault="00F76020" w:rsidP="00481C4E">
      <w:pPr>
        <w:pStyle w:val="FootnoteText"/>
      </w:pPr>
      <w:r w:rsidRPr="00B364CB">
        <w:rPr>
          <w:rStyle w:val="FootnoteReference"/>
        </w:rPr>
        <w:footnoteRef/>
      </w:r>
      <w:r w:rsidRPr="00B364CB">
        <w:t xml:space="preserve"> </w:t>
      </w:r>
      <w:hyperlink r:id="rId80" w:history="1">
        <w:r w:rsidRPr="00744C65">
          <w:rPr>
            <w:rStyle w:val="Hyperlink"/>
            <w:rFonts w:eastAsia="Arial"/>
          </w:rPr>
          <w:t>https://ec.europa.eu/social/main.jsp?langId=en&amp;catId=89&amp;furtherNews=yes&amp;newsId=9723</w:t>
        </w:r>
      </w:hyperlink>
    </w:p>
  </w:footnote>
  <w:footnote w:id="145">
    <w:p w14:paraId="557A4F99" w14:textId="77777777" w:rsidR="00F76020" w:rsidRPr="00B364CB" w:rsidRDefault="00F76020" w:rsidP="00481C4E">
      <w:pPr>
        <w:pStyle w:val="FootnoteText"/>
      </w:pPr>
      <w:r w:rsidRPr="00B364CB">
        <w:rPr>
          <w:rStyle w:val="FootnoteReference"/>
        </w:rPr>
        <w:footnoteRef/>
      </w:r>
      <w:r w:rsidRPr="00B364CB">
        <w:t xml:space="preserve"> </w:t>
      </w:r>
      <w:hyperlink r:id="rId81" w:history="1">
        <w:r w:rsidRPr="00A61D50">
          <w:rPr>
            <w:rStyle w:val="Hyperlink"/>
            <w:rFonts w:eastAsia="Arial"/>
            <w:lang w:val="de-DE"/>
          </w:rPr>
          <w:t>https://ec.europa.eu/social/main.jsp?catId=1517&amp;langId=en</w:t>
        </w:r>
      </w:hyperlink>
    </w:p>
  </w:footnote>
  <w:footnote w:id="146">
    <w:p w14:paraId="29A9EFBA" w14:textId="65D55F51" w:rsidR="00F76020" w:rsidRPr="00F76EC9" w:rsidRDefault="00F76020">
      <w:pPr>
        <w:pStyle w:val="FootnoteText"/>
      </w:pPr>
      <w:r w:rsidRPr="00B364CB">
        <w:rPr>
          <w:rStyle w:val="FootnoteReference"/>
        </w:rPr>
        <w:footnoteRef/>
      </w:r>
      <w:r w:rsidRPr="00F76EC9">
        <w:t xml:space="preserve"> </w:t>
      </w:r>
      <w:hyperlink r:id="rId82" w:history="1">
        <w:r w:rsidRPr="000E0A4F">
          <w:rPr>
            <w:rStyle w:val="Hyperlink"/>
            <w:lang w:val="de-DE"/>
          </w:rPr>
          <w:t>https://cordis.europa.eu/project/id/256703</w:t>
        </w:r>
      </w:hyperlink>
      <w:r w:rsidRPr="000E0A4F">
        <w:rPr>
          <w:lang w:val="de-DE"/>
        </w:rPr>
        <w:t xml:space="preserve"> </w:t>
      </w:r>
    </w:p>
  </w:footnote>
  <w:footnote w:id="147">
    <w:p w14:paraId="2975E8F8" w14:textId="617362B8" w:rsidR="00F76020" w:rsidRPr="00F76EC9" w:rsidRDefault="00F76020">
      <w:pPr>
        <w:pStyle w:val="FootnoteText"/>
      </w:pPr>
      <w:r w:rsidRPr="00B364CB">
        <w:rPr>
          <w:rStyle w:val="FootnoteReference"/>
        </w:rPr>
        <w:footnoteRef/>
      </w:r>
      <w:r w:rsidRPr="00F76EC9">
        <w:t xml:space="preserve"> </w:t>
      </w:r>
      <w:hyperlink r:id="rId83" w:history="1">
        <w:r w:rsidRPr="000E0A4F">
          <w:rPr>
            <w:rStyle w:val="Hyperlink"/>
            <w:lang w:val="de-DE"/>
          </w:rPr>
          <w:t>https://cordis.europa.eu/project/id/621222</w:t>
        </w:r>
      </w:hyperlink>
      <w:r w:rsidRPr="000E0A4F">
        <w:rPr>
          <w:lang w:val="de-DE"/>
        </w:rPr>
        <w:t xml:space="preserve"> </w:t>
      </w:r>
    </w:p>
  </w:footnote>
  <w:footnote w:id="148">
    <w:p w14:paraId="5E93110B" w14:textId="64865B7B" w:rsidR="00F76020" w:rsidRPr="00F76EC9" w:rsidRDefault="00F76020">
      <w:pPr>
        <w:pStyle w:val="FootnoteText"/>
      </w:pPr>
      <w:r w:rsidRPr="00B364CB">
        <w:rPr>
          <w:rStyle w:val="FootnoteReference"/>
        </w:rPr>
        <w:footnoteRef/>
      </w:r>
      <w:r w:rsidRPr="00F76EC9">
        <w:t xml:space="preserve"> </w:t>
      </w:r>
      <w:hyperlink r:id="rId84" w:history="1">
        <w:r w:rsidRPr="000E0A4F">
          <w:rPr>
            <w:rStyle w:val="Hyperlink"/>
            <w:lang w:val="de-DE"/>
          </w:rPr>
          <w:t>https://cordis.europa.eu/project/id/736648</w:t>
        </w:r>
      </w:hyperlink>
      <w:r w:rsidRPr="000E0A4F">
        <w:rPr>
          <w:lang w:val="de-DE"/>
        </w:rPr>
        <w:t xml:space="preserve"> </w:t>
      </w:r>
    </w:p>
  </w:footnote>
  <w:footnote w:id="149">
    <w:p w14:paraId="680B8551" w14:textId="2B2D9FFD" w:rsidR="00F76020" w:rsidRPr="00F76EC9" w:rsidRDefault="00F76020">
      <w:pPr>
        <w:pStyle w:val="FootnoteText"/>
      </w:pPr>
      <w:r w:rsidRPr="00B364CB">
        <w:rPr>
          <w:rStyle w:val="FootnoteReference"/>
        </w:rPr>
        <w:footnoteRef/>
      </w:r>
      <w:r w:rsidRPr="00F76EC9">
        <w:t xml:space="preserve"> </w:t>
      </w:r>
      <w:hyperlink r:id="rId85" w:history="1">
        <w:r w:rsidRPr="000E0A4F">
          <w:rPr>
            <w:rStyle w:val="Hyperlink"/>
            <w:lang w:val="de-DE"/>
          </w:rPr>
          <w:t>https://cordis.europa.eu/project/id/779730</w:t>
        </w:r>
      </w:hyperlink>
      <w:r w:rsidRPr="000E0A4F">
        <w:rPr>
          <w:lang w:val="de-DE"/>
        </w:rPr>
        <w:t xml:space="preserve"> </w:t>
      </w:r>
    </w:p>
  </w:footnote>
  <w:footnote w:id="150">
    <w:p w14:paraId="55B81394" w14:textId="1163F53B" w:rsidR="00F76020" w:rsidRPr="00F76EC9" w:rsidRDefault="00F76020">
      <w:pPr>
        <w:pStyle w:val="FootnoteText"/>
      </w:pPr>
      <w:r w:rsidRPr="00B364CB">
        <w:rPr>
          <w:rStyle w:val="FootnoteReference"/>
        </w:rPr>
        <w:footnoteRef/>
      </w:r>
      <w:r w:rsidRPr="00F76EC9">
        <w:t xml:space="preserve"> </w:t>
      </w:r>
      <w:hyperlink r:id="rId86" w:history="1">
        <w:r w:rsidRPr="000E0A4F">
          <w:rPr>
            <w:rStyle w:val="Hyperlink"/>
            <w:lang w:val="de-DE"/>
          </w:rPr>
          <w:t>https://cordis.europa.eu/project/id/826246</w:t>
        </w:r>
      </w:hyperlink>
      <w:r w:rsidRPr="000E0A4F">
        <w:rPr>
          <w:lang w:val="de-DE"/>
        </w:rPr>
        <w:t xml:space="preserve"> </w:t>
      </w:r>
    </w:p>
  </w:footnote>
  <w:footnote w:id="151">
    <w:p w14:paraId="6A92FE05" w14:textId="68412FAC" w:rsidR="00F76020" w:rsidRPr="00F76EC9" w:rsidRDefault="00F76020">
      <w:pPr>
        <w:pStyle w:val="FootnoteText"/>
      </w:pPr>
      <w:r w:rsidRPr="00B364CB">
        <w:rPr>
          <w:rStyle w:val="FootnoteReference"/>
        </w:rPr>
        <w:footnoteRef/>
      </w:r>
      <w:r w:rsidRPr="00F76EC9">
        <w:t xml:space="preserve"> </w:t>
      </w:r>
      <w:hyperlink r:id="rId87" w:history="1">
        <w:r w:rsidRPr="000E0A4F">
          <w:rPr>
            <w:rStyle w:val="Hyperlink"/>
            <w:lang w:val="de-DE"/>
          </w:rPr>
          <w:t>https://cordis.europa.eu/project/id/621228</w:t>
        </w:r>
      </w:hyperlink>
      <w:r w:rsidRPr="000E0A4F">
        <w:rPr>
          <w:lang w:val="de-DE"/>
        </w:rPr>
        <w:t xml:space="preserve"> </w:t>
      </w:r>
    </w:p>
  </w:footnote>
  <w:footnote w:id="152">
    <w:p w14:paraId="0AB31C72" w14:textId="77777777" w:rsidR="00F76020" w:rsidRPr="006C08CF" w:rsidRDefault="00F76020" w:rsidP="00776950">
      <w:pPr>
        <w:pStyle w:val="FootnoteText"/>
      </w:pPr>
      <w:r w:rsidRPr="00B364CB">
        <w:rPr>
          <w:rStyle w:val="FootnoteReference"/>
        </w:rPr>
        <w:footnoteRef/>
      </w:r>
      <w:r w:rsidRPr="006C08CF">
        <w:t xml:space="preserve"> </w:t>
      </w:r>
      <w:hyperlink r:id="rId88" w:history="1">
        <w:r w:rsidRPr="006C08CF">
          <w:rPr>
            <w:rStyle w:val="Hyperlink"/>
            <w:rFonts w:eastAsia="Arial"/>
          </w:rPr>
          <w:t>https://fchobservatory.eu/</w:t>
        </w:r>
      </w:hyperlink>
    </w:p>
  </w:footnote>
  <w:footnote w:id="153">
    <w:p w14:paraId="2449C5B2" w14:textId="4AEAF74D" w:rsidR="00F76020" w:rsidRPr="006C08CF" w:rsidRDefault="00F76020">
      <w:pPr>
        <w:pStyle w:val="FootnoteText"/>
      </w:pPr>
      <w:r w:rsidRPr="00B364CB">
        <w:rPr>
          <w:rStyle w:val="FootnoteReference"/>
        </w:rPr>
        <w:footnoteRef/>
      </w:r>
      <w:r w:rsidRPr="006C08CF">
        <w:t xml:space="preserve"> </w:t>
      </w:r>
      <w:hyperlink r:id="rId89" w:history="1">
        <w:r w:rsidRPr="006C08CF">
          <w:rPr>
            <w:rStyle w:val="Hyperlink"/>
          </w:rPr>
          <w:t>https://cordis.europa.eu/project/id/671461</w:t>
        </w:r>
      </w:hyperlink>
      <w:r w:rsidRPr="006C08CF">
        <w:t xml:space="preserve"> </w:t>
      </w:r>
    </w:p>
  </w:footnote>
  <w:footnote w:id="154">
    <w:p w14:paraId="7656E90E" w14:textId="3BF65083" w:rsidR="00F76020" w:rsidRPr="006C08CF" w:rsidRDefault="00F76020">
      <w:pPr>
        <w:pStyle w:val="FootnoteText"/>
      </w:pPr>
      <w:r w:rsidRPr="00B364CB">
        <w:rPr>
          <w:rStyle w:val="FootnoteReference"/>
        </w:rPr>
        <w:footnoteRef/>
      </w:r>
      <w:r w:rsidRPr="006C08CF">
        <w:t xml:space="preserve"> </w:t>
      </w:r>
      <w:hyperlink r:id="rId90" w:history="1">
        <w:r w:rsidRPr="006C08CF">
          <w:rPr>
            <w:rStyle w:val="Hyperlink"/>
          </w:rPr>
          <w:t>https://cordis.europa.eu/project/id/779613</w:t>
        </w:r>
      </w:hyperlink>
      <w:r w:rsidRPr="006C08CF">
        <w:t xml:space="preserve"> </w:t>
      </w:r>
    </w:p>
  </w:footnote>
  <w:footnote w:id="155">
    <w:p w14:paraId="6E86CCC1" w14:textId="77777777" w:rsidR="00F76020" w:rsidRPr="006C08CF" w:rsidRDefault="00F76020" w:rsidP="00370D24">
      <w:pPr>
        <w:pStyle w:val="FootnoteText"/>
      </w:pPr>
      <w:r w:rsidRPr="00B364CB">
        <w:rPr>
          <w:rStyle w:val="FootnoteReference"/>
        </w:rPr>
        <w:footnoteRef/>
      </w:r>
      <w:r w:rsidRPr="006C08CF">
        <w:t xml:space="preserve"> </w:t>
      </w:r>
      <w:hyperlink r:id="rId91" w:history="1">
        <w:r w:rsidRPr="006C08CF">
          <w:rPr>
            <w:rStyle w:val="Hyperlink"/>
          </w:rPr>
          <w:t>https://cordis.europa.eu/project/id/826193</w:t>
        </w:r>
      </w:hyperlink>
    </w:p>
  </w:footnote>
  <w:footnote w:id="156">
    <w:p w14:paraId="1B2A8675" w14:textId="766A8F7C" w:rsidR="00F76020" w:rsidRPr="006C08CF" w:rsidRDefault="00F76020">
      <w:pPr>
        <w:pStyle w:val="FootnoteText"/>
      </w:pPr>
      <w:r w:rsidRPr="00B364CB">
        <w:rPr>
          <w:rStyle w:val="FootnoteReference"/>
        </w:rPr>
        <w:footnoteRef/>
      </w:r>
      <w:r w:rsidRPr="006C08CF">
        <w:t xml:space="preserve"> </w:t>
      </w:r>
      <w:hyperlink r:id="rId92" w:history="1">
        <w:r w:rsidRPr="006C08CF">
          <w:rPr>
            <w:rStyle w:val="Hyperlink"/>
          </w:rPr>
          <w:t>https://cordis.europa.eu/project/id/325326</w:t>
        </w:r>
      </w:hyperlink>
      <w:r w:rsidRPr="006C08CF">
        <w:t xml:space="preserve"> </w:t>
      </w:r>
    </w:p>
  </w:footnote>
  <w:footnote w:id="157">
    <w:p w14:paraId="08A55FCC" w14:textId="16081C83" w:rsidR="00F76020" w:rsidRPr="006C08CF" w:rsidRDefault="00F76020">
      <w:pPr>
        <w:pStyle w:val="FootnoteText"/>
      </w:pPr>
      <w:r w:rsidRPr="00B364CB">
        <w:rPr>
          <w:rStyle w:val="FootnoteReference"/>
        </w:rPr>
        <w:footnoteRef/>
      </w:r>
      <w:r w:rsidRPr="006C08CF">
        <w:t xml:space="preserve"> </w:t>
      </w:r>
      <w:hyperlink r:id="rId93" w:history="1">
        <w:r w:rsidRPr="006C08CF">
          <w:rPr>
            <w:rStyle w:val="Hyperlink"/>
          </w:rPr>
          <w:t>https://cordis.europa.eu/project/id/325348</w:t>
        </w:r>
      </w:hyperlink>
      <w:r w:rsidRPr="006C08CF">
        <w:t xml:space="preserve"> </w:t>
      </w:r>
    </w:p>
  </w:footnote>
  <w:footnote w:id="158">
    <w:p w14:paraId="2A3CDF78" w14:textId="0A6C5552" w:rsidR="00F76020" w:rsidRPr="006C08CF" w:rsidRDefault="00F76020">
      <w:pPr>
        <w:pStyle w:val="FootnoteText"/>
      </w:pPr>
      <w:r w:rsidRPr="00B364CB">
        <w:rPr>
          <w:rStyle w:val="FootnoteReference"/>
        </w:rPr>
        <w:footnoteRef/>
      </w:r>
      <w:r w:rsidRPr="006C08CF">
        <w:t xml:space="preserve"> </w:t>
      </w:r>
      <w:hyperlink r:id="rId94" w:history="1">
        <w:r w:rsidRPr="006C08CF">
          <w:rPr>
            <w:rStyle w:val="Hyperlink"/>
          </w:rPr>
          <w:t>https://cordis.europa.eu/project/id/621223</w:t>
        </w:r>
      </w:hyperlink>
      <w:r w:rsidRPr="006C08CF">
        <w:t xml:space="preserve"> </w:t>
      </w:r>
    </w:p>
  </w:footnote>
  <w:footnote w:id="159">
    <w:p w14:paraId="53146487" w14:textId="5979C4AC" w:rsidR="00F76020" w:rsidRPr="006C08CF" w:rsidRDefault="00F76020">
      <w:pPr>
        <w:pStyle w:val="FootnoteText"/>
      </w:pPr>
      <w:r w:rsidRPr="00B364CB">
        <w:rPr>
          <w:rStyle w:val="FootnoteReference"/>
        </w:rPr>
        <w:footnoteRef/>
      </w:r>
      <w:r w:rsidRPr="006C08CF">
        <w:t xml:space="preserve"> </w:t>
      </w:r>
      <w:hyperlink r:id="rId95" w:history="1">
        <w:r w:rsidRPr="006C08CF">
          <w:rPr>
            <w:rStyle w:val="Hyperlink"/>
          </w:rPr>
          <w:t>https://cordis.europa.eu/project/id/325329</w:t>
        </w:r>
      </w:hyperlink>
      <w:r w:rsidRPr="006C08CF">
        <w:t xml:space="preserve"> </w:t>
      </w:r>
    </w:p>
  </w:footnote>
  <w:footnote w:id="160">
    <w:p w14:paraId="0E25A55B" w14:textId="399CB604" w:rsidR="00F76020" w:rsidRPr="006C08CF" w:rsidRDefault="00F76020">
      <w:pPr>
        <w:pStyle w:val="FootnoteText"/>
      </w:pPr>
      <w:r w:rsidRPr="00B364CB">
        <w:rPr>
          <w:rStyle w:val="FootnoteReference"/>
        </w:rPr>
        <w:footnoteRef/>
      </w:r>
      <w:r w:rsidRPr="006C08CF">
        <w:t xml:space="preserve"> </w:t>
      </w:r>
      <w:hyperlink r:id="rId96" w:history="1">
        <w:r w:rsidRPr="006C08CF">
          <w:rPr>
            <w:rStyle w:val="Hyperlink"/>
          </w:rPr>
          <w:t>https://cordis.europa.eu/project/id/826193</w:t>
        </w:r>
      </w:hyperlink>
      <w:r w:rsidRPr="006C08CF">
        <w:t xml:space="preserve"> </w:t>
      </w:r>
    </w:p>
  </w:footnote>
  <w:footnote w:id="161">
    <w:p w14:paraId="3C9D75AE" w14:textId="4607C6EC" w:rsidR="00F76020" w:rsidRPr="006C08CF" w:rsidRDefault="00F76020">
      <w:pPr>
        <w:pStyle w:val="FootnoteText"/>
      </w:pPr>
      <w:r w:rsidRPr="00B364CB">
        <w:rPr>
          <w:rStyle w:val="FootnoteReference"/>
        </w:rPr>
        <w:footnoteRef/>
      </w:r>
      <w:r w:rsidRPr="006C08CF">
        <w:t xml:space="preserve"> </w:t>
      </w:r>
      <w:hyperlink r:id="rId97" w:history="1">
        <w:r w:rsidRPr="006C08CF">
          <w:rPr>
            <w:rStyle w:val="Hyperlink"/>
          </w:rPr>
          <w:t>https://cordis.europa.eu/project/id/303445</w:t>
        </w:r>
      </w:hyperlink>
      <w:r w:rsidRPr="006C08CF">
        <w:t xml:space="preserve"> </w:t>
      </w:r>
    </w:p>
  </w:footnote>
  <w:footnote w:id="162">
    <w:p w14:paraId="1C2FFDE2" w14:textId="0AA0561B" w:rsidR="00F76020" w:rsidRPr="006C08CF" w:rsidRDefault="00F76020">
      <w:pPr>
        <w:pStyle w:val="FootnoteText"/>
      </w:pPr>
      <w:r w:rsidRPr="00B364CB">
        <w:rPr>
          <w:rStyle w:val="FootnoteReference"/>
        </w:rPr>
        <w:footnoteRef/>
      </w:r>
      <w:r w:rsidRPr="006C08CF">
        <w:t xml:space="preserve"> </w:t>
      </w:r>
      <w:hyperlink r:id="rId98" w:history="1">
        <w:r w:rsidRPr="006C08CF">
          <w:rPr>
            <w:rStyle w:val="Hyperlink"/>
          </w:rPr>
          <w:t>https://cordis.europa.eu/project/id/621245</w:t>
        </w:r>
      </w:hyperlink>
      <w:r w:rsidRPr="006C08CF">
        <w:t xml:space="preserve"> </w:t>
      </w:r>
    </w:p>
  </w:footnote>
  <w:footnote w:id="163">
    <w:p w14:paraId="2DE30E4A" w14:textId="3F5A1C9A" w:rsidR="00F76020" w:rsidRPr="006C08CF" w:rsidRDefault="00F76020">
      <w:pPr>
        <w:pStyle w:val="FootnoteText"/>
      </w:pPr>
      <w:r w:rsidRPr="00B364CB">
        <w:rPr>
          <w:rStyle w:val="FootnoteReference"/>
        </w:rPr>
        <w:footnoteRef/>
      </w:r>
      <w:r w:rsidRPr="006C08CF">
        <w:t xml:space="preserve"> </w:t>
      </w:r>
      <w:hyperlink r:id="rId99" w:history="1">
        <w:r w:rsidRPr="006C08CF">
          <w:rPr>
            <w:rStyle w:val="Hyperlink"/>
          </w:rPr>
          <w:t>https://cordis.europa.eu/project/id/735977</w:t>
        </w:r>
      </w:hyperlink>
      <w:r w:rsidRPr="006C08CF">
        <w:t xml:space="preserve"> </w:t>
      </w:r>
    </w:p>
  </w:footnote>
  <w:footnote w:id="164">
    <w:p w14:paraId="3E7AA282" w14:textId="59E2C3E7" w:rsidR="00F76020" w:rsidRPr="006C08CF" w:rsidRDefault="00F76020">
      <w:pPr>
        <w:pStyle w:val="FootnoteText"/>
      </w:pPr>
      <w:r w:rsidRPr="00B364CB">
        <w:rPr>
          <w:rStyle w:val="FootnoteReference"/>
        </w:rPr>
        <w:footnoteRef/>
      </w:r>
      <w:r w:rsidRPr="006C08CF">
        <w:t xml:space="preserve"> </w:t>
      </w:r>
      <w:hyperlink r:id="rId100" w:history="1">
        <w:r w:rsidRPr="006C08CF">
          <w:rPr>
            <w:rStyle w:val="Hyperlink"/>
          </w:rPr>
          <w:t>https://www.certifhy.eu/</w:t>
        </w:r>
      </w:hyperlink>
    </w:p>
  </w:footnote>
  <w:footnote w:id="165">
    <w:p w14:paraId="69206615" w14:textId="171B89A9" w:rsidR="00F76020" w:rsidRPr="00CA5DC0" w:rsidRDefault="00F76020">
      <w:pPr>
        <w:pStyle w:val="FootnoteText"/>
      </w:pPr>
      <w:r>
        <w:rPr>
          <w:rStyle w:val="FootnoteReference"/>
        </w:rPr>
        <w:footnoteRef/>
      </w:r>
      <w:r>
        <w:t xml:space="preserve"> </w:t>
      </w:r>
      <w:r w:rsidRPr="00CA5DC0">
        <w:t xml:space="preserve">In straight cooperation with the European Commission </w:t>
      </w:r>
      <w:r>
        <w:t xml:space="preserve">(on behalf of the European Union) </w:t>
      </w:r>
      <w:r w:rsidRPr="00CA5DC0">
        <w:t xml:space="preserve">in its role of co-leader of the Innovation Challenge 8 (Renewable and Clean Hydrogen) of Mission Innovation, the </w:t>
      </w:r>
      <w:r>
        <w:t>FCH 2 </w:t>
      </w:r>
      <w:r w:rsidRPr="00CA5DC0">
        <w:t>JU developed the Hydrogen Valley Platform (</w:t>
      </w:r>
      <w:hyperlink r:id="rId101" w:history="1">
        <w:r w:rsidRPr="003C5549">
          <w:rPr>
            <w:rStyle w:val="Hyperlink"/>
          </w:rPr>
          <w:t>www.h2v.eu</w:t>
        </w:r>
      </w:hyperlink>
      <w:r w:rsidRPr="00CA5DC0">
        <w:t xml:space="preserve">), a global information sharing platform providing valuable data. Already more than 30 hydrogen valleys are presented in this platform. An analysis of these valleys has been performed and findings are presented in the report ‘Hydrogen valleys – insights into the emerging hydrogen economies around the world’ – Fuel Cells And Hydrogen 2 Joint Undertaking, ‘Hydrogen valleys – insights into the emerging hydrogen economies around the world’, 2021 </w:t>
      </w:r>
      <w:hyperlink r:id="rId102" w:history="1">
        <w:r w:rsidRPr="003C5549">
          <w:rPr>
            <w:rStyle w:val="Hyperlink"/>
          </w:rPr>
          <w:t>https://www.fch.europa.eu/sites/default/files/documents/20210527_Hydrogen_Valleys_final_ONLINE.pdf</w:t>
        </w:r>
      </w:hyperlink>
      <w:r w:rsidRPr="00CA5DC0">
        <w:t>.</w:t>
      </w:r>
    </w:p>
  </w:footnote>
  <w:footnote w:id="166">
    <w:p w14:paraId="293D856B" w14:textId="742B36AE" w:rsidR="00F76020" w:rsidRPr="002F294C" w:rsidRDefault="00F76020">
      <w:pPr>
        <w:pStyle w:val="FootnoteText"/>
      </w:pPr>
      <w:r>
        <w:rPr>
          <w:rStyle w:val="FootnoteReference"/>
        </w:rPr>
        <w:footnoteRef/>
      </w:r>
      <w:r>
        <w:t xml:space="preserve"> </w:t>
      </w:r>
      <w:hyperlink r:id="rId103" w:history="1">
        <w:r w:rsidRPr="003C5549">
          <w:rPr>
            <w:rStyle w:val="Hyperlink"/>
          </w:rPr>
          <w:t>http://www.mission-innovation.net/missions/hydrogen/</w:t>
        </w:r>
      </w:hyperlink>
      <w:r>
        <w:t xml:space="preserve"> </w:t>
      </w:r>
    </w:p>
  </w:footnote>
  <w:footnote w:id="167">
    <w:p w14:paraId="0898B7D9" w14:textId="0EF17D52" w:rsidR="00F76020" w:rsidRPr="00627BC1" w:rsidRDefault="00F76020">
      <w:pPr>
        <w:pStyle w:val="FootnoteText"/>
      </w:pPr>
      <w:r w:rsidRPr="00B364CB">
        <w:rPr>
          <w:rStyle w:val="FootnoteReference"/>
        </w:rPr>
        <w:footnoteRef/>
      </w:r>
      <w:r w:rsidRPr="00627BC1">
        <w:t xml:space="preserve"> </w:t>
      </w:r>
      <w:hyperlink r:id="rId104" w:history="1">
        <w:r w:rsidRPr="00627BC1">
          <w:rPr>
            <w:rStyle w:val="Hyperlink"/>
          </w:rPr>
          <w:t>http://h2territory.eu/</w:t>
        </w:r>
      </w:hyperlink>
      <w:r w:rsidRPr="00627BC1">
        <w:t xml:space="preserve"> </w:t>
      </w:r>
    </w:p>
  </w:footnote>
  <w:footnote w:id="168">
    <w:p w14:paraId="795CC13D" w14:textId="2F32B476" w:rsidR="00F76020" w:rsidRPr="00B364CB" w:rsidRDefault="00F76020" w:rsidP="005A3BA0">
      <w:pPr>
        <w:pStyle w:val="FootnoteText"/>
      </w:pPr>
      <w:r w:rsidRPr="00B364CB">
        <w:rPr>
          <w:rStyle w:val="FootnoteReference"/>
        </w:rPr>
        <w:footnoteRef/>
      </w:r>
      <w:r w:rsidRPr="00B364CB">
        <w:t xml:space="preserve"> Strengthening Strategic Value Chains for a future-ready EU Industry</w:t>
      </w:r>
      <w:r>
        <w:t>, EC,</w:t>
      </w:r>
      <w:r w:rsidRPr="00B364CB">
        <w:t xml:space="preserve"> 2019</w:t>
      </w:r>
      <w:r>
        <w:t>.</w:t>
      </w:r>
    </w:p>
  </w:footnote>
  <w:footnote w:id="169">
    <w:p w14:paraId="1B62F118" w14:textId="55694E1B" w:rsidR="00F76020" w:rsidRPr="00B364CB" w:rsidRDefault="00F76020" w:rsidP="008B552F">
      <w:pPr>
        <w:pStyle w:val="FootnoteText"/>
      </w:pPr>
      <w:r w:rsidRPr="00B364CB">
        <w:rPr>
          <w:rStyle w:val="FootnoteReference"/>
        </w:rPr>
        <w:footnoteRef/>
      </w:r>
      <w:r w:rsidRPr="00B364CB">
        <w:t xml:space="preserve"> </w:t>
      </w:r>
      <w:hyperlink r:id="rId105" w:history="1">
        <w:r w:rsidRPr="00AE30D1">
          <w:rPr>
            <w:rStyle w:val="Hyperlink"/>
          </w:rPr>
          <w:t>Value added of the hydrogen and fuel cell sector in Europe</w:t>
        </w:r>
      </w:hyperlink>
      <w:r w:rsidRPr="00B364CB">
        <w:t xml:space="preserve">, </w:t>
      </w:r>
      <w:r>
        <w:t>FCH 2 JU,</w:t>
      </w:r>
      <w:r w:rsidRPr="00B364CB">
        <w:t xml:space="preserve"> 2019</w:t>
      </w:r>
      <w:r>
        <w:t>.</w:t>
      </w:r>
    </w:p>
  </w:footnote>
  <w:footnote w:id="170">
    <w:p w14:paraId="7781C250" w14:textId="77777777" w:rsidR="007D34A4" w:rsidRPr="000F7AFD" w:rsidRDefault="007D34A4" w:rsidP="007D34A4">
      <w:pPr>
        <w:pStyle w:val="CommentText"/>
      </w:pPr>
      <w:r>
        <w:rPr>
          <w:rStyle w:val="FootnoteReference"/>
          <w:rFonts w:eastAsia="Arial"/>
        </w:rPr>
        <w:footnoteRef/>
      </w:r>
      <w:r>
        <w:t xml:space="preserve"> As per </w:t>
      </w:r>
      <w:r w:rsidRPr="00605EFD">
        <w:rPr>
          <w:i/>
          <w:iCs/>
        </w:rPr>
        <w:t>Recital 14</w:t>
      </w:r>
      <w:r>
        <w:t xml:space="preserve"> of the SBA.</w:t>
      </w:r>
    </w:p>
  </w:footnote>
  <w:footnote w:id="171">
    <w:p w14:paraId="480871B8" w14:textId="77777777" w:rsidR="007D34A4" w:rsidRPr="001B1B91" w:rsidRDefault="007D34A4" w:rsidP="007D34A4">
      <w:pPr>
        <w:pStyle w:val="FootnoteText"/>
      </w:pPr>
      <w:r>
        <w:rPr>
          <w:rStyle w:val="FootnoteReference"/>
          <w:rFonts w:eastAsia="Arial"/>
        </w:rPr>
        <w:footnoteRef/>
      </w:r>
      <w:r>
        <w:t xml:space="preserve"> </w:t>
      </w:r>
      <w:r w:rsidRPr="00605EFD">
        <w:rPr>
          <w:i/>
          <w:iCs/>
        </w:rPr>
        <w:t>Recital 11</w:t>
      </w:r>
      <w:r>
        <w:t xml:space="preserve"> of the SBA </w:t>
      </w:r>
    </w:p>
  </w:footnote>
  <w:footnote w:id="172">
    <w:p w14:paraId="06FF8706" w14:textId="77777777" w:rsidR="007D34A4" w:rsidRPr="006607CB" w:rsidRDefault="007D34A4" w:rsidP="007D34A4">
      <w:pPr>
        <w:contextualSpacing/>
        <w:jc w:val="both"/>
        <w:rPr>
          <w:sz w:val="20"/>
          <w:szCs w:val="20"/>
          <w:lang w:eastAsia="fr-BE"/>
        </w:rPr>
      </w:pPr>
      <w:r w:rsidRPr="00095BE7">
        <w:rPr>
          <w:rStyle w:val="FootnoteReference"/>
          <w:rFonts w:eastAsia="Arial"/>
        </w:rPr>
        <w:footnoteRef/>
      </w:r>
      <w:r w:rsidRPr="00095BE7">
        <w:rPr>
          <w:sz w:val="20"/>
          <w:szCs w:val="20"/>
        </w:rPr>
        <w:t xml:space="preserve"> </w:t>
      </w:r>
      <w:r w:rsidRPr="00605EFD">
        <w:rPr>
          <w:i/>
          <w:iCs/>
          <w:sz w:val="20"/>
          <w:szCs w:val="20"/>
        </w:rPr>
        <w:t>Recital 51</w:t>
      </w:r>
      <w:r>
        <w:rPr>
          <w:sz w:val="20"/>
          <w:szCs w:val="20"/>
        </w:rPr>
        <w:t xml:space="preserve"> of the SBA </w:t>
      </w:r>
    </w:p>
  </w:footnote>
  <w:footnote w:id="173">
    <w:p w14:paraId="13EBA93B" w14:textId="77777777" w:rsidR="007D34A4" w:rsidRPr="00095BE7" w:rsidRDefault="007D34A4" w:rsidP="007D34A4">
      <w:pPr>
        <w:contextualSpacing/>
        <w:jc w:val="both"/>
      </w:pPr>
      <w:r w:rsidRPr="00095BE7">
        <w:rPr>
          <w:rStyle w:val="FootnoteReference"/>
          <w:rFonts w:eastAsia="Arial"/>
        </w:rPr>
        <w:footnoteRef/>
      </w:r>
      <w:r w:rsidRPr="00095BE7">
        <w:t xml:space="preserve"> </w:t>
      </w:r>
      <w:r w:rsidRPr="00605EFD">
        <w:rPr>
          <w:i/>
          <w:iCs/>
          <w:sz w:val="20"/>
          <w:szCs w:val="20"/>
        </w:rPr>
        <w:t>Recital 51</w:t>
      </w:r>
      <w:r>
        <w:rPr>
          <w:sz w:val="20"/>
          <w:szCs w:val="20"/>
        </w:rPr>
        <w:t xml:space="preserve"> of the SBA </w:t>
      </w:r>
    </w:p>
  </w:footnote>
  <w:footnote w:id="174">
    <w:p w14:paraId="52C7EAD0" w14:textId="77777777" w:rsidR="007D34A4" w:rsidRPr="000E51C5" w:rsidRDefault="007D34A4" w:rsidP="007D34A4">
      <w:pPr>
        <w:contextualSpacing/>
        <w:jc w:val="both"/>
        <w:rPr>
          <w:sz w:val="20"/>
          <w:szCs w:val="20"/>
          <w:lang w:eastAsia="fr-BE"/>
        </w:rPr>
      </w:pPr>
      <w:r w:rsidRPr="00095BE7">
        <w:rPr>
          <w:rStyle w:val="FootnoteReference"/>
          <w:rFonts w:eastAsia="Arial"/>
        </w:rPr>
        <w:footnoteRef/>
      </w:r>
      <w:r w:rsidRPr="00095BE7">
        <w:t xml:space="preserve"> </w:t>
      </w:r>
      <w:r w:rsidRPr="00605EFD">
        <w:rPr>
          <w:i/>
          <w:iCs/>
          <w:sz w:val="20"/>
          <w:szCs w:val="20"/>
        </w:rPr>
        <w:t>Recital 51</w:t>
      </w:r>
      <w:r>
        <w:rPr>
          <w:sz w:val="20"/>
          <w:szCs w:val="20"/>
        </w:rPr>
        <w:t xml:space="preserve"> of the SBA</w:t>
      </w:r>
    </w:p>
  </w:footnote>
  <w:footnote w:id="175">
    <w:p w14:paraId="5A88181C" w14:textId="77777777" w:rsidR="007D34A4" w:rsidRPr="00475207" w:rsidRDefault="007D34A4" w:rsidP="007D34A4">
      <w:pPr>
        <w:pStyle w:val="FootnoteText"/>
      </w:pPr>
      <w:r>
        <w:rPr>
          <w:rStyle w:val="FootnoteReference"/>
          <w:rFonts w:eastAsia="Arial"/>
        </w:rPr>
        <w:footnoteRef/>
      </w:r>
      <w:r>
        <w:t xml:space="preserve"> Relevant articles in the SBA developing on the Governing Board responsibilities regarding synergies are </w:t>
      </w:r>
      <w:r w:rsidRPr="00605EFD">
        <w:rPr>
          <w:i/>
          <w:iCs/>
        </w:rPr>
        <w:t>Art. 16</w:t>
      </w:r>
      <w:r w:rsidRPr="00475207">
        <w:t xml:space="preserve"> </w:t>
      </w:r>
      <w:r>
        <w:t xml:space="preserve">and </w:t>
      </w:r>
      <w:r w:rsidRPr="00605EFD">
        <w:rPr>
          <w:i/>
          <w:iCs/>
        </w:rPr>
        <w:t>Art. 80</w:t>
      </w:r>
      <w:r w:rsidRPr="00475207">
        <w:t xml:space="preserve"> </w:t>
      </w:r>
    </w:p>
  </w:footnote>
  <w:footnote w:id="176">
    <w:p w14:paraId="3211CF40" w14:textId="77777777" w:rsidR="007D34A4" w:rsidRPr="0038757E" w:rsidRDefault="007D34A4" w:rsidP="007D34A4">
      <w:pPr>
        <w:pStyle w:val="FootnoteText"/>
      </w:pPr>
      <w:r>
        <w:rPr>
          <w:rStyle w:val="FootnoteReference"/>
          <w:rFonts w:eastAsia="Arial"/>
        </w:rPr>
        <w:footnoteRef/>
      </w:r>
      <w:r>
        <w:t xml:space="preserve"> Relevant articles in the SBA developing on the Executive Director responsibilities regarding synergies are </w:t>
      </w:r>
      <w:r w:rsidRPr="00605EFD">
        <w:rPr>
          <w:i/>
          <w:iCs/>
          <w:lang w:val="en-US"/>
        </w:rPr>
        <w:t>Art. 18</w:t>
      </w:r>
      <w:r>
        <w:t xml:space="preserve">, </w:t>
      </w:r>
      <w:r w:rsidRPr="0038757E">
        <w:rPr>
          <w:i/>
          <w:iCs/>
          <w:lang w:val="en-US"/>
        </w:rPr>
        <w:t>Art</w:t>
      </w:r>
      <w:r w:rsidRPr="00605EFD">
        <w:rPr>
          <w:i/>
          <w:iCs/>
          <w:lang w:val="en-US"/>
        </w:rPr>
        <w:t>.</w:t>
      </w:r>
      <w:r w:rsidRPr="0038757E">
        <w:rPr>
          <w:i/>
          <w:iCs/>
          <w:lang w:val="en-US"/>
        </w:rPr>
        <w:t xml:space="preserve"> 24(</w:t>
      </w:r>
      <w:r w:rsidRPr="00651A9F">
        <w:rPr>
          <w:i/>
          <w:iCs/>
          <w:lang w:val="en-US"/>
        </w:rPr>
        <w:t>2.e)</w:t>
      </w:r>
      <w:r w:rsidRPr="00651A9F">
        <w:rPr>
          <w:lang w:val="en-US"/>
        </w:rPr>
        <w:t xml:space="preserve"> </w:t>
      </w:r>
      <w:r w:rsidRPr="00651A9F">
        <w:t xml:space="preserve">and Art. 81 </w:t>
      </w:r>
    </w:p>
  </w:footnote>
  <w:footnote w:id="177">
    <w:p w14:paraId="7048A55C" w14:textId="77777777" w:rsidR="007D34A4" w:rsidRPr="00BB7BC3" w:rsidRDefault="007D34A4" w:rsidP="007D34A4">
      <w:pPr>
        <w:pStyle w:val="FootnoteText"/>
      </w:pPr>
      <w:r>
        <w:rPr>
          <w:rStyle w:val="FootnoteReference"/>
          <w:rFonts w:eastAsia="Arial"/>
        </w:rPr>
        <w:footnoteRef/>
      </w:r>
      <w:r>
        <w:t xml:space="preserve"> </w:t>
      </w:r>
      <w:r w:rsidRPr="00605EFD">
        <w:rPr>
          <w:i/>
          <w:iCs/>
        </w:rPr>
        <w:t>Article 18a</w:t>
      </w:r>
      <w:r w:rsidRPr="00BB7BC3">
        <w:t xml:space="preserve"> </w:t>
      </w:r>
      <w:r>
        <w:t>of the SBA, paragraphs (7), (9) and (11).</w:t>
      </w:r>
    </w:p>
  </w:footnote>
  <w:footnote w:id="178">
    <w:p w14:paraId="2DFCB5D5" w14:textId="77777777" w:rsidR="007D34A4" w:rsidRPr="00BB7BC3" w:rsidRDefault="007D34A4" w:rsidP="007D34A4">
      <w:pPr>
        <w:pStyle w:val="FootnoteText"/>
      </w:pPr>
      <w:r>
        <w:rPr>
          <w:rStyle w:val="FootnoteReference"/>
          <w:rFonts w:eastAsia="Arial"/>
        </w:rPr>
        <w:footnoteRef/>
      </w:r>
      <w:r>
        <w:t xml:space="preserve"> </w:t>
      </w:r>
      <w:r w:rsidRPr="00605EFD">
        <w:rPr>
          <w:i/>
          <w:iCs/>
        </w:rPr>
        <w:t>Article</w:t>
      </w:r>
      <w:r>
        <w:rPr>
          <w:i/>
          <w:iCs/>
        </w:rPr>
        <w:t>s</w:t>
      </w:r>
      <w:r w:rsidRPr="00605EFD">
        <w:rPr>
          <w:i/>
          <w:iCs/>
        </w:rPr>
        <w:t xml:space="preserve"> 21</w:t>
      </w:r>
      <w:r>
        <w:rPr>
          <w:i/>
          <w:iCs/>
        </w:rPr>
        <w:t>(</w:t>
      </w:r>
      <w:r w:rsidRPr="00605EFD">
        <w:rPr>
          <w:i/>
          <w:iCs/>
        </w:rPr>
        <w:t>5)</w:t>
      </w:r>
      <w:r>
        <w:rPr>
          <w:i/>
          <w:iCs/>
        </w:rPr>
        <w:t xml:space="preserve"> and</w:t>
      </w:r>
      <w:r w:rsidRPr="00BB7BC3">
        <w:t xml:space="preserve"> </w:t>
      </w:r>
      <w:r w:rsidRPr="00605EFD">
        <w:rPr>
          <w:i/>
          <w:iCs/>
        </w:rPr>
        <w:t>82</w:t>
      </w:r>
      <w:r w:rsidRPr="00BB7BC3">
        <w:t xml:space="preserve"> </w:t>
      </w:r>
      <w:r>
        <w:t>(1-2) of the SBA.</w:t>
      </w:r>
    </w:p>
  </w:footnote>
  <w:footnote w:id="179">
    <w:p w14:paraId="52D86626" w14:textId="77777777" w:rsidR="007D34A4" w:rsidRPr="001B1B91" w:rsidRDefault="007D34A4" w:rsidP="007D34A4">
      <w:pPr>
        <w:pStyle w:val="FootnoteText"/>
      </w:pPr>
      <w:r>
        <w:rPr>
          <w:rStyle w:val="FootnoteReference"/>
          <w:rFonts w:eastAsia="Arial"/>
        </w:rPr>
        <w:footnoteRef/>
      </w:r>
      <w:r>
        <w:t xml:space="preserve"> </w:t>
      </w:r>
      <w:r w:rsidRPr="00605EFD">
        <w:rPr>
          <w:i/>
          <w:iCs/>
        </w:rPr>
        <w:t>Recital 14</w:t>
      </w:r>
      <w:r>
        <w:t xml:space="preserve"> of the SBA.</w:t>
      </w:r>
    </w:p>
  </w:footnote>
  <w:footnote w:id="180">
    <w:p w14:paraId="52D39B5E" w14:textId="77777777" w:rsidR="007D34A4" w:rsidRPr="00DE3497" w:rsidRDefault="007D34A4" w:rsidP="007D34A4">
      <w:pPr>
        <w:pStyle w:val="CommentText"/>
      </w:pPr>
      <w:r>
        <w:rPr>
          <w:rStyle w:val="FootnoteReference"/>
          <w:rFonts w:eastAsia="Arial"/>
        </w:rPr>
        <w:footnoteRef/>
      </w:r>
      <w:r>
        <w:t xml:space="preserve"> See </w:t>
      </w:r>
      <w:r w:rsidRPr="00EA09E9">
        <w:rPr>
          <w:i/>
          <w:iCs/>
        </w:rPr>
        <w:t>Article 7(7)</w:t>
      </w:r>
      <w:r>
        <w:t xml:space="preserve"> abd </w:t>
      </w:r>
      <w:r w:rsidRPr="00EA09E9">
        <w:rPr>
          <w:i/>
          <w:iCs/>
        </w:rPr>
        <w:t>Article 15</w:t>
      </w:r>
      <w:r>
        <w:t xml:space="preserve"> </w:t>
      </w:r>
      <w:r>
        <w:rPr>
          <w:lang w:val="en-US"/>
        </w:rPr>
        <w:t>–</w:t>
      </w:r>
      <w:r w:rsidRPr="00683B6B">
        <w:rPr>
          <w:lang w:val="en-US"/>
        </w:rPr>
        <w:t xml:space="preserve"> </w:t>
      </w:r>
      <w:r w:rsidRPr="00FC6857">
        <w:rPr>
          <w:i/>
          <w:iCs/>
          <w:lang w:val="en-US"/>
        </w:rPr>
        <w:t>Alternative, combined and cumulative funding and transfers of resources</w:t>
      </w:r>
      <w:r>
        <w:rPr>
          <w:lang w:val="en-US"/>
        </w:rPr>
        <w:t>; and</w:t>
      </w:r>
      <w:r w:rsidRPr="00683B6B">
        <w:rPr>
          <w:lang w:val="en-US"/>
        </w:rPr>
        <w:t xml:space="preserve"> </w:t>
      </w:r>
      <w:r w:rsidRPr="00EA09E9">
        <w:rPr>
          <w:i/>
          <w:iCs/>
          <w:lang w:val="en-US"/>
        </w:rPr>
        <w:t>Annex IV</w:t>
      </w:r>
      <w:r w:rsidRPr="00683B6B">
        <w:rPr>
          <w:lang w:val="en-US"/>
        </w:rPr>
        <w:t xml:space="preserve"> </w:t>
      </w:r>
      <w:r>
        <w:rPr>
          <w:lang w:val="en-US"/>
        </w:rPr>
        <w:t>–</w:t>
      </w:r>
      <w:r w:rsidRPr="00683B6B">
        <w:rPr>
          <w:lang w:val="en-US"/>
        </w:rPr>
        <w:t xml:space="preserve"> </w:t>
      </w:r>
      <w:r w:rsidRPr="00FC6857">
        <w:rPr>
          <w:i/>
          <w:iCs/>
          <w:lang w:val="en-US"/>
        </w:rPr>
        <w:t>Synergies with other Union programmes</w:t>
      </w:r>
      <w:r>
        <w:t xml:space="preserve"> of the</w:t>
      </w:r>
      <w:r w:rsidRPr="00683B6B">
        <w:t xml:space="preserve"> </w:t>
      </w:r>
      <w:hyperlink r:id="rId106" w:history="1">
        <w:r w:rsidRPr="00683B6B">
          <w:rPr>
            <w:rStyle w:val="Hyperlink"/>
            <w:rFonts w:eastAsia="Arial"/>
          </w:rPr>
          <w:t>Regulation (EU) 2021/695</w:t>
        </w:r>
      </w:hyperlink>
      <w:r w:rsidRPr="00683B6B">
        <w:t xml:space="preserve"> establishing Horizon Europe</w:t>
      </w:r>
      <w:r>
        <w:t>.</w:t>
      </w:r>
    </w:p>
  </w:footnote>
  <w:footnote w:id="181">
    <w:p w14:paraId="1AFC3DA4" w14:textId="77777777" w:rsidR="007D34A4" w:rsidRDefault="007D34A4" w:rsidP="007D34A4">
      <w:pPr>
        <w:pStyle w:val="FootnoteText"/>
      </w:pPr>
      <w:r>
        <w:rPr>
          <w:rStyle w:val="FootnoteReference"/>
          <w:rFonts w:eastAsia="Arial"/>
        </w:rPr>
        <w:footnoteRef/>
      </w:r>
      <w:r>
        <w:t xml:space="preserve"> </w:t>
      </w:r>
      <w:r w:rsidRPr="00605EFD">
        <w:rPr>
          <w:i/>
          <w:iCs/>
        </w:rPr>
        <w:t>Recitals 11, 12 and 51</w:t>
      </w:r>
      <w:r>
        <w:t xml:space="preserve"> of the SBA.</w:t>
      </w:r>
    </w:p>
  </w:footnote>
  <w:footnote w:id="182">
    <w:p w14:paraId="59D583E9" w14:textId="77777777" w:rsidR="007D34A4" w:rsidRDefault="007D34A4" w:rsidP="007D34A4">
      <w:pPr>
        <w:pStyle w:val="FootnoteText"/>
      </w:pPr>
      <w:r>
        <w:rPr>
          <w:rStyle w:val="FootnoteReference"/>
          <w:rFonts w:eastAsia="Arial"/>
        </w:rPr>
        <w:footnoteRef/>
      </w:r>
      <w:r>
        <w:t xml:space="preserve"> </w:t>
      </w:r>
      <w:r w:rsidRPr="00E4788A">
        <w:t>Coherence and Synergies of candidate European Partnerships under Horizon Europe</w:t>
      </w:r>
      <w:r w:rsidRPr="00B364CB">
        <w:t xml:space="preserve">, </w:t>
      </w:r>
      <w:r>
        <w:t xml:space="preserve">EC, October 2020 </w:t>
      </w:r>
      <w:r w:rsidRPr="00B364CB">
        <w:t xml:space="preserve">DG R&amp;I, A4 Partnership Sector  </w:t>
      </w:r>
    </w:p>
  </w:footnote>
  <w:footnote w:id="183">
    <w:p w14:paraId="6F32587C" w14:textId="77777777" w:rsidR="007D34A4" w:rsidRPr="000E51C5" w:rsidRDefault="007D34A4" w:rsidP="007D34A4">
      <w:pPr>
        <w:pStyle w:val="FootnoteText"/>
      </w:pPr>
      <w:r>
        <w:rPr>
          <w:rStyle w:val="FootnoteReference"/>
          <w:rFonts w:eastAsia="Arial"/>
        </w:rPr>
        <w:footnoteRef/>
      </w:r>
      <w:r>
        <w:t xml:space="preserve"> The </w:t>
      </w:r>
      <w:r w:rsidRPr="00CC4E49">
        <w:t>Inter-Partnerships Assembly</w:t>
      </w:r>
      <w:r>
        <w:t xml:space="preserve"> includes, among others, members of the EC (e.g. R&amp;I, MOVE, CNECT, EISMEA), JRC, FCH JU, Hydrogen Europe and other European Partnerships including </w:t>
      </w:r>
      <w:r w:rsidRPr="000E51C5">
        <w:rPr>
          <w:i/>
          <w:iCs/>
        </w:rPr>
        <w:t>Towards zero-emission road transport</w:t>
      </w:r>
      <w:r>
        <w:t xml:space="preserve"> (2ZERO), Process4Planet, Clean Sky/Clean Aviation, SESAR JU, European Partnership for Clean Energy Transition, European Partnership on zero-emission waterborne transport, </w:t>
      </w:r>
      <w:r w:rsidRPr="000E51C5">
        <w:rPr>
          <w:i/>
          <w:iCs/>
        </w:rPr>
        <w:t>European Partnership on Connected and Automated Driving</w:t>
      </w:r>
      <w:r>
        <w:t xml:space="preserve"> (CCAM), Battery European Partnership Association (BEPA), </w:t>
      </w:r>
      <w:r w:rsidRPr="000E51C5">
        <w:t>Shift2Rail</w:t>
      </w:r>
      <w:r>
        <w:t xml:space="preserve">, </w:t>
      </w:r>
      <w:r w:rsidRPr="000E51C5">
        <w:rPr>
          <w:i/>
          <w:iCs/>
        </w:rPr>
        <w:t>Smart Networks and Services Partnership</w:t>
      </w:r>
      <w:r>
        <w:t xml:space="preserve">, </w:t>
      </w:r>
      <w:r w:rsidRPr="000E51C5">
        <w:rPr>
          <w:i/>
          <w:iCs/>
        </w:rPr>
        <w:t>People-centric sustainable built environment</w:t>
      </w:r>
      <w:r>
        <w:t xml:space="preserve"> (Built4People), </w:t>
      </w:r>
      <w:r w:rsidRPr="000E51C5">
        <w:rPr>
          <w:i/>
          <w:iCs/>
        </w:rPr>
        <w:t>driving urban transitions to a sustainable future</w:t>
      </w:r>
      <w:r>
        <w:t xml:space="preserve"> (DUT), European Metrology (Art. 185), </w:t>
      </w:r>
      <w:r w:rsidRPr="000E51C5">
        <w:rPr>
          <w:i/>
          <w:iCs/>
        </w:rPr>
        <w:t>Globally competitive Space Systems</w:t>
      </w:r>
      <w:r>
        <w:t xml:space="preserve">, </w:t>
      </w:r>
      <w:r w:rsidRPr="00210D88">
        <w:rPr>
          <w:i/>
          <w:iCs/>
        </w:rPr>
        <w:t>Made in Europe</w:t>
      </w:r>
      <w:r>
        <w:t xml:space="preserve">, </w:t>
      </w:r>
      <w:r w:rsidRPr="00210D88">
        <w:rPr>
          <w:i/>
          <w:iCs/>
        </w:rPr>
        <w:t>Artific</w:t>
      </w:r>
      <w:r>
        <w:rPr>
          <w:i/>
          <w:iCs/>
        </w:rPr>
        <w:t>i</w:t>
      </w:r>
      <w:r w:rsidRPr="00210D88">
        <w:rPr>
          <w:i/>
          <w:iCs/>
        </w:rPr>
        <w:t>al Intelligence, Data and Robotics</w:t>
      </w:r>
      <w:r>
        <w:t xml:space="preserve"> and the European Technology Platform on Smart Systems Integration.</w:t>
      </w:r>
    </w:p>
  </w:footnote>
  <w:footnote w:id="184">
    <w:p w14:paraId="79797AE3" w14:textId="77777777" w:rsidR="007D34A4" w:rsidRPr="00B66020" w:rsidRDefault="007D34A4" w:rsidP="007D34A4">
      <w:pPr>
        <w:pStyle w:val="FootnoteText"/>
      </w:pPr>
      <w:r>
        <w:rPr>
          <w:rStyle w:val="FootnoteReference"/>
          <w:rFonts w:eastAsia="Arial"/>
        </w:rPr>
        <w:footnoteRef/>
      </w:r>
      <w:r>
        <w:t xml:space="preserve"> </w:t>
      </w:r>
      <w:r w:rsidRPr="00B66020">
        <w:t xml:space="preserve">See comment </w:t>
      </w:r>
      <w:r>
        <w:fldChar w:fldCharType="begin"/>
      </w:r>
      <w:r>
        <w:instrText xml:space="preserve"> NOTEREF _Ref87896622 \h </w:instrText>
      </w:r>
      <w:r>
        <w:fldChar w:fldCharType="separate"/>
      </w:r>
      <w:r>
        <w:t>5</w:t>
      </w:r>
      <w:r>
        <w:fldChar w:fldCharType="end"/>
      </w:r>
      <w:r w:rsidRPr="00B66020">
        <w:t xml:space="preserve"> a</w:t>
      </w:r>
      <w:r>
        <w:t xml:space="preserve">nd </w:t>
      </w:r>
      <w:r>
        <w:fldChar w:fldCharType="begin"/>
      </w:r>
      <w:r>
        <w:instrText xml:space="preserve"> NOTEREF _Ref87632389 \h </w:instrText>
      </w:r>
      <w:r>
        <w:fldChar w:fldCharType="separate"/>
      </w:r>
      <w:r>
        <w:t>7</w:t>
      </w:r>
      <w:r>
        <w:fldChar w:fldCharType="end"/>
      </w:r>
      <w:r>
        <w:t>, and namely Art. 18 of the SBA.</w:t>
      </w:r>
    </w:p>
  </w:footnote>
  <w:footnote w:id="185">
    <w:p w14:paraId="446C61C2" w14:textId="77777777" w:rsidR="007D34A4" w:rsidRPr="00475207" w:rsidRDefault="007D34A4" w:rsidP="007D34A4">
      <w:pPr>
        <w:pStyle w:val="FootnoteText"/>
      </w:pPr>
      <w:r>
        <w:rPr>
          <w:rStyle w:val="FootnoteReference"/>
          <w:rFonts w:eastAsia="Arial"/>
        </w:rPr>
        <w:footnoteRef/>
      </w:r>
      <w:r>
        <w:t xml:space="preserve"> See comment </w:t>
      </w:r>
      <w:r>
        <w:fldChar w:fldCharType="begin"/>
      </w:r>
      <w:r>
        <w:instrText xml:space="preserve"> NOTEREF _Ref87632379 \h </w:instrText>
      </w:r>
      <w:r>
        <w:fldChar w:fldCharType="separate"/>
      </w:r>
      <w:r>
        <w:t>6</w:t>
      </w:r>
      <w:r>
        <w:fldChar w:fldCharType="end"/>
      </w:r>
      <w:r>
        <w:t>.</w:t>
      </w:r>
    </w:p>
  </w:footnote>
  <w:footnote w:id="186">
    <w:p w14:paraId="0CEF1CBB" w14:textId="77777777" w:rsidR="007D34A4" w:rsidRPr="0038757E" w:rsidRDefault="007D34A4" w:rsidP="007D34A4">
      <w:pPr>
        <w:pStyle w:val="FootnoteText"/>
      </w:pPr>
      <w:r>
        <w:rPr>
          <w:rStyle w:val="FootnoteReference"/>
          <w:rFonts w:eastAsia="Arial"/>
        </w:rPr>
        <w:footnoteRef/>
      </w:r>
      <w:r>
        <w:t xml:space="preserve"> See comment </w:t>
      </w:r>
      <w:r>
        <w:fldChar w:fldCharType="begin"/>
      </w:r>
      <w:r>
        <w:instrText xml:space="preserve"> NOTEREF _Ref87632389 \h </w:instrText>
      </w:r>
      <w:r>
        <w:fldChar w:fldCharType="separate"/>
      </w:r>
      <w:r>
        <w:t>7</w:t>
      </w:r>
      <w:r>
        <w:fldChar w:fldCharType="end"/>
      </w:r>
      <w:r>
        <w:t>.</w:t>
      </w:r>
      <w:r w:rsidRPr="0038757E">
        <w:rPr>
          <w:i/>
          <w:iCs/>
        </w:rPr>
        <w:t xml:space="preserve"> </w:t>
      </w:r>
    </w:p>
  </w:footnote>
  <w:footnote w:id="187">
    <w:p w14:paraId="4C2DEFD3" w14:textId="77777777" w:rsidR="007D34A4" w:rsidRPr="000725D0" w:rsidRDefault="007D34A4" w:rsidP="007D34A4">
      <w:pPr>
        <w:pStyle w:val="FootnoteText"/>
      </w:pPr>
      <w:r>
        <w:rPr>
          <w:rStyle w:val="FootnoteReference"/>
          <w:rFonts w:eastAsia="Arial"/>
        </w:rPr>
        <w:footnoteRef/>
      </w:r>
      <w:r>
        <w:t xml:space="preserve"> As per </w:t>
      </w:r>
      <w:r w:rsidRPr="00284114">
        <w:rPr>
          <w:i/>
          <w:iCs/>
        </w:rPr>
        <w:t>Recital 27</w:t>
      </w:r>
      <w:r>
        <w:t xml:space="preserve"> of the SBA.</w:t>
      </w:r>
    </w:p>
  </w:footnote>
  <w:footnote w:id="188">
    <w:p w14:paraId="19564CD8" w14:textId="77777777" w:rsidR="007D34A4" w:rsidRPr="00301A0A" w:rsidRDefault="007D34A4" w:rsidP="007D34A4">
      <w:pPr>
        <w:pStyle w:val="FootnoteText"/>
      </w:pPr>
      <w:r>
        <w:rPr>
          <w:rStyle w:val="FootnoteReference"/>
          <w:rFonts w:eastAsia="Arial"/>
        </w:rPr>
        <w:footnoteRef/>
      </w:r>
      <w:r>
        <w:t xml:space="preserve"> As per </w:t>
      </w:r>
      <w:r>
        <w:rPr>
          <w:i/>
          <w:iCs/>
        </w:rPr>
        <w:t>R</w:t>
      </w:r>
      <w:r w:rsidRPr="00284114">
        <w:rPr>
          <w:i/>
          <w:iCs/>
        </w:rPr>
        <w:t>ecital 28</w:t>
      </w:r>
      <w:r>
        <w:t xml:space="preserve"> of the SBA.</w:t>
      </w:r>
    </w:p>
  </w:footnote>
  <w:footnote w:id="189">
    <w:p w14:paraId="1ECEB01F" w14:textId="77777777" w:rsidR="007D34A4" w:rsidRPr="00F15A26" w:rsidRDefault="007D34A4" w:rsidP="007D34A4">
      <w:pPr>
        <w:pStyle w:val="FootnoteText"/>
      </w:pPr>
      <w:r>
        <w:rPr>
          <w:rStyle w:val="FootnoteReference"/>
          <w:rFonts w:eastAsia="Arial"/>
        </w:rPr>
        <w:footnoteRef/>
      </w:r>
      <w:r>
        <w:t xml:space="preserve"> As per </w:t>
      </w:r>
      <w:r w:rsidRPr="00605EFD">
        <w:rPr>
          <w:i/>
          <w:iCs/>
        </w:rPr>
        <w:t>Article 82 (#1)</w:t>
      </w:r>
      <w:r>
        <w:t xml:space="preserve"> of the SBA.</w:t>
      </w:r>
    </w:p>
  </w:footnote>
  <w:footnote w:id="190">
    <w:p w14:paraId="7A474AD5" w14:textId="77777777" w:rsidR="007D34A4" w:rsidRPr="00284114" w:rsidRDefault="007D34A4" w:rsidP="007D34A4">
      <w:pPr>
        <w:pStyle w:val="FootnoteText"/>
      </w:pPr>
      <w:r>
        <w:rPr>
          <w:rStyle w:val="FootnoteReference"/>
          <w:rFonts w:eastAsia="Arial"/>
        </w:rPr>
        <w:footnoteRef/>
      </w:r>
      <w:r>
        <w:t xml:space="preserve"> As per </w:t>
      </w:r>
      <w:r w:rsidRPr="00F15A26">
        <w:t>Art</w:t>
      </w:r>
      <w:r>
        <w:t>icle</w:t>
      </w:r>
      <w:r w:rsidRPr="00F15A26">
        <w:t xml:space="preserve"> 82 (#</w:t>
      </w:r>
      <w:r>
        <w:t>2</w:t>
      </w:r>
      <w:r w:rsidRPr="00F15A26">
        <w:t>)</w:t>
      </w:r>
      <w:r>
        <w:t xml:space="preserve"> of the SBA.</w:t>
      </w:r>
    </w:p>
  </w:footnote>
  <w:footnote w:id="191">
    <w:p w14:paraId="13B4F98C" w14:textId="4E776EB5" w:rsidR="00F76020" w:rsidRPr="007734E6" w:rsidRDefault="00F76020" w:rsidP="004677B0">
      <w:pPr>
        <w:pStyle w:val="MAWP-Bodytext"/>
        <w:spacing w:after="0"/>
        <w:rPr>
          <w:rStyle w:val="FootnoteReference"/>
          <w:lang w:val="fr-BE"/>
        </w:rPr>
      </w:pPr>
      <w:r w:rsidRPr="00B364CB">
        <w:rPr>
          <w:rStyle w:val="FootnoteReference"/>
        </w:rPr>
        <w:footnoteRef/>
      </w:r>
      <w:r w:rsidRPr="007734E6">
        <w:rPr>
          <w:rStyle w:val="FootnoteReference"/>
          <w:lang w:val="fr-BE"/>
        </w:rPr>
        <w:t xml:space="preserve"> </w:t>
      </w:r>
      <w:r w:rsidRPr="007734E6">
        <w:rPr>
          <w:rStyle w:val="FootnoteReference"/>
          <w:sz w:val="20"/>
          <w:szCs w:val="20"/>
          <w:vertAlign w:val="baseline"/>
          <w:lang w:val="fr-BE"/>
        </w:rPr>
        <w:t xml:space="preserve">Article 2, </w:t>
      </w:r>
      <w:r w:rsidRPr="007734E6">
        <w:rPr>
          <w:sz w:val="20"/>
          <w:szCs w:val="20"/>
          <w:lang w:val="fr-BE"/>
        </w:rPr>
        <w:t>T</w:t>
      </w:r>
      <w:r w:rsidRPr="007734E6">
        <w:rPr>
          <w:rStyle w:val="FootnoteReference"/>
          <w:sz w:val="20"/>
          <w:szCs w:val="20"/>
          <w:vertAlign w:val="baseline"/>
          <w:lang w:val="fr-BE"/>
        </w:rPr>
        <w:t xml:space="preserve">reaty on the Functioning of the European Union (TFEU). </w:t>
      </w:r>
    </w:p>
  </w:footnote>
  <w:footnote w:id="192">
    <w:p w14:paraId="1AAF8C41" w14:textId="093B79EC" w:rsidR="00F76020" w:rsidRPr="0088779F" w:rsidRDefault="00F76020" w:rsidP="00533E4D">
      <w:pPr>
        <w:pStyle w:val="MAWP-Bodytext"/>
        <w:spacing w:after="0"/>
        <w:rPr>
          <w:rStyle w:val="FootnoteReference"/>
          <w:lang w:val="fr-BE"/>
        </w:rPr>
      </w:pPr>
      <w:r w:rsidRPr="00B364CB">
        <w:rPr>
          <w:rStyle w:val="FootnoteReference"/>
        </w:rPr>
        <w:footnoteRef/>
      </w:r>
      <w:r w:rsidRPr="000F1291">
        <w:rPr>
          <w:rStyle w:val="FootnoteReference"/>
          <w:lang w:val="fr-BE"/>
        </w:rPr>
        <w:t xml:space="preserve"> </w:t>
      </w:r>
      <w:hyperlink r:id="rId107" w:history="1">
        <w:r w:rsidR="00481E60" w:rsidRPr="000675F1">
          <w:rPr>
            <w:rStyle w:val="Hyperlink"/>
            <w:lang w:val="fr-BE"/>
          </w:rPr>
          <w:t>https://ec.europa.eu/info/law/law-making-process/types-eu-law_en</w:t>
        </w:r>
      </w:hyperlink>
      <w:r w:rsidR="00481E60">
        <w:rPr>
          <w:lang w:val="fr-BE"/>
        </w:rPr>
        <w:t xml:space="preserve"> </w:t>
      </w:r>
    </w:p>
  </w:footnote>
  <w:footnote w:id="193">
    <w:p w14:paraId="4B282644" w14:textId="4394B20A" w:rsidR="00F76020" w:rsidRPr="0088779F" w:rsidRDefault="00F76020" w:rsidP="00533E4D">
      <w:pPr>
        <w:pStyle w:val="MAWP-Bodytext"/>
        <w:spacing w:after="0"/>
        <w:rPr>
          <w:rFonts w:eastAsia="Times New Roman" w:cs="Times New Roman"/>
          <w:sz w:val="20"/>
          <w:szCs w:val="20"/>
          <w:lang w:val="fr-BE" w:eastAsia="en-US"/>
        </w:rPr>
      </w:pPr>
      <w:r w:rsidRPr="00B364CB">
        <w:rPr>
          <w:rStyle w:val="FootnoteReference"/>
        </w:rPr>
        <w:footnoteRef/>
      </w:r>
      <w:r w:rsidRPr="000F1291">
        <w:rPr>
          <w:rStyle w:val="FootnoteReference"/>
          <w:lang w:val="fr-BE"/>
        </w:rPr>
        <w:t xml:space="preserve"> </w:t>
      </w:r>
      <w:hyperlink r:id="rId108" w:history="1">
        <w:r w:rsidR="00481E60" w:rsidRPr="000675F1">
          <w:rPr>
            <w:rStyle w:val="Hyperlink"/>
            <w:lang w:val="fr-BE"/>
          </w:rPr>
          <w:t>https://www.cencenelec.eu/standards/Pages/default.aspx</w:t>
        </w:r>
      </w:hyperlink>
      <w:r w:rsidR="00481E60">
        <w:rPr>
          <w:lang w:val="fr-BE"/>
        </w:rPr>
        <w:t xml:space="preserve"> </w:t>
      </w:r>
    </w:p>
  </w:footnote>
  <w:footnote w:id="194">
    <w:p w14:paraId="5E50DBB0" w14:textId="1879A1B0" w:rsidR="00F76020" w:rsidRPr="000F1291" w:rsidRDefault="00F76020" w:rsidP="00533E4D">
      <w:pPr>
        <w:pStyle w:val="MAWP-Bodytext"/>
        <w:spacing w:after="0"/>
        <w:rPr>
          <w:lang w:val="fr-BE"/>
        </w:rPr>
      </w:pPr>
      <w:r w:rsidRPr="00B364CB">
        <w:rPr>
          <w:rStyle w:val="FootnoteReference"/>
        </w:rPr>
        <w:footnoteRef/>
      </w:r>
      <w:r w:rsidRPr="000F1291">
        <w:rPr>
          <w:lang w:val="fr-BE"/>
        </w:rPr>
        <w:t xml:space="preserve"> </w:t>
      </w:r>
      <w:hyperlink r:id="rId109" w:history="1">
        <w:r w:rsidRPr="000F1291">
          <w:rPr>
            <w:rStyle w:val="Hyperlink"/>
            <w:sz w:val="20"/>
            <w:szCs w:val="20"/>
            <w:lang w:val="fr-BE"/>
          </w:rPr>
          <w:t>https://www.iso.org</w:t>
        </w:r>
      </w:hyperlink>
      <w:r w:rsidRPr="000F1291">
        <w:rPr>
          <w:lang w:val="fr-BE"/>
        </w:rPr>
        <w:t xml:space="preserve"> </w:t>
      </w:r>
    </w:p>
  </w:footnote>
  <w:footnote w:id="195">
    <w:p w14:paraId="5F08D8BC" w14:textId="2D9F95C7" w:rsidR="00F76020" w:rsidRPr="000F1291" w:rsidRDefault="00F76020" w:rsidP="00E4788A">
      <w:pPr>
        <w:pStyle w:val="MAWP-Bodytext"/>
        <w:spacing w:after="0"/>
        <w:rPr>
          <w:lang w:val="fr-BE"/>
        </w:rPr>
      </w:pPr>
      <w:r w:rsidRPr="00B364CB">
        <w:rPr>
          <w:rStyle w:val="FootnoteReference"/>
        </w:rPr>
        <w:footnoteRef/>
      </w:r>
      <w:r w:rsidRPr="000F1291">
        <w:rPr>
          <w:lang w:val="fr-BE" w:eastAsia="en-US"/>
        </w:rPr>
        <w:t xml:space="preserve"> </w:t>
      </w:r>
      <w:hyperlink r:id="rId110" w:history="1">
        <w:r w:rsidRPr="000F1291">
          <w:rPr>
            <w:rStyle w:val="Hyperlink"/>
            <w:sz w:val="20"/>
            <w:szCs w:val="20"/>
            <w:lang w:val="fr-BE"/>
          </w:rPr>
          <w:t>https://www.iec.ch</w:t>
        </w:r>
      </w:hyperlink>
      <w:r w:rsidRPr="000F1291">
        <w:rPr>
          <w:rStyle w:val="Hyperlink"/>
          <w:lang w:val="fr-BE"/>
        </w:rPr>
        <w:t xml:space="preserve"> </w:t>
      </w:r>
    </w:p>
  </w:footnote>
  <w:footnote w:id="196">
    <w:p w14:paraId="716F906A" w14:textId="6EAA30BE" w:rsidR="00F76020" w:rsidRPr="000F1291" w:rsidRDefault="00F76020" w:rsidP="00E4788A">
      <w:pPr>
        <w:pStyle w:val="MAWP-Bodytext"/>
        <w:spacing w:after="0"/>
        <w:rPr>
          <w:lang w:val="fr-BE"/>
        </w:rPr>
      </w:pPr>
      <w:r w:rsidRPr="00B364CB">
        <w:rPr>
          <w:rStyle w:val="FootnoteReference"/>
        </w:rPr>
        <w:footnoteRef/>
      </w:r>
      <w:r w:rsidRPr="000F1291">
        <w:rPr>
          <w:lang w:val="fr-BE"/>
        </w:rPr>
        <w:t xml:space="preserve"> </w:t>
      </w:r>
      <w:hyperlink r:id="rId111" w:history="1">
        <w:r w:rsidRPr="000F1291">
          <w:rPr>
            <w:rStyle w:val="Hyperlink"/>
            <w:sz w:val="20"/>
            <w:szCs w:val="20"/>
            <w:lang w:val="fr-BE"/>
          </w:rPr>
          <w:t>https://www.cencenelec.eu/</w:t>
        </w:r>
      </w:hyperlink>
      <w:r w:rsidRPr="000F1291">
        <w:rPr>
          <w:lang w:val="fr-BE"/>
        </w:rPr>
        <w:t xml:space="preserve"> </w:t>
      </w:r>
    </w:p>
  </w:footnote>
  <w:footnote w:id="197">
    <w:p w14:paraId="600436D4" w14:textId="3016CA32" w:rsidR="00F76020" w:rsidRPr="000F1291" w:rsidRDefault="00F76020" w:rsidP="00E4788A">
      <w:pPr>
        <w:pStyle w:val="MAWP-Bodytext"/>
        <w:spacing w:after="0"/>
        <w:rPr>
          <w:lang w:val="fr-BE"/>
        </w:rPr>
      </w:pPr>
      <w:r w:rsidRPr="00B364CB">
        <w:rPr>
          <w:rStyle w:val="FootnoteReference"/>
        </w:rPr>
        <w:footnoteRef/>
      </w:r>
      <w:r w:rsidRPr="000F1291">
        <w:rPr>
          <w:sz w:val="20"/>
          <w:szCs w:val="20"/>
          <w:lang w:val="fr-BE" w:eastAsia="en-US"/>
        </w:rPr>
        <w:t xml:space="preserve"> </w:t>
      </w:r>
      <w:hyperlink r:id="rId112" w:history="1">
        <w:r w:rsidRPr="000F1291">
          <w:rPr>
            <w:rStyle w:val="Hyperlink"/>
            <w:sz w:val="20"/>
            <w:szCs w:val="20"/>
            <w:lang w:val="fr-BE" w:eastAsia="en-US"/>
          </w:rPr>
          <w:t>https://www.cencenelec.eu/STANDARDS/Pages/default.aspx</w:t>
        </w:r>
      </w:hyperlink>
      <w:r w:rsidRPr="000F1291">
        <w:rPr>
          <w:lang w:val="fr-BE" w:eastAsia="en-US"/>
        </w:rPr>
        <w:t xml:space="preserve"> </w:t>
      </w:r>
    </w:p>
  </w:footnote>
  <w:footnote w:id="198">
    <w:p w14:paraId="1CB85AD4" w14:textId="6BDB50F1" w:rsidR="00F76020" w:rsidRPr="000F1291" w:rsidRDefault="00F76020" w:rsidP="00E4788A">
      <w:pPr>
        <w:pStyle w:val="MAWP-Bodytext"/>
        <w:spacing w:after="0"/>
        <w:rPr>
          <w:lang w:val="fr-BE" w:eastAsia="en-US"/>
        </w:rPr>
      </w:pPr>
      <w:r w:rsidRPr="00B364CB">
        <w:rPr>
          <w:rStyle w:val="FootnoteReference"/>
        </w:rPr>
        <w:footnoteRef/>
      </w:r>
      <w:r w:rsidRPr="000F1291">
        <w:rPr>
          <w:sz w:val="20"/>
          <w:szCs w:val="20"/>
          <w:lang w:val="fr-BE" w:eastAsia="en-US"/>
        </w:rPr>
        <w:t xml:space="preserve"> </w:t>
      </w:r>
      <w:hyperlink r:id="rId113" w:history="1">
        <w:r w:rsidRPr="000F1291">
          <w:rPr>
            <w:rStyle w:val="Hyperlink"/>
            <w:sz w:val="20"/>
            <w:szCs w:val="20"/>
            <w:lang w:val="fr-BE" w:eastAsia="en-US"/>
          </w:rPr>
          <w:t>https://www.fch.europa.eu/page/rcs-strategy-coordination-group</w:t>
        </w:r>
      </w:hyperlink>
      <w:r w:rsidRPr="000F1291">
        <w:rPr>
          <w:lang w:val="fr-BE" w:eastAsia="en-US"/>
        </w:rPr>
        <w:t xml:space="preserve"> </w:t>
      </w:r>
    </w:p>
    <w:p w14:paraId="67813B7F" w14:textId="77777777" w:rsidR="00F76020" w:rsidRPr="000F1291" w:rsidRDefault="00F76020" w:rsidP="0008295F">
      <w:pPr>
        <w:pStyle w:val="MAWP-Bodytext"/>
        <w:rPr>
          <w:lang w:val="fr-BE"/>
        </w:rPr>
      </w:pPr>
    </w:p>
  </w:footnote>
  <w:footnote w:id="199">
    <w:p w14:paraId="4AF29A45" w14:textId="41A4FE4E" w:rsidR="00F76020" w:rsidRPr="000F1291" w:rsidRDefault="00F76020" w:rsidP="00E4788A">
      <w:pPr>
        <w:pStyle w:val="MAWP-Bodytext"/>
        <w:spacing w:after="0"/>
        <w:rPr>
          <w:lang w:val="fr-BE" w:eastAsia="en-US"/>
        </w:rPr>
      </w:pPr>
      <w:r w:rsidRPr="00B364CB">
        <w:rPr>
          <w:rStyle w:val="FootnoteReference"/>
        </w:rPr>
        <w:footnoteRef/>
      </w:r>
      <w:r w:rsidRPr="000F1291">
        <w:rPr>
          <w:lang w:val="fr-BE" w:eastAsia="en-US"/>
        </w:rPr>
        <w:t xml:space="preserve"> </w:t>
      </w:r>
      <w:hyperlink r:id="rId114" w:history="1">
        <w:r w:rsidRPr="000F1291">
          <w:rPr>
            <w:rStyle w:val="Hyperlink"/>
            <w:sz w:val="20"/>
            <w:szCs w:val="20"/>
            <w:lang w:val="fr-BE" w:eastAsia="en-US"/>
          </w:rPr>
          <w:t>https://www.fch.europa.eu/page/european-hydrogen-safety-panel</w:t>
        </w:r>
      </w:hyperlink>
      <w:r w:rsidRPr="000F1291">
        <w:rPr>
          <w:lang w:val="fr-BE" w:eastAsia="en-US"/>
        </w:rPr>
        <w:t xml:space="preserve"> </w:t>
      </w:r>
    </w:p>
    <w:p w14:paraId="581534E3" w14:textId="77777777" w:rsidR="00F76020" w:rsidRPr="000F1291" w:rsidRDefault="00F76020" w:rsidP="007B2D0C">
      <w:pPr>
        <w:pStyle w:val="MAWP-Bodytext"/>
        <w:rPr>
          <w:lang w:val="fr-BE"/>
        </w:rPr>
      </w:pPr>
    </w:p>
  </w:footnote>
  <w:footnote w:id="200">
    <w:p w14:paraId="18DF98A9" w14:textId="77777777" w:rsidR="00F76020" w:rsidRPr="000F1291" w:rsidRDefault="00F76020" w:rsidP="00725EF4">
      <w:pPr>
        <w:pStyle w:val="FootnoteText"/>
        <w:rPr>
          <w:lang w:val="fr-BE"/>
        </w:rPr>
      </w:pPr>
      <w:r>
        <w:rPr>
          <w:rStyle w:val="FootnoteReference"/>
          <w:rFonts w:eastAsia="Arial"/>
        </w:rPr>
        <w:footnoteRef/>
      </w:r>
      <w:r w:rsidRPr="000F1291">
        <w:rPr>
          <w:lang w:val="fr-BE"/>
        </w:rPr>
        <w:t xml:space="preserve"> </w:t>
      </w:r>
      <w:hyperlink r:id="rId115" w:history="1">
        <w:r w:rsidRPr="000F1291">
          <w:rPr>
            <w:rStyle w:val="Hyperlink"/>
            <w:rFonts w:eastAsia="Arial"/>
            <w:lang w:val="fr-BE"/>
          </w:rPr>
          <w:t>https://sdgs.un.org/2030agenda</w:t>
        </w:r>
      </w:hyperlink>
      <w:r w:rsidRPr="000F1291">
        <w:rPr>
          <w:lang w:val="fr-BE"/>
        </w:rPr>
        <w:t xml:space="preserve"> </w:t>
      </w:r>
    </w:p>
  </w:footnote>
  <w:footnote w:id="201">
    <w:p w14:paraId="54F058B8" w14:textId="77777777" w:rsidR="00F76020" w:rsidRPr="000F1291" w:rsidRDefault="00F76020" w:rsidP="00725EF4">
      <w:pPr>
        <w:pStyle w:val="FootnoteText"/>
        <w:rPr>
          <w:lang w:val="fr-BE"/>
        </w:rPr>
      </w:pPr>
      <w:r>
        <w:rPr>
          <w:rStyle w:val="FootnoteReference"/>
          <w:rFonts w:eastAsia="Arial"/>
        </w:rPr>
        <w:footnoteRef/>
      </w:r>
      <w:r w:rsidRPr="000F1291">
        <w:rPr>
          <w:lang w:val="fr-BE"/>
        </w:rPr>
        <w:t xml:space="preserve"> </w:t>
      </w:r>
      <w:hyperlink r:id="rId116" w:history="1">
        <w:r w:rsidRPr="000F1291">
          <w:rPr>
            <w:rStyle w:val="Hyperlink"/>
            <w:rFonts w:eastAsia="Arial"/>
            <w:lang w:val="fr-BE"/>
          </w:rPr>
          <w:t>https://ec.europa.eu/info/strategy/international-strategies/sustainable-development-goals_en</w:t>
        </w:r>
      </w:hyperlink>
      <w:r w:rsidRPr="000F1291">
        <w:rPr>
          <w:lang w:val="fr-BE"/>
        </w:rPr>
        <w:t xml:space="preserve"> </w:t>
      </w:r>
    </w:p>
  </w:footnote>
  <w:footnote w:id="202">
    <w:p w14:paraId="23887611" w14:textId="77777777" w:rsidR="00F76020" w:rsidRPr="000F1291" w:rsidRDefault="00F76020" w:rsidP="00725EF4">
      <w:pPr>
        <w:pStyle w:val="FootnoteText"/>
        <w:rPr>
          <w:lang w:val="fr-BE"/>
        </w:rPr>
      </w:pPr>
      <w:r>
        <w:rPr>
          <w:rStyle w:val="FootnoteReference"/>
          <w:rFonts w:eastAsia="Arial"/>
        </w:rPr>
        <w:footnoteRef/>
      </w:r>
      <w:r w:rsidRPr="000F1291">
        <w:rPr>
          <w:lang w:val="fr-BE"/>
        </w:rPr>
        <w:t xml:space="preserve"> </w:t>
      </w:r>
      <w:hyperlink r:id="rId117" w:history="1">
        <w:r w:rsidRPr="000F1291">
          <w:rPr>
            <w:rStyle w:val="Hyperlink"/>
            <w:rFonts w:eastAsia="Arial"/>
            <w:lang w:val="fr-BE"/>
          </w:rPr>
          <w:t>https://knowsdgs.jrc.ec.europa.eu/policies-sdgs</w:t>
        </w:r>
      </w:hyperlink>
      <w:r w:rsidRPr="000F1291">
        <w:rPr>
          <w:lang w:val="fr-BE"/>
        </w:rPr>
        <w:t xml:space="preserve"> </w:t>
      </w:r>
    </w:p>
  </w:footnote>
  <w:footnote w:id="203">
    <w:p w14:paraId="4526413E" w14:textId="77777777" w:rsidR="00F76020" w:rsidRPr="00120F40" w:rsidRDefault="00F76020" w:rsidP="00725EF4">
      <w:pPr>
        <w:pStyle w:val="FootnoteText"/>
        <w:rPr>
          <w:lang w:val="pt-PT"/>
        </w:rPr>
      </w:pPr>
      <w:r>
        <w:rPr>
          <w:rStyle w:val="FootnoteReference"/>
          <w:rFonts w:eastAsia="Arial"/>
        </w:rPr>
        <w:footnoteRef/>
      </w:r>
      <w:r w:rsidRPr="00120F40">
        <w:rPr>
          <w:lang w:val="pt-PT"/>
        </w:rPr>
        <w:t xml:space="preserve"> COM(2019) 640 final.</w:t>
      </w:r>
    </w:p>
  </w:footnote>
  <w:footnote w:id="204">
    <w:p w14:paraId="67A1C3E8" w14:textId="31B5C9D0" w:rsidR="00F76020" w:rsidRPr="007E2E2D" w:rsidRDefault="00F76020" w:rsidP="00725EF4">
      <w:pPr>
        <w:pStyle w:val="FootnoteText"/>
        <w:rPr>
          <w:lang w:val="pt-PT"/>
        </w:rPr>
      </w:pPr>
      <w:r>
        <w:rPr>
          <w:rStyle w:val="FootnoteReference"/>
          <w:rFonts w:eastAsia="Arial"/>
        </w:rPr>
        <w:footnoteRef/>
      </w:r>
      <w:r w:rsidRPr="00120F40">
        <w:rPr>
          <w:lang w:val="pt-PT"/>
        </w:rPr>
        <w:t xml:space="preserve"> </w:t>
      </w:r>
      <w:hyperlink r:id="rId118" w:history="1">
        <w:r w:rsidR="007E2E2D" w:rsidRPr="00502FCA">
          <w:rPr>
            <w:rStyle w:val="Hyperlink"/>
            <w:lang w:val="pt-PT"/>
          </w:rPr>
          <w:t>https://ec.europa.eu/info/strategy/international-strategies/sustainable-development-goals/eu-holistic-approach-sustainable-development_en</w:t>
        </w:r>
      </w:hyperlink>
      <w:r w:rsidR="007E2E2D">
        <w:rPr>
          <w:lang w:val="pt-PT"/>
        </w:rPr>
        <w:t xml:space="preserve"> </w:t>
      </w:r>
    </w:p>
  </w:footnote>
  <w:footnote w:id="205">
    <w:p w14:paraId="43E59A0F" w14:textId="77777777" w:rsidR="00F76020" w:rsidRPr="00B364CB" w:rsidRDefault="00F76020" w:rsidP="00725EF4">
      <w:pPr>
        <w:pStyle w:val="FootnoteText"/>
      </w:pPr>
      <w:r w:rsidRPr="00B364CB">
        <w:rPr>
          <w:rStyle w:val="FootnoteReference"/>
          <w:rFonts w:eastAsia="Arial"/>
        </w:rPr>
        <w:footnoteRef/>
      </w:r>
      <w:r w:rsidRPr="00B364CB">
        <w:t xml:space="preserve"> New Industrial Strategy for Europe. COM(2020) 102 final.</w:t>
      </w:r>
    </w:p>
  </w:footnote>
  <w:footnote w:id="206">
    <w:p w14:paraId="5A54182D" w14:textId="77777777" w:rsidR="00F76020" w:rsidRPr="00120F40" w:rsidRDefault="00F76020" w:rsidP="00725EF4">
      <w:pPr>
        <w:pStyle w:val="FootnoteText"/>
        <w:rPr>
          <w:lang w:val="pt-PT"/>
        </w:rPr>
      </w:pPr>
      <w:r w:rsidRPr="00B364CB">
        <w:rPr>
          <w:rStyle w:val="FootnoteReference"/>
          <w:rFonts w:eastAsia="Arial"/>
        </w:rPr>
        <w:footnoteRef/>
      </w:r>
      <w:r w:rsidRPr="00B364CB">
        <w:t xml:space="preserve"> Europe's moment: Repair and Prepare for the Next Generation. </w:t>
      </w:r>
      <w:r w:rsidRPr="00120F40">
        <w:rPr>
          <w:lang w:val="pt-PT"/>
        </w:rPr>
        <w:t>COM(2020) 456 final.</w:t>
      </w:r>
    </w:p>
  </w:footnote>
  <w:footnote w:id="207">
    <w:p w14:paraId="6730514F" w14:textId="77777777" w:rsidR="00F76020" w:rsidRPr="00120F40" w:rsidRDefault="00F76020" w:rsidP="00725EF4">
      <w:pPr>
        <w:pStyle w:val="FootnoteText"/>
        <w:rPr>
          <w:lang w:val="pt-PT"/>
        </w:rPr>
      </w:pPr>
      <w:r>
        <w:rPr>
          <w:rStyle w:val="FootnoteReference"/>
          <w:rFonts w:eastAsia="Arial"/>
        </w:rPr>
        <w:footnoteRef/>
      </w:r>
      <w:r w:rsidRPr="00120F40">
        <w:rPr>
          <w:lang w:val="pt-PT"/>
        </w:rPr>
        <w:t xml:space="preserve"> COM/2016/0739 final</w:t>
      </w:r>
    </w:p>
  </w:footnote>
  <w:footnote w:id="208">
    <w:p w14:paraId="43AC312B" w14:textId="77777777" w:rsidR="00F76020" w:rsidRPr="00120F40" w:rsidRDefault="00F76020" w:rsidP="00725EF4">
      <w:pPr>
        <w:pStyle w:val="FootnoteText"/>
        <w:rPr>
          <w:lang w:val="pt-PT"/>
        </w:rPr>
      </w:pPr>
      <w:r>
        <w:rPr>
          <w:rStyle w:val="FootnoteReference"/>
          <w:rFonts w:eastAsia="Arial"/>
        </w:rPr>
        <w:footnoteRef/>
      </w:r>
      <w:r w:rsidRPr="00120F40">
        <w:rPr>
          <w:lang w:val="pt-PT"/>
        </w:rPr>
        <w:t xml:space="preserve"> COM/2018/029 final</w:t>
      </w:r>
    </w:p>
  </w:footnote>
  <w:footnote w:id="209">
    <w:p w14:paraId="3FE726EC" w14:textId="77777777" w:rsidR="00F76020" w:rsidRPr="00120F40" w:rsidRDefault="00F76020" w:rsidP="00725EF4">
      <w:pPr>
        <w:pStyle w:val="FootnoteText"/>
        <w:rPr>
          <w:lang w:val="pt-PT"/>
        </w:rPr>
      </w:pPr>
      <w:r>
        <w:rPr>
          <w:rStyle w:val="FootnoteReference"/>
          <w:rFonts w:eastAsia="Arial"/>
        </w:rPr>
        <w:footnoteRef/>
      </w:r>
      <w:r w:rsidRPr="00120F40">
        <w:rPr>
          <w:lang w:val="pt-PT"/>
        </w:rPr>
        <w:t xml:space="preserve"> COM/2016/0739 final</w:t>
      </w:r>
    </w:p>
  </w:footnote>
  <w:footnote w:id="210">
    <w:p w14:paraId="21CCFF95" w14:textId="77777777" w:rsidR="00F76020" w:rsidRPr="00120F40" w:rsidRDefault="00F76020" w:rsidP="00725EF4">
      <w:pPr>
        <w:pStyle w:val="FootnoteText"/>
        <w:rPr>
          <w:lang w:val="pt-PT"/>
        </w:rPr>
      </w:pPr>
      <w:r>
        <w:rPr>
          <w:rStyle w:val="FootnoteReference"/>
          <w:rFonts w:eastAsia="Arial"/>
        </w:rPr>
        <w:footnoteRef/>
      </w:r>
      <w:r w:rsidRPr="00120F40">
        <w:rPr>
          <w:lang w:val="pt-PT"/>
        </w:rPr>
        <w:t xml:space="preserve"> COM/2016/0739 final</w:t>
      </w:r>
    </w:p>
  </w:footnote>
  <w:footnote w:id="211">
    <w:p w14:paraId="5075B46B" w14:textId="77777777" w:rsidR="00F76020" w:rsidRPr="00120F40" w:rsidRDefault="00F76020" w:rsidP="00725EF4">
      <w:pPr>
        <w:pStyle w:val="FootnoteText"/>
        <w:rPr>
          <w:lang w:val="pt-PT"/>
        </w:rPr>
      </w:pPr>
      <w:r>
        <w:rPr>
          <w:rStyle w:val="FootnoteReference"/>
          <w:rFonts w:eastAsia="Arial"/>
        </w:rPr>
        <w:footnoteRef/>
      </w:r>
      <w:r w:rsidRPr="00120F40">
        <w:rPr>
          <w:lang w:val="pt-PT"/>
        </w:rPr>
        <w:t xml:space="preserve"> COM/2021/ 350 final</w:t>
      </w:r>
    </w:p>
  </w:footnote>
  <w:footnote w:id="212">
    <w:p w14:paraId="4E975D0A" w14:textId="77777777" w:rsidR="00F76020" w:rsidRPr="00120F40" w:rsidRDefault="00F76020" w:rsidP="00725EF4">
      <w:pPr>
        <w:pStyle w:val="FootnoteText"/>
        <w:rPr>
          <w:lang w:val="pt-PT"/>
        </w:rPr>
      </w:pPr>
      <w:r>
        <w:rPr>
          <w:rStyle w:val="FootnoteReference"/>
          <w:rFonts w:eastAsia="Arial"/>
        </w:rPr>
        <w:footnoteRef/>
      </w:r>
      <w:r w:rsidRPr="00120F40">
        <w:rPr>
          <w:lang w:val="pt-PT"/>
        </w:rPr>
        <w:t xml:space="preserve"> </w:t>
      </w:r>
      <w:hyperlink r:id="rId119" w:history="1">
        <w:r w:rsidRPr="00120F40">
          <w:rPr>
            <w:rStyle w:val="Hyperlink"/>
            <w:rFonts w:eastAsia="Arial"/>
            <w:lang w:val="pt-PT"/>
          </w:rPr>
          <w:t>https://ec.europa.eu/growth/sectors/raw-materials_en</w:t>
        </w:r>
      </w:hyperlink>
      <w:r w:rsidRPr="00120F40">
        <w:rPr>
          <w:lang w:val="pt-PT"/>
        </w:rPr>
        <w:t xml:space="preserve"> </w:t>
      </w:r>
    </w:p>
  </w:footnote>
  <w:footnote w:id="213">
    <w:p w14:paraId="1FD91F41" w14:textId="77777777" w:rsidR="00F76020" w:rsidRPr="00CC2A62" w:rsidRDefault="00F76020" w:rsidP="00725EF4">
      <w:pPr>
        <w:pStyle w:val="FootnoteText"/>
      </w:pPr>
      <w:r>
        <w:rPr>
          <w:rStyle w:val="FootnoteReference"/>
          <w:rFonts w:eastAsia="Arial"/>
        </w:rPr>
        <w:footnoteRef/>
      </w:r>
      <w:r>
        <w:t xml:space="preserve"> </w:t>
      </w:r>
      <w:r w:rsidRPr="00FE7B29">
        <w:t>COM(2020) 474</w:t>
      </w:r>
    </w:p>
  </w:footnote>
  <w:footnote w:id="214">
    <w:p w14:paraId="6790B330" w14:textId="77777777" w:rsidR="00F76020" w:rsidRPr="00CC2A62" w:rsidRDefault="00F76020" w:rsidP="00725EF4">
      <w:pPr>
        <w:pStyle w:val="FootnoteText"/>
      </w:pPr>
      <w:r>
        <w:rPr>
          <w:rStyle w:val="FootnoteReference"/>
          <w:rFonts w:eastAsia="Arial"/>
        </w:rPr>
        <w:footnoteRef/>
      </w:r>
      <w:r>
        <w:t xml:space="preserve"> EC, </w:t>
      </w:r>
      <w:r w:rsidRPr="00D73467">
        <w:t>Critical materials for strategic technologies and sectors in the EU - a foresight study, 2020</w:t>
      </w:r>
    </w:p>
  </w:footnote>
  <w:footnote w:id="215">
    <w:p w14:paraId="35372995" w14:textId="77777777" w:rsidR="00F76020" w:rsidRPr="00021ECB" w:rsidRDefault="00F76020" w:rsidP="00725EF4">
      <w:pPr>
        <w:pStyle w:val="FootnoteText"/>
      </w:pPr>
      <w:r>
        <w:rPr>
          <w:rStyle w:val="FootnoteReference"/>
          <w:rFonts w:eastAsia="Arial"/>
        </w:rPr>
        <w:footnoteRef/>
      </w:r>
      <w:r>
        <w:t xml:space="preserve"> IEA, The role of critical minerals in clean energy transition, May 2021</w:t>
      </w:r>
    </w:p>
  </w:footnote>
  <w:footnote w:id="216">
    <w:p w14:paraId="2042F73F" w14:textId="77777777" w:rsidR="00F76020" w:rsidRPr="00C261C5" w:rsidRDefault="00F76020" w:rsidP="00725EF4">
      <w:pPr>
        <w:pStyle w:val="FootnoteText"/>
      </w:pPr>
      <w:r>
        <w:rPr>
          <w:rStyle w:val="FootnoteReference"/>
          <w:rFonts w:eastAsia="Arial"/>
        </w:rPr>
        <w:footnoteRef/>
      </w:r>
      <w:r>
        <w:t xml:space="preserve"> IRENA, Green hydrogen cost reduction; scaling up electrolysers to meet the 1.5 C climate goal, 2020</w:t>
      </w:r>
    </w:p>
  </w:footnote>
  <w:footnote w:id="217">
    <w:p w14:paraId="4413F59E" w14:textId="77777777" w:rsidR="00F76020" w:rsidRPr="000A741A" w:rsidRDefault="00F76020" w:rsidP="00725EF4">
      <w:pPr>
        <w:pStyle w:val="FootnoteText"/>
        <w:rPr>
          <w:lang w:val="fr-BE"/>
        </w:rPr>
      </w:pPr>
      <w:r>
        <w:rPr>
          <w:rStyle w:val="FootnoteReference"/>
          <w:rFonts w:eastAsia="Arial"/>
        </w:rPr>
        <w:footnoteRef/>
      </w:r>
      <w:r w:rsidRPr="000A741A">
        <w:rPr>
          <w:lang w:val="fr-BE"/>
        </w:rPr>
        <w:t xml:space="preserve"> Regulation (EU) 2020/852</w:t>
      </w:r>
    </w:p>
  </w:footnote>
  <w:footnote w:id="218">
    <w:p w14:paraId="553079E0" w14:textId="42DDAAD8" w:rsidR="00F76020" w:rsidRPr="000A741A" w:rsidRDefault="00F76020" w:rsidP="00F218CD">
      <w:pPr>
        <w:pStyle w:val="FootnoteText"/>
        <w:rPr>
          <w:lang w:val="fr-BE"/>
        </w:rPr>
      </w:pPr>
      <w:r w:rsidRPr="00B364CB">
        <w:rPr>
          <w:rStyle w:val="FootnoteReference"/>
          <w:rFonts w:eastAsia="Arial"/>
        </w:rPr>
        <w:footnoteRef/>
      </w:r>
      <w:r w:rsidRPr="000A741A">
        <w:rPr>
          <w:lang w:val="fr-BE"/>
        </w:rPr>
        <w:t xml:space="preserve"> </w:t>
      </w:r>
      <w:hyperlink r:id="rId120" w:history="1">
        <w:r w:rsidRPr="000A741A">
          <w:rPr>
            <w:rStyle w:val="Hyperlink"/>
            <w:rFonts w:eastAsia="Arial"/>
            <w:lang w:val="fr-BE"/>
          </w:rPr>
          <w:t>https://www.fch.europa.eu/project/technology-monitoring-and-assessment</w:t>
        </w:r>
      </w:hyperlink>
      <w:r w:rsidRPr="000A741A">
        <w:rPr>
          <w:lang w:val="fr-BE"/>
        </w:rPr>
        <w:t xml:space="preserve"> </w:t>
      </w:r>
    </w:p>
  </w:footnote>
  <w:footnote w:id="219">
    <w:p w14:paraId="3FC05D71" w14:textId="505ADF37" w:rsidR="00F76020" w:rsidRPr="00B364CB" w:rsidRDefault="00F76020" w:rsidP="00F218CD">
      <w:pPr>
        <w:pStyle w:val="FootnoteText"/>
      </w:pPr>
      <w:r w:rsidRPr="00B364CB">
        <w:rPr>
          <w:rStyle w:val="FootnoteReference"/>
          <w:rFonts w:eastAsia="Arial"/>
        </w:rPr>
        <w:footnoteRef/>
      </w:r>
      <w:r w:rsidRPr="00B364CB">
        <w:t xml:space="preserve"> </w:t>
      </w:r>
      <w:hyperlink r:id="rId121" w:history="1">
        <w:r w:rsidRPr="00E2389E">
          <w:rPr>
            <w:rStyle w:val="Hyperlink"/>
          </w:rPr>
          <w:t>TRUST data collection methodology</w:t>
        </w:r>
      </w:hyperlink>
      <w:r>
        <w:t xml:space="preserve">, FCH </w:t>
      </w:r>
    </w:p>
  </w:footnote>
  <w:footnote w:id="220">
    <w:p w14:paraId="51CD9470" w14:textId="77777777" w:rsidR="00F76020" w:rsidRPr="00B364CB" w:rsidRDefault="00F76020" w:rsidP="00F218CD">
      <w:pPr>
        <w:pStyle w:val="FootnoteText"/>
      </w:pPr>
      <w:r w:rsidRPr="00B364CB">
        <w:rPr>
          <w:rStyle w:val="FootnoteReference"/>
          <w:rFonts w:eastAsia="Arial"/>
        </w:rPr>
        <w:footnoteRef/>
      </w:r>
      <w:r w:rsidRPr="00B364CB">
        <w:t xml:space="preserve"> </w:t>
      </w:r>
      <w:hyperlink r:id="rId122" w:history="1">
        <w:r w:rsidRPr="00B364CB">
          <w:rPr>
            <w:rStyle w:val="Hyperlink"/>
            <w:rFonts w:eastAsia="Arial"/>
          </w:rPr>
          <w:t>https://www.fch.europa.eu/page/tools-innovation-monitoring-tim</w:t>
        </w:r>
      </w:hyperlink>
      <w:r w:rsidRPr="00B364CB">
        <w:t xml:space="preserve"> </w:t>
      </w:r>
    </w:p>
  </w:footnote>
  <w:footnote w:id="221">
    <w:p w14:paraId="56C4651A" w14:textId="6D6E766A" w:rsidR="00F76020" w:rsidRPr="00B364CB" w:rsidRDefault="00F76020" w:rsidP="00F218CD">
      <w:pPr>
        <w:pStyle w:val="FootnoteText"/>
      </w:pPr>
      <w:r w:rsidRPr="00B364CB">
        <w:rPr>
          <w:rStyle w:val="FootnoteReference"/>
          <w:rFonts w:eastAsia="Arial"/>
        </w:rPr>
        <w:footnoteRef/>
      </w:r>
      <w:r w:rsidRPr="00B364CB">
        <w:t xml:space="preserve"> </w:t>
      </w:r>
      <w:hyperlink r:id="rId123" w:history="1">
        <w:r w:rsidRPr="00482E89">
          <w:rPr>
            <w:rStyle w:val="Hyperlink"/>
          </w:rPr>
          <w:t>https://www.h2v.eu/hydrogen-valleys</w:t>
        </w:r>
      </w:hyperlink>
      <w:r>
        <w:t xml:space="preserve"> </w:t>
      </w:r>
    </w:p>
  </w:footnote>
  <w:footnote w:id="222">
    <w:p w14:paraId="29E296C7" w14:textId="3EC004A0" w:rsidR="000454E0" w:rsidRDefault="000454E0">
      <w:pPr>
        <w:pStyle w:val="FootnoteText"/>
      </w:pPr>
      <w:r>
        <w:rPr>
          <w:rStyle w:val="FootnoteReference"/>
        </w:rPr>
        <w:footnoteRef/>
      </w:r>
      <w:r>
        <w:t xml:space="preserve"> See Article 74 (a) of the SBA.</w:t>
      </w:r>
    </w:p>
  </w:footnote>
  <w:footnote w:id="223">
    <w:p w14:paraId="47677D2C" w14:textId="77777777" w:rsidR="00F76020" w:rsidRPr="00B364CB" w:rsidRDefault="00F76020" w:rsidP="00F218CD">
      <w:pPr>
        <w:pStyle w:val="FootnoteText"/>
      </w:pPr>
      <w:r w:rsidRPr="00B364CB">
        <w:rPr>
          <w:rStyle w:val="FootnoteReference"/>
          <w:rFonts w:eastAsia="Arial"/>
        </w:rPr>
        <w:footnoteRef/>
      </w:r>
      <w:r w:rsidRPr="00B364CB">
        <w:t xml:space="preserve"> </w:t>
      </w:r>
      <w:hyperlink r:id="rId124" w:history="1">
        <w:r w:rsidRPr="00B364CB">
          <w:rPr>
            <w:rStyle w:val="Hyperlink"/>
            <w:rFonts w:eastAsia="Arial"/>
          </w:rPr>
          <w:t>https://ec.europa.eu/info/funding-tenders/opportunities/portal/screen/opportunities/horizon-results-platform</w:t>
        </w:r>
      </w:hyperlink>
      <w:r w:rsidRPr="00B364CB">
        <w:t xml:space="preserve"> </w:t>
      </w:r>
    </w:p>
  </w:footnote>
  <w:footnote w:id="224">
    <w:p w14:paraId="6839DBF2" w14:textId="77777777" w:rsidR="00F76020" w:rsidRPr="00B364CB" w:rsidRDefault="00F76020" w:rsidP="00F218CD">
      <w:pPr>
        <w:pStyle w:val="FootnoteText"/>
      </w:pPr>
      <w:r w:rsidRPr="00B364CB">
        <w:rPr>
          <w:rStyle w:val="FootnoteReference"/>
          <w:rFonts w:eastAsia="Arial"/>
        </w:rPr>
        <w:footnoteRef/>
      </w:r>
      <w:r w:rsidRPr="00B364CB">
        <w:t xml:space="preserve"> </w:t>
      </w:r>
      <w:hyperlink r:id="rId125" w:history="1">
        <w:r w:rsidRPr="00B364CB">
          <w:rPr>
            <w:rStyle w:val="Hyperlink"/>
            <w:rFonts w:eastAsia="Arial"/>
          </w:rPr>
          <w:t>https://ec.europa.eu/digital-single-market/en/innovation-radar</w:t>
        </w:r>
      </w:hyperlink>
      <w:r w:rsidRPr="00B364CB">
        <w:t xml:space="preserve"> </w:t>
      </w:r>
    </w:p>
  </w:footnote>
  <w:footnote w:id="225">
    <w:p w14:paraId="0EB7C063" w14:textId="77777777" w:rsidR="00F76020" w:rsidRPr="00B364CB" w:rsidRDefault="00F76020" w:rsidP="00F218CD">
      <w:pPr>
        <w:pStyle w:val="FootnoteText"/>
      </w:pPr>
      <w:r w:rsidRPr="00B364CB">
        <w:rPr>
          <w:rStyle w:val="FootnoteReference"/>
          <w:rFonts w:eastAsia="Arial"/>
        </w:rPr>
        <w:footnoteRef/>
      </w:r>
      <w:r w:rsidRPr="00B364CB">
        <w:t xml:space="preserve"> </w:t>
      </w:r>
      <w:hyperlink r:id="rId126" w:history="1">
        <w:r w:rsidRPr="00B364CB">
          <w:rPr>
            <w:rStyle w:val="Hyperlink"/>
            <w:rFonts w:eastAsia="Arial"/>
          </w:rPr>
          <w:t>https://ec.europa.eu/info/funding-tenders/opportunities/portal/screen/opportunities/d-e-booster</w:t>
        </w:r>
      </w:hyperlink>
      <w:r w:rsidRPr="00B364CB">
        <w:t xml:space="preserve"> </w:t>
      </w:r>
    </w:p>
  </w:footnote>
  <w:footnote w:id="226">
    <w:p w14:paraId="3A5C57E7" w14:textId="77777777" w:rsidR="00F76020" w:rsidRPr="00B364CB" w:rsidRDefault="00F76020" w:rsidP="00F218CD">
      <w:pPr>
        <w:pStyle w:val="FootnoteText"/>
      </w:pPr>
      <w:r w:rsidRPr="00B364CB">
        <w:rPr>
          <w:rStyle w:val="FootnoteReference"/>
          <w:rFonts w:eastAsia="Arial"/>
        </w:rPr>
        <w:footnoteRef/>
      </w:r>
      <w:r w:rsidRPr="00B364CB">
        <w:t xml:space="preserve"> </w:t>
      </w:r>
      <w:hyperlink r:id="rId127" w:history="1">
        <w:r w:rsidRPr="00B364CB">
          <w:rPr>
            <w:rStyle w:val="Hyperlink"/>
            <w:rFonts w:eastAsia="Arial"/>
          </w:rPr>
          <w:t>https://dealflow.eu/</w:t>
        </w:r>
      </w:hyperlink>
      <w:r w:rsidRPr="00B364CB">
        <w:t xml:space="preserve"> </w:t>
      </w:r>
    </w:p>
  </w:footnote>
  <w:footnote w:id="227">
    <w:p w14:paraId="03A50CC4" w14:textId="77777777" w:rsidR="00F76020" w:rsidRPr="00B364CB" w:rsidRDefault="00F76020" w:rsidP="00F218CD">
      <w:pPr>
        <w:pStyle w:val="FootnoteText"/>
      </w:pPr>
      <w:r w:rsidRPr="00B364CB">
        <w:rPr>
          <w:rStyle w:val="FootnoteReference"/>
          <w:rFonts w:eastAsia="Arial"/>
        </w:rPr>
        <w:footnoteRef/>
      </w:r>
      <w:r w:rsidRPr="00B364CB">
        <w:t xml:space="preserve"> </w:t>
      </w:r>
      <w:hyperlink r:id="rId128" w:history="1">
        <w:r w:rsidRPr="00B364CB">
          <w:rPr>
            <w:rStyle w:val="Hyperlink"/>
            <w:rFonts w:eastAsia="Arial"/>
          </w:rPr>
          <w:t>https://ipbooster.meta-group.com/</w:t>
        </w:r>
      </w:hyperlink>
      <w:r w:rsidRPr="00B364CB">
        <w:t xml:space="preserve"> </w:t>
      </w:r>
    </w:p>
  </w:footnote>
  <w:footnote w:id="228">
    <w:p w14:paraId="6DE7787E" w14:textId="77777777" w:rsidR="00F76020" w:rsidRPr="00B364CB" w:rsidRDefault="00F76020" w:rsidP="00F218CD">
      <w:pPr>
        <w:pStyle w:val="FootnoteText"/>
      </w:pPr>
      <w:r w:rsidRPr="00B364CB">
        <w:rPr>
          <w:rStyle w:val="FootnoteReference"/>
          <w:rFonts w:eastAsia="Arial"/>
        </w:rPr>
        <w:footnoteRef/>
      </w:r>
      <w:r w:rsidRPr="00B364CB">
        <w:t xml:space="preserve"> </w:t>
      </w:r>
      <w:hyperlink r:id="rId129" w:history="1">
        <w:r w:rsidRPr="00B364CB">
          <w:rPr>
            <w:rStyle w:val="Hyperlink"/>
            <w:rFonts w:eastAsia="Arial"/>
          </w:rPr>
          <w:t>https://open-research-europe.ec.europa.eu/</w:t>
        </w:r>
      </w:hyperlink>
      <w:r w:rsidRPr="00B364CB">
        <w:t xml:space="preserve"> </w:t>
      </w:r>
    </w:p>
  </w:footnote>
  <w:footnote w:id="229">
    <w:p w14:paraId="640669F0" w14:textId="77777777" w:rsidR="00F76020" w:rsidRPr="00B364CB" w:rsidRDefault="00F76020" w:rsidP="00F218CD">
      <w:pPr>
        <w:pStyle w:val="FootnoteText"/>
      </w:pPr>
      <w:r w:rsidRPr="00B364CB">
        <w:rPr>
          <w:rStyle w:val="FootnoteReference"/>
          <w:rFonts w:eastAsia="Arial"/>
        </w:rPr>
        <w:footnoteRef/>
      </w:r>
      <w:r w:rsidRPr="00B364CB">
        <w:t xml:space="preserve"> </w:t>
      </w:r>
      <w:hyperlink r:id="rId130" w:history="1">
        <w:r w:rsidRPr="00B364CB">
          <w:rPr>
            <w:rStyle w:val="Hyperlink"/>
            <w:rFonts w:eastAsia="Arial"/>
          </w:rPr>
          <w:t>https://solarimpulse.com/</w:t>
        </w:r>
      </w:hyperlink>
      <w:r w:rsidRPr="00B364CB">
        <w:t xml:space="preserve"> </w:t>
      </w:r>
    </w:p>
  </w:footnote>
  <w:footnote w:id="230">
    <w:p w14:paraId="193BC2B3" w14:textId="77777777" w:rsidR="00E66A9C" w:rsidRPr="00B364CB" w:rsidRDefault="00E66A9C" w:rsidP="00E66A9C">
      <w:pPr>
        <w:pStyle w:val="FootnoteText"/>
        <w:rPr>
          <w:i/>
        </w:rPr>
      </w:pPr>
      <w:r w:rsidRPr="00B364CB">
        <w:rPr>
          <w:rStyle w:val="FootnoteReference"/>
          <w:rFonts w:eastAsia="Arial"/>
        </w:rPr>
        <w:footnoteRef/>
      </w:r>
      <w:r w:rsidRPr="00B364CB">
        <w:t xml:space="preserve"> </w:t>
      </w:r>
      <w:r w:rsidRPr="00E4788A">
        <w:t xml:space="preserve">Europe's strategy for international cooperation in a changing world, </w:t>
      </w:r>
      <w:r w:rsidRPr="00B364CB">
        <w:t>COM</w:t>
      </w:r>
      <w:r>
        <w:t>(</w:t>
      </w:r>
      <w:r w:rsidRPr="00B364CB">
        <w:t>2021</w:t>
      </w:r>
      <w:r>
        <w:t xml:space="preserve">) </w:t>
      </w:r>
      <w:r w:rsidRPr="00B364CB">
        <w:t>252 final</w:t>
      </w:r>
      <w:r>
        <w:t>.</w:t>
      </w:r>
    </w:p>
  </w:footnote>
  <w:footnote w:id="231">
    <w:p w14:paraId="24A91F00" w14:textId="77777777" w:rsidR="00E66A9C" w:rsidRPr="00B364CB" w:rsidRDefault="00E66A9C" w:rsidP="00E66A9C">
      <w:pPr>
        <w:pStyle w:val="FootnoteText"/>
      </w:pPr>
      <w:r w:rsidRPr="00B364CB">
        <w:rPr>
          <w:rStyle w:val="FootnoteReference"/>
          <w:rFonts w:eastAsia="Arial"/>
        </w:rPr>
        <w:footnoteRef/>
      </w:r>
      <w:r w:rsidRPr="00B364CB">
        <w:t xml:space="preserve"> Including through an ambitious ‘Africa initiative' under Horizon Europe, to strengthen cooperation with African countries.</w:t>
      </w:r>
    </w:p>
  </w:footnote>
  <w:footnote w:id="232">
    <w:p w14:paraId="071711E7" w14:textId="77777777" w:rsidR="00E66A9C" w:rsidRPr="00B364CB" w:rsidRDefault="00E66A9C" w:rsidP="00E66A9C">
      <w:pPr>
        <w:pStyle w:val="FootnoteText"/>
      </w:pPr>
      <w:r w:rsidRPr="00B364CB">
        <w:rPr>
          <w:rStyle w:val="FootnoteReference"/>
          <w:rFonts w:eastAsia="Arial"/>
        </w:rPr>
        <w:footnoteRef/>
      </w:r>
      <w:r w:rsidRPr="00B364CB">
        <w:t xml:space="preserve"> Notably the ‘Hydrogen Mission’ with Australia, Chile, Germany and the UK, launched at the Mission Innovation 2.0 conference in June 2021.</w:t>
      </w:r>
    </w:p>
  </w:footnote>
  <w:footnote w:id="233">
    <w:p w14:paraId="2D8B6F5C" w14:textId="358EF846" w:rsidR="006523B1" w:rsidRDefault="006523B1">
      <w:pPr>
        <w:pStyle w:val="FootnoteText"/>
      </w:pPr>
      <w:r>
        <w:rPr>
          <w:rStyle w:val="FootnoteReference"/>
        </w:rPr>
        <w:footnoteRef/>
      </w:r>
      <w:r>
        <w:t xml:space="preserve"> The Communication Policy will be adopted separately by the GB. </w:t>
      </w:r>
    </w:p>
  </w:footnote>
  <w:footnote w:id="234">
    <w:p w14:paraId="4945D735" w14:textId="372D82C9" w:rsidR="00F6172A" w:rsidRDefault="00F6172A">
      <w:pPr>
        <w:pStyle w:val="FootnoteText"/>
      </w:pPr>
      <w:r>
        <w:rPr>
          <w:rStyle w:val="FootnoteReference"/>
        </w:rPr>
        <w:footnoteRef/>
      </w:r>
      <w:r>
        <w:t xml:space="preserve"> Article 10</w:t>
      </w:r>
      <w:r w:rsidR="00667D00">
        <w:t>(</w:t>
      </w:r>
      <w:r>
        <w:t>2</w:t>
      </w:r>
      <w:r w:rsidR="00667D00">
        <w:t>)</w:t>
      </w:r>
      <w:r>
        <w:t xml:space="preserve"> of SBA.</w:t>
      </w:r>
    </w:p>
  </w:footnote>
  <w:footnote w:id="235">
    <w:p w14:paraId="6F335CBE" w14:textId="6F2F584C" w:rsidR="00F6172A" w:rsidRDefault="00F6172A">
      <w:pPr>
        <w:pStyle w:val="FootnoteText"/>
      </w:pPr>
      <w:r>
        <w:rPr>
          <w:rStyle w:val="FootnoteReference"/>
        </w:rPr>
        <w:footnoteRef/>
      </w:r>
      <w:r>
        <w:t xml:space="preserve"> Article 10</w:t>
      </w:r>
      <w:r w:rsidR="00667D00">
        <w:t xml:space="preserve"> paragraphs (</w:t>
      </w:r>
      <w:r>
        <w:t>4</w:t>
      </w:r>
      <w:r w:rsidR="00667D00">
        <w:t>)</w:t>
      </w:r>
      <w:r>
        <w:t>-</w:t>
      </w:r>
      <w:r w:rsidR="00667D00">
        <w:t>(</w:t>
      </w:r>
      <w:r>
        <w:t>6</w:t>
      </w:r>
      <w:r w:rsidR="00667D00">
        <w:t>)</w:t>
      </w:r>
      <w:r>
        <w:t xml:space="preserve"> of SBA.</w:t>
      </w:r>
    </w:p>
  </w:footnote>
  <w:footnote w:id="236">
    <w:p w14:paraId="478F2A43" w14:textId="58748108" w:rsidR="00F76020" w:rsidRPr="001B319C" w:rsidRDefault="00F76020" w:rsidP="00785823">
      <w:pPr>
        <w:pStyle w:val="FootnoteText"/>
      </w:pPr>
      <w:r w:rsidRPr="001B319C">
        <w:rPr>
          <w:rStyle w:val="FootnoteReference"/>
          <w:rFonts w:eastAsia="Arial"/>
        </w:rPr>
        <w:footnoteRef/>
      </w:r>
      <w:r w:rsidRPr="001B319C">
        <w:t xml:space="preserve"> See Annex III of the Horizon Europe Regulation on Partnerships selection/objectives </w:t>
      </w:r>
    </w:p>
  </w:footnote>
  <w:footnote w:id="237">
    <w:p w14:paraId="5A551F5C" w14:textId="49BD2CD1" w:rsidR="00F76020" w:rsidRPr="001B319C" w:rsidRDefault="00F76020" w:rsidP="00785823">
      <w:pPr>
        <w:pStyle w:val="FootnoteText"/>
      </w:pPr>
      <w:r w:rsidRPr="001B319C">
        <w:rPr>
          <w:rStyle w:val="FootnoteReference"/>
          <w:rFonts w:eastAsia="Arial"/>
        </w:rPr>
        <w:footnoteRef/>
      </w:r>
      <w:r w:rsidRPr="001B319C">
        <w:t xml:space="preserve"> Article 2 of the SBA </w:t>
      </w:r>
    </w:p>
  </w:footnote>
  <w:footnote w:id="238">
    <w:p w14:paraId="0EA0F028" w14:textId="320640BC" w:rsidR="00F76020" w:rsidRPr="00B364CB" w:rsidRDefault="00F76020" w:rsidP="00785823">
      <w:pPr>
        <w:pStyle w:val="FootnoteText"/>
      </w:pPr>
      <w:r w:rsidRPr="001B319C">
        <w:rPr>
          <w:rStyle w:val="FootnoteReference"/>
          <w:rFonts w:eastAsia="Arial"/>
        </w:rPr>
        <w:footnoteRef/>
      </w:r>
      <w:r w:rsidRPr="001B319C">
        <w:t xml:space="preserve"> Article </w:t>
      </w:r>
      <w:r w:rsidR="006F3FCE" w:rsidRPr="001B319C">
        <w:t xml:space="preserve">4 </w:t>
      </w:r>
      <w:r w:rsidRPr="001B319C">
        <w:t xml:space="preserve">of the SBA </w:t>
      </w:r>
    </w:p>
  </w:footnote>
  <w:footnote w:id="239">
    <w:p w14:paraId="556A182C" w14:textId="0D5BF9E1" w:rsidR="001B7FE1" w:rsidRDefault="001B7FE1">
      <w:pPr>
        <w:pStyle w:val="FootnoteText"/>
      </w:pPr>
      <w:r>
        <w:rPr>
          <w:rStyle w:val="FootnoteReference"/>
        </w:rPr>
        <w:footnoteRef/>
      </w:r>
      <w:r>
        <w:t xml:space="preserve"> Article 17 (2) (m) of the SBA.</w:t>
      </w:r>
    </w:p>
  </w:footnote>
  <w:footnote w:id="240">
    <w:p w14:paraId="4F29D8F1" w14:textId="34EE3940" w:rsidR="00F76020" w:rsidRPr="00B364CB" w:rsidRDefault="00F76020" w:rsidP="00785823">
      <w:pPr>
        <w:pStyle w:val="FootnoteText"/>
      </w:pPr>
      <w:r w:rsidRPr="00B364CB">
        <w:rPr>
          <w:rStyle w:val="FootnoteReference"/>
          <w:rFonts w:eastAsia="Arial"/>
        </w:rPr>
        <w:footnoteRef/>
      </w:r>
      <w:r w:rsidRPr="00B364CB">
        <w:t xml:space="preserve"> </w:t>
      </w:r>
      <w:r w:rsidRPr="001D18FF">
        <w:t xml:space="preserve">Recital 16 </w:t>
      </w:r>
      <w:r w:rsidR="001D18FF" w:rsidRPr="001D18FF">
        <w:t>and Article 15</w:t>
      </w:r>
      <w:r w:rsidR="00667D00">
        <w:t>(</w:t>
      </w:r>
      <w:r w:rsidR="001D18FF" w:rsidRPr="001D18FF">
        <w:t>2</w:t>
      </w:r>
      <w:r w:rsidR="00667D00">
        <w:t>)</w:t>
      </w:r>
      <w:r w:rsidR="001D18FF" w:rsidRPr="001D18FF">
        <w:t xml:space="preserve">(a) </w:t>
      </w:r>
      <w:r w:rsidRPr="001D18FF">
        <w:t>of the SBA</w:t>
      </w:r>
      <w:r w:rsidR="00D258C8">
        <w:t>.</w:t>
      </w:r>
    </w:p>
  </w:footnote>
  <w:footnote w:id="241">
    <w:p w14:paraId="11E494E6" w14:textId="7DD37316" w:rsidR="00D258C8" w:rsidRDefault="00D258C8">
      <w:pPr>
        <w:pStyle w:val="FootnoteText"/>
      </w:pPr>
      <w:r>
        <w:rPr>
          <w:rStyle w:val="FootnoteReference"/>
        </w:rPr>
        <w:footnoteRef/>
      </w:r>
      <w:r>
        <w:t xml:space="preserve"> Article 17</w:t>
      </w:r>
      <w:r w:rsidR="00667D00">
        <w:t>(</w:t>
      </w:r>
      <w:r>
        <w:t>2</w:t>
      </w:r>
      <w:r w:rsidR="00667D00">
        <w:t>)</w:t>
      </w:r>
      <w:r>
        <w:t>(l) of the SBA.</w:t>
      </w:r>
    </w:p>
  </w:footnote>
  <w:footnote w:id="242">
    <w:p w14:paraId="1C567445" w14:textId="027BA3DA" w:rsidR="00667D00" w:rsidRDefault="00667D00">
      <w:pPr>
        <w:pStyle w:val="FootnoteText"/>
      </w:pPr>
      <w:r>
        <w:rPr>
          <w:rStyle w:val="FootnoteReference"/>
        </w:rPr>
        <w:footnoteRef/>
      </w:r>
      <w:r>
        <w:t xml:space="preserve"> See also recitals 16 to 18 of the SBA.</w:t>
      </w:r>
    </w:p>
  </w:footnote>
  <w:footnote w:id="243">
    <w:p w14:paraId="1374680D" w14:textId="77777777" w:rsidR="00F76020" w:rsidRPr="00B364CB" w:rsidRDefault="00F76020" w:rsidP="00785823">
      <w:pPr>
        <w:pStyle w:val="FootnoteText"/>
      </w:pPr>
      <w:r w:rsidRPr="00B364CB">
        <w:rPr>
          <w:rStyle w:val="FootnoteReference"/>
          <w:rFonts w:eastAsia="Arial"/>
        </w:rPr>
        <w:footnoteRef/>
      </w:r>
      <w:r w:rsidRPr="00B364CB">
        <w:t xml:space="preserve"> Key Innovation Actions of strategic importance are considered as justified cases </w:t>
      </w:r>
    </w:p>
  </w:footnote>
  <w:footnote w:id="244">
    <w:p w14:paraId="73C86DAC" w14:textId="3B718FC6" w:rsidR="00F76020" w:rsidRPr="00637F43" w:rsidRDefault="00F76020" w:rsidP="00785823">
      <w:pPr>
        <w:pStyle w:val="FootnoteText"/>
      </w:pPr>
      <w:r w:rsidRPr="00B364CB">
        <w:rPr>
          <w:rStyle w:val="FootnoteReference"/>
          <w:rFonts w:eastAsia="Arial"/>
        </w:rPr>
        <w:footnoteRef/>
      </w:r>
      <w:r w:rsidRPr="00B364CB">
        <w:t xml:space="preserve"> </w:t>
      </w:r>
      <w:r w:rsidRPr="00637F43">
        <w:t>As set out in the SRIA</w:t>
      </w:r>
      <w:r w:rsidR="00F22FEB">
        <w:t>-HE</w:t>
      </w:r>
    </w:p>
  </w:footnote>
  <w:footnote w:id="245">
    <w:p w14:paraId="6B244D1A" w14:textId="595E4118" w:rsidR="00F76020" w:rsidRPr="00637F43" w:rsidRDefault="00F76020" w:rsidP="00785823">
      <w:pPr>
        <w:pStyle w:val="FootnoteText"/>
      </w:pPr>
      <w:r w:rsidRPr="00637F43">
        <w:rPr>
          <w:rStyle w:val="FootnoteReference"/>
          <w:rFonts w:eastAsia="Arial"/>
        </w:rPr>
        <w:footnoteRef/>
      </w:r>
      <w:r w:rsidRPr="00637F43">
        <w:t xml:space="preserve"> See </w:t>
      </w:r>
      <w:r w:rsidRPr="00E4788A">
        <w:t>articles on synergies in the SBA and H</w:t>
      </w:r>
      <w:r>
        <w:t>orizon Europe</w:t>
      </w:r>
      <w:r w:rsidRPr="00E4788A">
        <w:t xml:space="preserve"> Regulations</w:t>
      </w:r>
      <w:r w:rsidR="00214BE8">
        <w:t xml:space="preserve"> and section </w:t>
      </w:r>
      <w:r w:rsidR="00214BE8">
        <w:fldChar w:fldCharType="begin"/>
      </w:r>
      <w:r w:rsidR="00214BE8">
        <w:instrText xml:space="preserve"> REF _Ref55249545 \r \h </w:instrText>
      </w:r>
      <w:r w:rsidR="00214BE8">
        <w:fldChar w:fldCharType="separate"/>
      </w:r>
      <w:r w:rsidR="00214BE8">
        <w:t>4.1</w:t>
      </w:r>
      <w:r w:rsidR="00214BE8">
        <w:fldChar w:fldCharType="end"/>
      </w:r>
      <w:r w:rsidR="00214BE8">
        <w:t>.</w:t>
      </w:r>
    </w:p>
  </w:footnote>
  <w:footnote w:id="246">
    <w:p w14:paraId="6AAED4C1" w14:textId="193B3261" w:rsidR="00F76020" w:rsidRPr="00B364CB" w:rsidRDefault="00F76020" w:rsidP="00785823">
      <w:pPr>
        <w:pStyle w:val="FootnoteText"/>
      </w:pPr>
      <w:r w:rsidRPr="00637F43">
        <w:rPr>
          <w:rStyle w:val="FootnoteReference"/>
          <w:rFonts w:eastAsia="Arial"/>
        </w:rPr>
        <w:footnoteRef/>
      </w:r>
      <w:r w:rsidRPr="00637F43">
        <w:t xml:space="preserve"> </w:t>
      </w:r>
      <w:r w:rsidRPr="00E4788A">
        <w:t>Recital 1</w:t>
      </w:r>
      <w:r>
        <w:t>8</w:t>
      </w:r>
      <w:r w:rsidRPr="00E4788A">
        <w:t xml:space="preserve"> of the SBA</w:t>
      </w:r>
    </w:p>
  </w:footnote>
  <w:footnote w:id="247">
    <w:p w14:paraId="5024E91F" w14:textId="5E4F5B7B" w:rsidR="00F76020" w:rsidRPr="00B364CB" w:rsidRDefault="00F76020" w:rsidP="00785823">
      <w:pPr>
        <w:pStyle w:val="FootnoteText"/>
      </w:pPr>
      <w:r w:rsidRPr="00B364CB">
        <w:rPr>
          <w:rStyle w:val="FootnoteReference"/>
          <w:rFonts w:eastAsia="Arial"/>
        </w:rPr>
        <w:footnoteRef/>
      </w:r>
      <w:r w:rsidRPr="00B364CB">
        <w:t xml:space="preserve"> </w:t>
      </w:r>
      <w:r>
        <w:t>F</w:t>
      </w:r>
      <w:r w:rsidRPr="00B364CB">
        <w:t>lagship projects considered as dully justified cases</w:t>
      </w:r>
      <w:r>
        <w:t>.</w:t>
      </w:r>
    </w:p>
  </w:footnote>
  <w:footnote w:id="248">
    <w:p w14:paraId="33103184" w14:textId="25755E45" w:rsidR="00F76020" w:rsidRPr="00B364CB" w:rsidRDefault="00F76020" w:rsidP="00785823">
      <w:pPr>
        <w:pStyle w:val="FootnoteText"/>
      </w:pPr>
      <w:r w:rsidRPr="00B364CB">
        <w:rPr>
          <w:rStyle w:val="FootnoteReference"/>
          <w:rFonts w:eastAsia="Arial"/>
        </w:rPr>
        <w:footnoteRef/>
      </w:r>
      <w:r w:rsidRPr="00B364CB">
        <w:t xml:space="preserve"> HE model grant agreement is followed mutatis mutandis by the Clean Hydrogen JU</w:t>
      </w:r>
      <w:r>
        <w:t>.</w:t>
      </w:r>
    </w:p>
  </w:footnote>
  <w:footnote w:id="249">
    <w:p w14:paraId="0F4853F9" w14:textId="556D344E" w:rsidR="00F76020" w:rsidRPr="00B364CB" w:rsidRDefault="00F76020" w:rsidP="00785823">
      <w:pPr>
        <w:pStyle w:val="FootnoteText"/>
      </w:pPr>
      <w:r w:rsidRPr="00B364CB">
        <w:rPr>
          <w:rStyle w:val="FootnoteReference"/>
          <w:rFonts w:eastAsia="Arial"/>
        </w:rPr>
        <w:footnoteRef/>
      </w:r>
      <w:r w:rsidRPr="00B364CB">
        <w:t xml:space="preserve"> Article 22</w:t>
      </w:r>
      <w:r>
        <w:t xml:space="preserve"> of the Horizon Europe Regulation.</w:t>
      </w:r>
    </w:p>
  </w:footnote>
  <w:footnote w:id="250">
    <w:p w14:paraId="64CA21B7" w14:textId="39F73751" w:rsidR="00F76020" w:rsidRPr="00B364CB" w:rsidRDefault="00F76020" w:rsidP="00785823">
      <w:pPr>
        <w:pStyle w:val="FootnoteText"/>
      </w:pPr>
      <w:r w:rsidRPr="00B364CB">
        <w:rPr>
          <w:rStyle w:val="FootnoteReference"/>
          <w:rFonts w:eastAsia="Arial"/>
        </w:rPr>
        <w:footnoteRef/>
      </w:r>
      <w:r w:rsidRPr="00B364CB">
        <w:t xml:space="preserve"> Section 3 Part One of </w:t>
      </w:r>
      <w:r>
        <w:t xml:space="preserve">the </w:t>
      </w:r>
      <w:r w:rsidRPr="00B364CB">
        <w:t>SBA</w:t>
      </w:r>
    </w:p>
  </w:footnote>
  <w:footnote w:id="251">
    <w:p w14:paraId="04E36306" w14:textId="2B83FDA5" w:rsidR="00750B0C" w:rsidRPr="00B364CB" w:rsidRDefault="00750B0C" w:rsidP="00750B0C">
      <w:pPr>
        <w:pStyle w:val="FootnoteText"/>
      </w:pPr>
      <w:r w:rsidRPr="00B364CB">
        <w:rPr>
          <w:rStyle w:val="FootnoteReference"/>
          <w:rFonts w:eastAsia="Arial"/>
        </w:rPr>
        <w:footnoteRef/>
      </w:r>
      <w:r w:rsidRPr="00B364CB">
        <w:t xml:space="preserve"> Article</w:t>
      </w:r>
      <w:r>
        <w:t>s</w:t>
      </w:r>
      <w:r w:rsidRPr="00B364CB">
        <w:t xml:space="preserve"> 1</w:t>
      </w:r>
      <w:r>
        <w:t>7 and 82</w:t>
      </w:r>
      <w:r w:rsidRPr="00B364CB">
        <w:t xml:space="preserve"> of </w:t>
      </w:r>
      <w:r>
        <w:t xml:space="preserve">the </w:t>
      </w:r>
      <w:r w:rsidRPr="00B364CB">
        <w:t>SBA</w:t>
      </w:r>
    </w:p>
  </w:footnote>
  <w:footnote w:id="252">
    <w:p w14:paraId="0C65585A" w14:textId="668E68BB" w:rsidR="00750B0C" w:rsidRPr="00B364CB" w:rsidRDefault="00750B0C" w:rsidP="00750B0C">
      <w:pPr>
        <w:pStyle w:val="FootnoteText"/>
      </w:pPr>
      <w:r w:rsidRPr="00B364CB">
        <w:rPr>
          <w:rStyle w:val="FootnoteReference"/>
          <w:rFonts w:eastAsia="Arial"/>
        </w:rPr>
        <w:footnoteRef/>
      </w:r>
      <w:r w:rsidRPr="00B364CB">
        <w:t xml:space="preserve"> Articles 1</w:t>
      </w:r>
      <w:r>
        <w:t>9</w:t>
      </w:r>
      <w:r w:rsidRPr="00B364CB">
        <w:t xml:space="preserve"> and 8</w:t>
      </w:r>
      <w:r>
        <w:t>3</w:t>
      </w:r>
      <w:r w:rsidRPr="00B364CB">
        <w:t xml:space="preserve"> of </w:t>
      </w:r>
      <w:r>
        <w:t xml:space="preserve">the </w:t>
      </w:r>
      <w:r w:rsidRPr="00B364CB">
        <w:t>SBA</w:t>
      </w:r>
    </w:p>
  </w:footnote>
  <w:footnote w:id="253">
    <w:p w14:paraId="072D2766" w14:textId="1D012CF6" w:rsidR="006C7112" w:rsidRPr="00B364CB" w:rsidRDefault="006C7112" w:rsidP="006C7112">
      <w:pPr>
        <w:pStyle w:val="FootnoteText"/>
      </w:pPr>
      <w:r w:rsidRPr="00B364CB">
        <w:rPr>
          <w:rStyle w:val="FootnoteReference"/>
          <w:rFonts w:eastAsia="Arial"/>
        </w:rPr>
        <w:footnoteRef/>
      </w:r>
      <w:r w:rsidRPr="00B364CB">
        <w:t xml:space="preserve"> Article 1</w:t>
      </w:r>
      <w:r w:rsidR="00564626">
        <w:t>9</w:t>
      </w:r>
      <w:r w:rsidRPr="00B364CB">
        <w:t xml:space="preserve">.6 of </w:t>
      </w:r>
      <w:r>
        <w:t xml:space="preserve">the </w:t>
      </w:r>
      <w:r w:rsidRPr="00B364CB">
        <w:t>SBA</w:t>
      </w:r>
    </w:p>
  </w:footnote>
  <w:footnote w:id="254">
    <w:p w14:paraId="1DF4A77B" w14:textId="77777777" w:rsidR="00564626" w:rsidRPr="00B364CB" w:rsidRDefault="00564626" w:rsidP="00564626">
      <w:pPr>
        <w:pStyle w:val="FootnoteText"/>
      </w:pPr>
      <w:r w:rsidRPr="00B364CB">
        <w:rPr>
          <w:rStyle w:val="FootnoteReference"/>
          <w:rFonts w:eastAsia="Arial"/>
        </w:rPr>
        <w:footnoteRef/>
      </w:r>
      <w:r w:rsidRPr="00B364CB">
        <w:t xml:space="preserve"> </w:t>
      </w:r>
      <w:r>
        <w:t>Article 20</w:t>
      </w:r>
    </w:p>
  </w:footnote>
  <w:footnote w:id="255">
    <w:p w14:paraId="4002C72E" w14:textId="417E38E6" w:rsidR="00564626" w:rsidRDefault="00564626">
      <w:pPr>
        <w:pStyle w:val="FootnoteText"/>
      </w:pPr>
      <w:r>
        <w:rPr>
          <w:rStyle w:val="FootnoteReference"/>
        </w:rPr>
        <w:footnoteRef/>
      </w:r>
      <w:r>
        <w:t xml:space="preserve"> </w:t>
      </w:r>
      <w:hyperlink r:id="rId131" w:history="1">
        <w:r w:rsidRPr="00502FCA">
          <w:rPr>
            <w:rStyle w:val="Hyperlink"/>
          </w:rPr>
          <w:t>https://www.bmbf.de/bmbf/shareddocs/kurzmeldungen/en/green-hydrogen-for-a-sustainable-future.html</w:t>
        </w:r>
      </w:hyperlink>
      <w:r>
        <w:t xml:space="preserve"> </w:t>
      </w:r>
    </w:p>
  </w:footnote>
  <w:footnote w:id="256">
    <w:p w14:paraId="0AE1B2C1" w14:textId="71AD99E1" w:rsidR="008706B8" w:rsidRPr="00B364CB" w:rsidRDefault="008706B8" w:rsidP="008706B8">
      <w:pPr>
        <w:pStyle w:val="FootnoteText"/>
      </w:pPr>
      <w:r w:rsidRPr="00B364CB">
        <w:rPr>
          <w:rStyle w:val="FootnoteReference"/>
          <w:rFonts w:eastAsia="Arial"/>
        </w:rPr>
        <w:footnoteRef/>
      </w:r>
      <w:r w:rsidRPr="00B364CB">
        <w:t xml:space="preserve"> Articles 2</w:t>
      </w:r>
      <w:r>
        <w:t>2</w:t>
      </w:r>
      <w:r w:rsidRPr="00B364CB">
        <w:t xml:space="preserve"> and 8</w:t>
      </w:r>
      <w:r>
        <w:t>4</w:t>
      </w:r>
      <w:r w:rsidRPr="00B364CB">
        <w:t xml:space="preserve"> of </w:t>
      </w:r>
      <w:r>
        <w:t xml:space="preserve">the </w:t>
      </w:r>
      <w:r w:rsidRPr="00B364CB">
        <w:t>SBA</w:t>
      </w:r>
    </w:p>
  </w:footnote>
  <w:footnote w:id="257">
    <w:p w14:paraId="425D6339" w14:textId="5E90E084" w:rsidR="003757FD" w:rsidRDefault="003757FD">
      <w:pPr>
        <w:pStyle w:val="FootnoteText"/>
      </w:pPr>
      <w:r>
        <w:rPr>
          <w:rStyle w:val="FootnoteReference"/>
        </w:rPr>
        <w:footnoteRef/>
      </w:r>
      <w:r>
        <w:t xml:space="preserve"> Articles 5.2(h), 17.2(a), 19.</w:t>
      </w:r>
      <w:r w:rsidR="000B60FD">
        <w:t>4(f)/(g)/(o)</w:t>
      </w:r>
      <w:r>
        <w:t>, 36, 74(a) and 171 of the SBA.</w:t>
      </w:r>
    </w:p>
  </w:footnote>
  <w:footnote w:id="258">
    <w:p w14:paraId="3092C747" w14:textId="597C707F" w:rsidR="00F76020" w:rsidRPr="00B364CB" w:rsidRDefault="00F76020">
      <w:pPr>
        <w:pStyle w:val="FootnoteText"/>
      </w:pPr>
      <w:r w:rsidRPr="00B364CB">
        <w:rPr>
          <w:rStyle w:val="FootnoteReference"/>
        </w:rPr>
        <w:footnoteRef/>
      </w:r>
      <w:r w:rsidRPr="00B364CB">
        <w:t xml:space="preserve"> Article 171 of the SBA.</w:t>
      </w:r>
    </w:p>
  </w:footnote>
  <w:footnote w:id="259">
    <w:p w14:paraId="2343380C" w14:textId="77777777" w:rsidR="00F76020" w:rsidRPr="007A3A3E" w:rsidRDefault="00F76020" w:rsidP="00120F40">
      <w:pPr>
        <w:pStyle w:val="FootnoteText"/>
      </w:pPr>
      <w:r>
        <w:rPr>
          <w:rStyle w:val="FootnoteReference"/>
        </w:rPr>
        <w:footnoteRef/>
      </w:r>
      <w:r>
        <w:t xml:space="preserve"> </w:t>
      </w:r>
      <w:r w:rsidRPr="007A3A3E">
        <w:rPr>
          <w:iCs/>
          <w:lang w:val="en-IE"/>
        </w:rPr>
        <w:t>A robust and harmonised framework for reporting and monitoring European Partnerships in Horizon Europe</w:t>
      </w:r>
      <w:r>
        <w:rPr>
          <w:iCs/>
          <w:lang w:val="en-IE"/>
        </w:rPr>
        <w:t xml:space="preserve">, 2021, RTD, </w:t>
      </w:r>
      <w:hyperlink r:id="rId132" w:tgtFrame="_blank" w:history="1">
        <w:r w:rsidRPr="007A3A3E">
          <w:rPr>
            <w:rStyle w:val="Hyperlink"/>
            <w:rFonts w:eastAsia="Arial"/>
            <w:bCs/>
            <w:color w:val="2B542C"/>
          </w:rPr>
          <w:t>https://europa.eu/!b3TBfW</w:t>
        </w:r>
      </w:hyperlink>
      <w:r w:rsidRPr="00D041D1">
        <w:rPr>
          <w:lang w:val="en-IE"/>
        </w:rPr>
        <w:t>.</w:t>
      </w:r>
      <w:r>
        <w:rPr>
          <w:lang w:val="en-IE"/>
        </w:rPr>
        <w:t xml:space="preserve"> </w:t>
      </w:r>
    </w:p>
  </w:footnote>
  <w:footnote w:id="260">
    <w:p w14:paraId="7EAA9D72" w14:textId="233F0F96" w:rsidR="00F76020" w:rsidRDefault="00F76020">
      <w:pPr>
        <w:pStyle w:val="FootnoteText"/>
      </w:pPr>
      <w:r>
        <w:rPr>
          <w:rStyle w:val="FootnoteReference"/>
        </w:rPr>
        <w:footnoteRef/>
      </w:r>
      <w:r>
        <w:t xml:space="preserve"> As stated in the executive summary of the interim report, the “</w:t>
      </w:r>
      <w:r>
        <w:rPr>
          <w:sz w:val="19"/>
          <w:szCs w:val="19"/>
        </w:rPr>
        <w:t xml:space="preserve">proposed common indicators represent the best understanding of the Expert Group at the time this report is written, the Expert Group will continue its work until summer 2022… </w:t>
      </w:r>
      <w:r w:rsidRPr="00A551CC">
        <w:rPr>
          <w:sz w:val="19"/>
          <w:szCs w:val="19"/>
        </w:rPr>
        <w:t>the Expert Group or the Commission may decide it is necessary to revise the proposal for the common indicators at a later stage</w:t>
      </w:r>
      <w:r>
        <w:rPr>
          <w:sz w:val="19"/>
          <w:szCs w:val="19"/>
        </w:rPr>
        <w:t>”.</w:t>
      </w:r>
    </w:p>
  </w:footnote>
  <w:footnote w:id="261">
    <w:p w14:paraId="5D37A528" w14:textId="77777777" w:rsidR="00B1686C" w:rsidRDefault="00B1686C" w:rsidP="00B1686C">
      <w:pPr>
        <w:pStyle w:val="FootnoteText"/>
      </w:pPr>
      <w:r>
        <w:rPr>
          <w:rStyle w:val="FootnoteReference"/>
        </w:rPr>
        <w:footnoteRef/>
      </w:r>
      <w:r>
        <w:t xml:space="preserve"> </w:t>
      </w:r>
      <w:hyperlink r:id="rId133" w:history="1">
        <w:r w:rsidRPr="00A8084C">
          <w:rPr>
            <w:rStyle w:val="Hyperlink"/>
          </w:rPr>
          <w:t>https://op.europa.eu/en/web/eu-law-and-publications/publication-detail/-/publication/3c6ffd74-8ac3-11eb-b85c-01aa75ed71a1</w:t>
        </w:r>
      </w:hyperlink>
      <w:r>
        <w:t xml:space="preserve"> </w:t>
      </w:r>
    </w:p>
  </w:footnote>
  <w:footnote w:id="262">
    <w:p w14:paraId="4B056515" w14:textId="2B7C47B8" w:rsidR="00F76020" w:rsidRPr="00B364CB" w:rsidRDefault="00F76020" w:rsidP="00785823">
      <w:pPr>
        <w:pStyle w:val="FootnoteText"/>
      </w:pPr>
      <w:r w:rsidRPr="00B364CB">
        <w:rPr>
          <w:rStyle w:val="FootnoteReference"/>
          <w:rFonts w:eastAsia="Arial"/>
        </w:rPr>
        <w:footnoteRef/>
      </w:r>
      <w:r w:rsidRPr="00B364CB">
        <w:t xml:space="preserve"> Art.2</w:t>
      </w:r>
      <w:r w:rsidR="000B60FD">
        <w:t>5</w:t>
      </w:r>
      <w:r w:rsidRPr="00B364CB">
        <w:t>.2 of the SBA</w:t>
      </w:r>
    </w:p>
  </w:footnote>
  <w:footnote w:id="263">
    <w:p w14:paraId="2903A348" w14:textId="631EF9A5" w:rsidR="00F76020" w:rsidRPr="00B364CB" w:rsidRDefault="00F76020" w:rsidP="00785823">
      <w:pPr>
        <w:pStyle w:val="FootnoteText"/>
      </w:pPr>
      <w:r w:rsidRPr="00B364CB">
        <w:rPr>
          <w:rStyle w:val="FootnoteReference"/>
          <w:rFonts w:eastAsia="Arial"/>
        </w:rPr>
        <w:footnoteRef/>
      </w:r>
      <w:r w:rsidRPr="00B364CB">
        <w:t xml:space="preserve"> Art. 2</w:t>
      </w:r>
      <w:r w:rsidR="000B60FD">
        <w:t>5</w:t>
      </w:r>
      <w:r w:rsidRPr="00B364CB">
        <w:t>.3 and 2</w:t>
      </w:r>
      <w:r w:rsidR="000B60FD">
        <w:t>5</w:t>
      </w:r>
      <w:r w:rsidRPr="00B364CB">
        <w:t>.4 of the SBA</w:t>
      </w:r>
    </w:p>
  </w:footnote>
  <w:footnote w:id="264">
    <w:p w14:paraId="0B9BD408" w14:textId="69CD1770" w:rsidR="00F76020" w:rsidRPr="00B364CB" w:rsidRDefault="00F76020" w:rsidP="00785823">
      <w:pPr>
        <w:pStyle w:val="FootnoteText"/>
      </w:pPr>
      <w:r w:rsidRPr="00B364CB">
        <w:rPr>
          <w:rStyle w:val="FootnoteReference"/>
          <w:rFonts w:eastAsia="Arial"/>
        </w:rPr>
        <w:footnoteRef/>
      </w:r>
      <w:r w:rsidRPr="00B364CB">
        <w:t xml:space="preserve"> Art.1</w:t>
      </w:r>
      <w:r w:rsidR="000B60FD">
        <w:t>9</w:t>
      </w:r>
      <w:r w:rsidRPr="00B364CB">
        <w:t xml:space="preserve"> of the SBA</w:t>
      </w:r>
    </w:p>
  </w:footnote>
  <w:footnote w:id="265">
    <w:p w14:paraId="7421E655" w14:textId="77777777" w:rsidR="00F76020" w:rsidRPr="00B364CB" w:rsidRDefault="00F76020" w:rsidP="00785823">
      <w:pPr>
        <w:pStyle w:val="FootnoteText"/>
      </w:pPr>
      <w:r w:rsidRPr="00B364CB">
        <w:rPr>
          <w:rStyle w:val="FootnoteReference"/>
          <w:rFonts w:eastAsia="Arial"/>
        </w:rPr>
        <w:footnoteRef/>
      </w:r>
      <w:r w:rsidRPr="00B364CB">
        <w:t xml:space="preserve"> Article 11 of the SBA</w:t>
      </w:r>
    </w:p>
  </w:footnote>
  <w:footnote w:id="266">
    <w:p w14:paraId="042E334C" w14:textId="77777777" w:rsidR="00F76020" w:rsidRPr="00EB0A1D" w:rsidRDefault="00F76020" w:rsidP="00E76BB3">
      <w:pPr>
        <w:pStyle w:val="FootnoteText"/>
      </w:pPr>
      <w:r>
        <w:rPr>
          <w:rStyle w:val="FootnoteReference"/>
          <w:rFonts w:eastAsia="Arial"/>
        </w:rPr>
        <w:footnoteRef/>
      </w:r>
      <w:r>
        <w:t xml:space="preserve"> Art.71 of the Regulation (EU,Euratom) 2018/1046</w:t>
      </w:r>
    </w:p>
  </w:footnote>
  <w:footnote w:id="267">
    <w:p w14:paraId="7B72A75F" w14:textId="21281369" w:rsidR="00F76020" w:rsidRDefault="00F76020" w:rsidP="00E76BB3">
      <w:pPr>
        <w:pStyle w:val="FootnoteText"/>
      </w:pPr>
      <w:r>
        <w:rPr>
          <w:rStyle w:val="FootnoteReference"/>
          <w:rFonts w:eastAsia="Arial"/>
        </w:rPr>
        <w:footnoteRef/>
      </w:r>
      <w:r>
        <w:t xml:space="preserve"> Art. 2.2.3 of the Clean Hydrogen </w:t>
      </w:r>
      <w:r w:rsidR="00765CE8" w:rsidRPr="00765CE8">
        <w:rPr>
          <w:rFonts w:ascii="Segoe UI" w:hAnsi="Segoe UI" w:cs="Segoe UI"/>
          <w:color w:val="242424"/>
          <w:sz w:val="21"/>
          <w:szCs w:val="21"/>
          <w:shd w:val="clear" w:color="auto" w:fill="FFFFFF"/>
        </w:rPr>
        <w:t>L</w:t>
      </w:r>
      <w:r w:rsidR="00765CE8" w:rsidRPr="00765CE8">
        <w:t xml:space="preserve">egislative </w:t>
      </w:r>
      <w:r w:rsidR="00765CE8" w:rsidRPr="00765CE8">
        <w:rPr>
          <w:rFonts w:ascii="Segoe UI" w:hAnsi="Segoe UI" w:cs="Segoe UI"/>
          <w:color w:val="242424"/>
          <w:sz w:val="21"/>
          <w:szCs w:val="21"/>
          <w:shd w:val="clear" w:color="auto" w:fill="FFFFFF"/>
        </w:rPr>
        <w:t>Financial</w:t>
      </w:r>
      <w:r w:rsidR="00765CE8" w:rsidRPr="00765CE8">
        <w:t xml:space="preserve"> Statement</w:t>
      </w:r>
    </w:p>
  </w:footnote>
  <w:footnote w:id="268">
    <w:p w14:paraId="788BF3A0" w14:textId="495A0174" w:rsidR="00F76020" w:rsidRPr="005966E2" w:rsidRDefault="00F76020" w:rsidP="00E76BB3">
      <w:pPr>
        <w:pStyle w:val="FootnoteText"/>
      </w:pPr>
      <w:r>
        <w:rPr>
          <w:rStyle w:val="FootnoteReference"/>
          <w:rFonts w:eastAsia="Arial"/>
        </w:rPr>
        <w:footnoteRef/>
      </w:r>
      <w:r>
        <w:t xml:space="preserve"> Art. 2.2.1 of the Clean Hydrogen </w:t>
      </w:r>
      <w:r w:rsidR="00765CE8" w:rsidRPr="00765CE8">
        <w:t>Legislative Financial Statement</w:t>
      </w:r>
    </w:p>
  </w:footnote>
  <w:footnote w:id="269">
    <w:p w14:paraId="2C0E34BE" w14:textId="1602751F" w:rsidR="00F76020" w:rsidRPr="00DD42E2" w:rsidRDefault="00F76020" w:rsidP="00E76BB3">
      <w:pPr>
        <w:pStyle w:val="FootnoteText"/>
      </w:pPr>
      <w:r>
        <w:rPr>
          <w:rStyle w:val="FootnoteReference"/>
          <w:rFonts w:eastAsia="Arial"/>
        </w:rPr>
        <w:footnoteRef/>
      </w:r>
      <w:r>
        <w:t xml:space="preserve"> Art. 2.2.1 of the Clean Hydrogen </w:t>
      </w:r>
      <w:r w:rsidR="00765CE8" w:rsidRPr="00765CE8">
        <w:t>Legislative Financial Statement</w:t>
      </w:r>
    </w:p>
  </w:footnote>
  <w:footnote w:id="270">
    <w:p w14:paraId="380A1AFD" w14:textId="297247FA" w:rsidR="00F76020" w:rsidRDefault="00F76020" w:rsidP="00E76BB3">
      <w:pPr>
        <w:pStyle w:val="FootnoteText"/>
      </w:pPr>
      <w:r>
        <w:rPr>
          <w:rStyle w:val="FootnoteReference"/>
          <w:rFonts w:eastAsia="Arial"/>
        </w:rPr>
        <w:footnoteRef/>
      </w:r>
      <w:r>
        <w:t xml:space="preserve"> Art. 2.2.2 of the Clean Hydrogen </w:t>
      </w:r>
      <w:r w:rsidR="00765CE8" w:rsidRPr="00765CE8">
        <w:t>Legislative Financial Statement</w:t>
      </w:r>
    </w:p>
  </w:footnote>
  <w:footnote w:id="271">
    <w:p w14:paraId="76BA3E10" w14:textId="77777777" w:rsidR="00F76020" w:rsidRPr="00F860CD" w:rsidRDefault="00F76020" w:rsidP="00E76BB3">
      <w:pPr>
        <w:pStyle w:val="FootnoteText"/>
      </w:pPr>
      <w:r>
        <w:rPr>
          <w:rStyle w:val="FootnoteReference"/>
          <w:rFonts w:eastAsia="Arial"/>
        </w:rPr>
        <w:footnoteRef/>
      </w:r>
      <w:r>
        <w:t xml:space="preserve"> </w:t>
      </w:r>
      <w:hyperlink r:id="rId134" w:history="1">
        <w:r w:rsidRPr="00CE382E">
          <w:rPr>
            <w:rStyle w:val="Hyperlink"/>
            <w:rFonts w:eastAsia="Arial"/>
          </w:rPr>
          <w:t>https://ec.europa.eu/info/sites/info/files/file_import/digitally-transformed_user-focused_data-driven_commission_en.pdf</w:t>
        </w:r>
      </w:hyperlink>
      <w:r>
        <w:t xml:space="preserve"> </w:t>
      </w:r>
    </w:p>
  </w:footnote>
  <w:footnote w:id="272">
    <w:p w14:paraId="61EBEA11" w14:textId="77777777" w:rsidR="00F76020" w:rsidRPr="00F860CD" w:rsidRDefault="00F76020" w:rsidP="00E76BB3">
      <w:pPr>
        <w:pStyle w:val="FootnoteText"/>
      </w:pPr>
      <w:r>
        <w:rPr>
          <w:rStyle w:val="FootnoteReference"/>
          <w:rFonts w:eastAsia="Arial"/>
        </w:rPr>
        <w:footnoteRef/>
      </w:r>
      <w:r>
        <w:t xml:space="preserve"> </w:t>
      </w:r>
      <w:hyperlink r:id="rId135" w:history="1">
        <w:r w:rsidRPr="00CE382E">
          <w:rPr>
            <w:rStyle w:val="Hyperlink"/>
            <w:rFonts w:eastAsia="Arial"/>
          </w:rPr>
          <w:t>https://ec.europa.eu/info/sites/info/files/file_import/digitally-transformed_user-focused_data-driven_commission_en.pdf</w:t>
        </w:r>
      </w:hyperlink>
      <w:r>
        <w:t xml:space="preserve"> </w:t>
      </w:r>
    </w:p>
  </w:footnote>
  <w:footnote w:id="273">
    <w:p w14:paraId="327F6A90" w14:textId="77777777" w:rsidR="00F76020" w:rsidRPr="00F860CD" w:rsidRDefault="00F76020" w:rsidP="00E76BB3">
      <w:pPr>
        <w:pStyle w:val="FootnoteText"/>
      </w:pPr>
      <w:r>
        <w:rPr>
          <w:rStyle w:val="FootnoteReference"/>
          <w:rFonts w:eastAsia="Arial"/>
        </w:rPr>
        <w:footnoteRef/>
      </w:r>
      <w:r>
        <w:t xml:space="preserve"> </w:t>
      </w:r>
      <w:hyperlink r:id="rId136" w:history="1">
        <w:r w:rsidRPr="00CE382E">
          <w:rPr>
            <w:rStyle w:val="Hyperlink"/>
            <w:rFonts w:eastAsia="Arial"/>
          </w:rPr>
          <w:t>https://ec.europa.eu/info/sites/info/files/c_2020_4482_en.pdf</w:t>
        </w:r>
      </w:hyperlink>
      <w:r>
        <w:t xml:space="preserve"> </w:t>
      </w:r>
    </w:p>
  </w:footnote>
  <w:footnote w:id="274">
    <w:p w14:paraId="5D27EEBA" w14:textId="77777777" w:rsidR="00F76020" w:rsidRPr="00F860CD" w:rsidRDefault="00F76020" w:rsidP="00E76BB3">
      <w:pPr>
        <w:pStyle w:val="FootnoteText"/>
      </w:pPr>
      <w:r>
        <w:rPr>
          <w:rStyle w:val="FootnoteReference"/>
          <w:rFonts w:eastAsia="Arial"/>
        </w:rPr>
        <w:footnoteRef/>
      </w:r>
      <w:r>
        <w:t xml:space="preserve"> </w:t>
      </w:r>
      <w:hyperlink r:id="rId137" w:history="1">
        <w:r w:rsidRPr="00CE382E">
          <w:rPr>
            <w:rStyle w:val="Hyperlink"/>
            <w:rFonts w:eastAsia="Arial"/>
          </w:rPr>
          <w:t>https://myintracomm.ec.europa.eu/sg/edomec/Documents/SEC_2020_800_en.pdf</w:t>
        </w:r>
      </w:hyperlink>
      <w:r>
        <w:t xml:space="preserve"> </w:t>
      </w:r>
    </w:p>
  </w:footnote>
  <w:footnote w:id="275">
    <w:p w14:paraId="2A7DA49B" w14:textId="6A30FC02" w:rsidR="00061852" w:rsidRDefault="00061852" w:rsidP="00061852">
      <w:pPr>
        <w:pStyle w:val="FootnoteText"/>
      </w:pPr>
      <w:r>
        <w:rPr>
          <w:rStyle w:val="FootnoteReference"/>
          <w:rFonts w:eastAsia="Arial"/>
        </w:rPr>
        <w:footnoteRef/>
      </w:r>
      <w:r>
        <w:t xml:space="preserve"> </w:t>
      </w:r>
      <w:r w:rsidRPr="00C576DD">
        <w:t xml:space="preserve">Baseline </w:t>
      </w:r>
      <w:r>
        <w:t xml:space="preserve">values for KPIs (1a), (1b), (2), (3), (4), (7), (11), (12a), (12b) and (13) </w:t>
      </w:r>
      <w:r w:rsidRPr="00C576DD">
        <w:t>refer to the achievement over the lifetime of the predecessor partnership (FCH 2 JU)</w:t>
      </w:r>
      <w:r>
        <w:t xml:space="preserve">. </w:t>
      </w:r>
      <w:r w:rsidR="00761B61">
        <w:t>Some of the values may go up to 2020, due to data unavailability at the moment of drafting the SRIA.</w:t>
      </w:r>
    </w:p>
  </w:footnote>
  <w:footnote w:id="276">
    <w:p w14:paraId="31209A96" w14:textId="77777777" w:rsidR="00061852" w:rsidRDefault="00061852" w:rsidP="00061852">
      <w:pPr>
        <w:pStyle w:val="FootnoteText"/>
      </w:pPr>
      <w:r>
        <w:rPr>
          <w:rStyle w:val="FootnoteReference"/>
          <w:rFonts w:eastAsia="Arial"/>
        </w:rPr>
        <w:footnoteRef/>
      </w:r>
      <w:r>
        <w:t xml:space="preserve"> T</w:t>
      </w:r>
      <w:r w:rsidRPr="00060671">
        <w:t>arget</w:t>
      </w:r>
      <w:r>
        <w:t xml:space="preserve"> values for KPIs (1a), (1b), (3), (4), (7), (11), (12a), (12b) and (13)</w:t>
      </w:r>
      <w:r w:rsidRPr="00060671">
        <w:t xml:space="preserve"> for the </w:t>
      </w:r>
      <w:r>
        <w:t>JU</w:t>
      </w:r>
      <w:r w:rsidRPr="00060671">
        <w:t xml:space="preserve"> have been set based on </w:t>
      </w:r>
      <w:r>
        <w:t xml:space="preserve">relevant </w:t>
      </w:r>
      <w:r w:rsidRPr="00060671">
        <w:t xml:space="preserve">FCH JU </w:t>
      </w:r>
      <w:r>
        <w:t>data and trends</w:t>
      </w:r>
      <w:r w:rsidRPr="00060671">
        <w:t xml:space="preserve">, </w:t>
      </w:r>
      <w:r>
        <w:t xml:space="preserve">while </w:t>
      </w:r>
      <w:r w:rsidRPr="00060671">
        <w:t xml:space="preserve">considering the increased budget </w:t>
      </w:r>
      <w:r>
        <w:t xml:space="preserve">of the Clean Hydrogen JU </w:t>
      </w:r>
      <w:r w:rsidRPr="00060671">
        <w:t xml:space="preserve">and </w:t>
      </w:r>
      <w:r>
        <w:t xml:space="preserve">its </w:t>
      </w:r>
      <w:r w:rsidRPr="00060671">
        <w:t>new objectives.</w:t>
      </w:r>
    </w:p>
  </w:footnote>
  <w:footnote w:id="277">
    <w:p w14:paraId="4AD742E2" w14:textId="77777777" w:rsidR="00061852" w:rsidRDefault="00061852" w:rsidP="00061852">
      <w:pPr>
        <w:pStyle w:val="FootnoteText"/>
      </w:pPr>
      <w:r>
        <w:rPr>
          <w:rStyle w:val="FootnoteReference"/>
          <w:rFonts w:eastAsia="Arial"/>
        </w:rPr>
        <w:footnoteRef/>
      </w:r>
      <w:r>
        <w:t xml:space="preserve"> GO: General Objectives, SBA art 73(1); SO: Specific Objectives, SBA art 73(2); AT: Additional Tasks, SBA art 74.</w:t>
      </w:r>
    </w:p>
  </w:footnote>
  <w:footnote w:id="278">
    <w:p w14:paraId="3F2DC280" w14:textId="77777777" w:rsidR="00061852" w:rsidRDefault="00061852" w:rsidP="00061852">
      <w:pPr>
        <w:pStyle w:val="FootnoteText"/>
      </w:pPr>
      <w:r>
        <w:rPr>
          <w:rStyle w:val="FootnoteReference"/>
          <w:rFonts w:eastAsia="Arial"/>
        </w:rPr>
        <w:footnoteRef/>
      </w:r>
      <w:r>
        <w:t xml:space="preserve"> Note that certain projects may fall bother under KPI-1a and KPI-1b.</w:t>
      </w:r>
    </w:p>
  </w:footnote>
  <w:footnote w:id="279">
    <w:p w14:paraId="598B7FA4" w14:textId="77777777" w:rsidR="00061852" w:rsidRDefault="00061852" w:rsidP="00061852">
      <w:pPr>
        <w:pStyle w:val="FootnoteText"/>
      </w:pPr>
      <w:r>
        <w:rPr>
          <w:rStyle w:val="FootnoteReference"/>
          <w:rFonts w:eastAsia="Arial"/>
        </w:rPr>
        <w:footnoteRef/>
      </w:r>
      <w:r>
        <w:t xml:space="preserve"> Exact methodology to be determined after the approval of the specific KPI. The methodology and targets will be published on the JU website.</w:t>
      </w:r>
    </w:p>
  </w:footnote>
  <w:footnote w:id="280">
    <w:p w14:paraId="57AC99EF" w14:textId="77777777" w:rsidR="00061852" w:rsidRDefault="00061852" w:rsidP="00061852">
      <w:pPr>
        <w:pStyle w:val="FootnoteText"/>
      </w:pPr>
      <w:r>
        <w:rPr>
          <w:rStyle w:val="FootnoteReference"/>
          <w:rFonts w:eastAsia="Arial"/>
        </w:rPr>
        <w:footnoteRef/>
      </w:r>
      <w:r>
        <w:t xml:space="preserve"> As reflected by the UN’s Sustainable Development Goals (SDG), as well as the Key Strategic Orientations KSO of the Horizon Europe Programme – including their impact Areas and destinations -, and the Key Impact Pathways (KIP) which will be used to monitor the implementation of Horizon Europe. In particular, the whole Programme of the JU falls under KSO (C): m</w:t>
      </w:r>
      <w:r w:rsidRPr="006B0AB0">
        <w:t>aking Europe the first digitally enabled circular, climate neutral and sustainable economy</w:t>
      </w:r>
      <w:r>
        <w:t>. The relevant impact areas are (1) climate change mitigation and adaptation, (2) affordable and clean energy, (3) smart and sustainable transport and (4) circular and clean economy, each associated with more specific expected impacts of the Programme.</w:t>
      </w:r>
    </w:p>
  </w:footnote>
  <w:footnote w:id="281">
    <w:p w14:paraId="139A3A1F" w14:textId="77777777" w:rsidR="00061852" w:rsidRDefault="00061852" w:rsidP="00061852">
      <w:pPr>
        <w:pStyle w:val="FootnoteText"/>
      </w:pPr>
      <w:r>
        <w:rPr>
          <w:rStyle w:val="FootnoteReference"/>
          <w:rFonts w:eastAsia="Arial"/>
        </w:rPr>
        <w:footnoteRef/>
      </w:r>
      <w:r>
        <w:t xml:space="preserve"> </w:t>
      </w:r>
      <w:hyperlink r:id="rId138" w:history="1">
        <w:r w:rsidRPr="0026200D">
          <w:rPr>
            <w:rStyle w:val="Hyperlink"/>
            <w:rFonts w:eastAsia="Arial"/>
          </w:rPr>
          <w:t>https://www.fchobservatory.eu/</w:t>
        </w:r>
      </w:hyperlink>
      <w:r>
        <w:t xml:space="preserve"> </w:t>
      </w:r>
    </w:p>
  </w:footnote>
  <w:footnote w:id="282">
    <w:p w14:paraId="1EB47801" w14:textId="77777777" w:rsidR="00061852" w:rsidRDefault="00061852" w:rsidP="00061852">
      <w:pPr>
        <w:pStyle w:val="FootnoteText"/>
      </w:pPr>
      <w:r>
        <w:rPr>
          <w:rStyle w:val="FootnoteReference"/>
          <w:rFonts w:eastAsia="Arial"/>
        </w:rPr>
        <w:footnoteRef/>
      </w:r>
      <w:r>
        <w:t xml:space="preserve"> Targets based on EU’s Hydrogen Strategy, Communication COM(2020) 301 of 8 July 2020, which includes targets for 2024 and 2030. Values for 2023, 2025 and 2027 based on interpolation.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7831E" w14:textId="77777777" w:rsidR="0036785D" w:rsidRDefault="003678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7ADC4" w14:textId="77777777" w:rsidR="0036785D" w:rsidRDefault="003678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4C14B" w14:textId="77777777" w:rsidR="0036785D" w:rsidRDefault="003678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692DF" w14:textId="77777777" w:rsidR="00F76020" w:rsidRDefault="00F7602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03632" w14:textId="1E3B5B77" w:rsidR="00F76020" w:rsidRDefault="00F76020">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7C81"/>
    <w:multiLevelType w:val="hybridMultilevel"/>
    <w:tmpl w:val="5AE6C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D82C02"/>
    <w:multiLevelType w:val="hybridMultilevel"/>
    <w:tmpl w:val="1416DE0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74CFC"/>
    <w:multiLevelType w:val="hybridMultilevel"/>
    <w:tmpl w:val="ABAC7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B07BC4"/>
    <w:multiLevelType w:val="hybridMultilevel"/>
    <w:tmpl w:val="D5D29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1503D"/>
    <w:multiLevelType w:val="hybridMultilevel"/>
    <w:tmpl w:val="F6FA68EA"/>
    <w:lvl w:ilvl="0" w:tplc="66E01B6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76754"/>
    <w:multiLevelType w:val="hybridMultilevel"/>
    <w:tmpl w:val="0DC2319E"/>
    <w:lvl w:ilvl="0" w:tplc="F216F1BE">
      <w:start w:val="1"/>
      <w:numFmt w:val="bullet"/>
      <w:pStyle w:val="MAWPBodytext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F2421"/>
    <w:multiLevelType w:val="hybridMultilevel"/>
    <w:tmpl w:val="42B46D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162306"/>
    <w:multiLevelType w:val="hybridMultilevel"/>
    <w:tmpl w:val="4A0632C8"/>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1518F3"/>
    <w:multiLevelType w:val="hybridMultilevel"/>
    <w:tmpl w:val="8D2C5BC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D3C6832"/>
    <w:multiLevelType w:val="hybridMultilevel"/>
    <w:tmpl w:val="4052EECE"/>
    <w:lvl w:ilvl="0" w:tplc="66E01B68">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811666"/>
    <w:multiLevelType w:val="hybridMultilevel"/>
    <w:tmpl w:val="B35C8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71B1B"/>
    <w:multiLevelType w:val="hybridMultilevel"/>
    <w:tmpl w:val="FCA8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77436"/>
    <w:multiLevelType w:val="hybridMultilevel"/>
    <w:tmpl w:val="232EF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0500AB"/>
    <w:multiLevelType w:val="hybridMultilevel"/>
    <w:tmpl w:val="C16E301C"/>
    <w:lvl w:ilvl="0" w:tplc="66E01B68">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F24C5F"/>
    <w:multiLevelType w:val="hybridMultilevel"/>
    <w:tmpl w:val="549EC8BA"/>
    <w:lvl w:ilvl="0" w:tplc="66E01B6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942B89"/>
    <w:multiLevelType w:val="hybridMultilevel"/>
    <w:tmpl w:val="DE588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D1355B"/>
    <w:multiLevelType w:val="hybridMultilevel"/>
    <w:tmpl w:val="0A1E6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3C78B8"/>
    <w:multiLevelType w:val="multilevel"/>
    <w:tmpl w:val="75301EAC"/>
    <w:name w:val="NumPar42"/>
    <w:lvl w:ilvl="0">
      <w:start w:val="1"/>
      <w:numFmt w:val="decimal"/>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843"/>
        </w:tabs>
        <w:ind w:left="1843"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18" w15:restartNumberingAfterBreak="0">
    <w:nsid w:val="21DD64AE"/>
    <w:multiLevelType w:val="hybridMultilevel"/>
    <w:tmpl w:val="42B46D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FC6FEC"/>
    <w:multiLevelType w:val="hybridMultilevel"/>
    <w:tmpl w:val="F432C59E"/>
    <w:lvl w:ilvl="0" w:tplc="F5F8D0C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900841"/>
    <w:multiLevelType w:val="hybridMultilevel"/>
    <w:tmpl w:val="94528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EB30E3"/>
    <w:multiLevelType w:val="hybridMultilevel"/>
    <w:tmpl w:val="45E6E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702090"/>
    <w:multiLevelType w:val="hybridMultilevel"/>
    <w:tmpl w:val="EB8AC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D352A3"/>
    <w:multiLevelType w:val="hybridMultilevel"/>
    <w:tmpl w:val="E2C436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E63380"/>
    <w:multiLevelType w:val="hybridMultilevel"/>
    <w:tmpl w:val="FEF23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E791828"/>
    <w:multiLevelType w:val="hybridMultilevel"/>
    <w:tmpl w:val="E95C2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C15D49"/>
    <w:multiLevelType w:val="hybridMultilevel"/>
    <w:tmpl w:val="F2068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623F59"/>
    <w:multiLevelType w:val="hybridMultilevel"/>
    <w:tmpl w:val="13F27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990C3A"/>
    <w:multiLevelType w:val="hybridMultilevel"/>
    <w:tmpl w:val="7E04E49A"/>
    <w:lvl w:ilvl="0" w:tplc="9F5629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53E51A1"/>
    <w:multiLevelType w:val="hybridMultilevel"/>
    <w:tmpl w:val="CA827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880A03"/>
    <w:multiLevelType w:val="hybridMultilevel"/>
    <w:tmpl w:val="4E0C78D8"/>
    <w:lvl w:ilvl="0" w:tplc="5348867E">
      <w:start w:val="1"/>
      <w:numFmt w:val="bullet"/>
      <w:pStyle w:val="Bodytext-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3E25C4"/>
    <w:multiLevelType w:val="hybridMultilevel"/>
    <w:tmpl w:val="F27E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9F1295"/>
    <w:multiLevelType w:val="multilevel"/>
    <w:tmpl w:val="F912D0AC"/>
    <w:styleLink w:val="ImportedStyle6"/>
    <w:lvl w:ilvl="0">
      <w:start w:val="1"/>
      <w:numFmt w:val="decimal"/>
      <w:lvlText w:val="%1."/>
      <w:lvlJc w:val="left"/>
      <w:pPr>
        <w:ind w:left="845" w:hanging="845"/>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845" w:hanging="845"/>
      </w:pPr>
      <w:rPr>
        <w:rFonts w:ascii="Arial" w:eastAsia="Arial" w:hAnsi="Arial" w:cs="Arial"/>
        <w:b/>
        <w:bCs/>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decimal"/>
      <w:lvlText w:val="%1.%2.%3."/>
      <w:lvlJc w:val="left"/>
      <w:pPr>
        <w:ind w:left="845" w:hanging="845"/>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start w:val="1"/>
      <w:numFmt w:val="decimal"/>
      <w:lvlText w:val="%1.%2.%3.%4."/>
      <w:lvlJc w:val="left"/>
      <w:pPr>
        <w:ind w:left="845" w:hanging="845"/>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start w:val="1"/>
      <w:numFmt w:val="decimal"/>
      <w:lvlText w:val="%1.%2.%3.%4.%5."/>
      <w:lvlJc w:val="left"/>
      <w:pPr>
        <w:ind w:left="845" w:hanging="845"/>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start w:val="1"/>
      <w:numFmt w:val="decimal"/>
      <w:suff w:val="nothing"/>
      <w:lvlText w:val="%1.%2.%3.%4.%5.%6."/>
      <w:lvlJc w:val="left"/>
      <w:pPr>
        <w:tabs>
          <w:tab w:val="left" w:pos="845"/>
        </w:tabs>
        <w:ind w:left="845" w:hanging="845"/>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start w:val="1"/>
      <w:numFmt w:val="decimal"/>
      <w:suff w:val="nothing"/>
      <w:lvlText w:val="%1.%2.%3.%4.%5.%6.%7."/>
      <w:lvlJc w:val="left"/>
      <w:pPr>
        <w:tabs>
          <w:tab w:val="left" w:pos="845"/>
        </w:tabs>
        <w:ind w:left="845" w:hanging="845"/>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start w:val="1"/>
      <w:numFmt w:val="decimal"/>
      <w:suff w:val="nothing"/>
      <w:lvlText w:val="%1.%2.%3.%4.%5.%6.%7.%8."/>
      <w:lvlJc w:val="left"/>
      <w:pPr>
        <w:tabs>
          <w:tab w:val="left" w:pos="845"/>
        </w:tabs>
        <w:ind w:left="845" w:hanging="845"/>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start w:val="1"/>
      <w:numFmt w:val="decimal"/>
      <w:suff w:val="nothing"/>
      <w:lvlText w:val="%1.%2.%3.%4.%5.%6.%7.%8.%9."/>
      <w:lvlJc w:val="left"/>
      <w:pPr>
        <w:tabs>
          <w:tab w:val="left" w:pos="845"/>
        </w:tabs>
        <w:ind w:left="845" w:hanging="845"/>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33" w15:restartNumberingAfterBreak="0">
    <w:nsid w:val="3B7F293D"/>
    <w:multiLevelType w:val="hybridMultilevel"/>
    <w:tmpl w:val="82AA5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BD81F35"/>
    <w:multiLevelType w:val="hybridMultilevel"/>
    <w:tmpl w:val="CA4C5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BF85D06"/>
    <w:multiLevelType w:val="hybridMultilevel"/>
    <w:tmpl w:val="15ACE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51479B"/>
    <w:multiLevelType w:val="hybridMultilevel"/>
    <w:tmpl w:val="B21A3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2E3946"/>
    <w:multiLevelType w:val="hybridMultilevel"/>
    <w:tmpl w:val="BEDA217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56D39A2"/>
    <w:multiLevelType w:val="hybridMultilevel"/>
    <w:tmpl w:val="80501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CB1EA1"/>
    <w:multiLevelType w:val="hybridMultilevel"/>
    <w:tmpl w:val="4A0632C8"/>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5F4653"/>
    <w:multiLevelType w:val="hybridMultilevel"/>
    <w:tmpl w:val="C02E35F2"/>
    <w:lvl w:ilvl="0" w:tplc="08090017">
      <w:start w:val="1"/>
      <w:numFmt w:val="lowerLetter"/>
      <w:lvlText w:val="%1)"/>
      <w:lvlJc w:val="left"/>
      <w:pPr>
        <w:ind w:left="720" w:hanging="360"/>
      </w:pPr>
    </w:lvl>
    <w:lvl w:ilvl="1" w:tplc="D70696F8">
      <w:start w:val="1"/>
      <w:numFmt w:val="decimal"/>
      <w:lvlText w:val="%2."/>
      <w:lvlJc w:val="left"/>
      <w:pPr>
        <w:ind w:left="1860" w:hanging="78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D475FC7"/>
    <w:multiLevelType w:val="multilevel"/>
    <w:tmpl w:val="7CDCAA4E"/>
    <w:lvl w:ilvl="0">
      <w:start w:val="1"/>
      <w:numFmt w:val="decimal"/>
      <w:pStyle w:val="MAWPHeadingStyle1"/>
      <w:lvlText w:val="%1."/>
      <w:lvlJc w:val="left"/>
      <w:rPr>
        <w:rFonts w:ascii="Arial" w:eastAsia="Arial" w:hAnsi="Arial" w:cs="Arial"/>
        <w:b/>
        <w:bCs/>
        <w:i w:val="0"/>
        <w:iCs w:val="0"/>
        <w:smallCaps w:val="0"/>
        <w:strike w:val="0"/>
        <w:color w:val="000000"/>
        <w:spacing w:val="0"/>
        <w:w w:val="100"/>
        <w:position w:val="0"/>
        <w:sz w:val="32"/>
        <w:szCs w:val="32"/>
        <w:u w:val="none"/>
        <w:lang w:val="en-US" w:eastAsia="en-US" w:bidi="en-US"/>
      </w:rPr>
    </w:lvl>
    <w:lvl w:ilvl="1">
      <w:start w:val="1"/>
      <w:numFmt w:val="decimal"/>
      <w:pStyle w:val="Subtitle"/>
      <w:lvlText w:val="%1.%2."/>
      <w:lvlJc w:val="left"/>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MAWPsubtitle2"/>
      <w:lvlText w:val="%1.%2.%3."/>
      <w:lvlJc w:val="left"/>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E623B96"/>
    <w:multiLevelType w:val="hybridMultilevel"/>
    <w:tmpl w:val="5CBC2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45209E0"/>
    <w:multiLevelType w:val="hybridMultilevel"/>
    <w:tmpl w:val="30BE31CA"/>
    <w:lvl w:ilvl="0" w:tplc="66E01B68">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A84E7E"/>
    <w:multiLevelType w:val="hybridMultilevel"/>
    <w:tmpl w:val="A00EB9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7300540"/>
    <w:multiLevelType w:val="hybridMultilevel"/>
    <w:tmpl w:val="0A1E6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86F6FB2"/>
    <w:multiLevelType w:val="hybridMultilevel"/>
    <w:tmpl w:val="A7E0B018"/>
    <w:lvl w:ilvl="0" w:tplc="66E01B68">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FC1396"/>
    <w:multiLevelType w:val="hybridMultilevel"/>
    <w:tmpl w:val="0EECBF72"/>
    <w:lvl w:ilvl="0" w:tplc="7A3026AC">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0137ED"/>
    <w:multiLevelType w:val="hybridMultilevel"/>
    <w:tmpl w:val="61B4B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9061727"/>
    <w:multiLevelType w:val="hybridMultilevel"/>
    <w:tmpl w:val="E7402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6B7657"/>
    <w:multiLevelType w:val="hybridMultilevel"/>
    <w:tmpl w:val="7794C5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F87A92"/>
    <w:multiLevelType w:val="hybridMultilevel"/>
    <w:tmpl w:val="29342ED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A517A0"/>
    <w:multiLevelType w:val="hybridMultilevel"/>
    <w:tmpl w:val="11CACB9C"/>
    <w:lvl w:ilvl="0" w:tplc="7A3026AC">
      <w:start w:val="1"/>
      <w:numFmt w:val="decimal"/>
      <w:pStyle w:val="MAWPBody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2E124EB"/>
    <w:multiLevelType w:val="hybridMultilevel"/>
    <w:tmpl w:val="54D6304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791DEB"/>
    <w:multiLevelType w:val="hybridMultilevel"/>
    <w:tmpl w:val="4A0632C8"/>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0C5BEA"/>
    <w:multiLevelType w:val="hybridMultilevel"/>
    <w:tmpl w:val="B016F2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BA72166"/>
    <w:multiLevelType w:val="hybridMultilevel"/>
    <w:tmpl w:val="F63C0F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7" w15:restartNumberingAfterBreak="0">
    <w:nsid w:val="6C6651E8"/>
    <w:multiLevelType w:val="hybridMultilevel"/>
    <w:tmpl w:val="079E8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CF010F3"/>
    <w:multiLevelType w:val="hybridMultilevel"/>
    <w:tmpl w:val="F8BA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B52501"/>
    <w:multiLevelType w:val="multilevel"/>
    <w:tmpl w:val="3ADC694A"/>
    <w:lvl w:ilvl="0">
      <w:start w:val="1"/>
      <w:numFmt w:val="decimal"/>
      <w:pStyle w:val="Heading1-AWP"/>
      <w:lvlText w:val="%1"/>
      <w:lvlJc w:val="left"/>
      <w:pPr>
        <w:ind w:left="432" w:hanging="432"/>
      </w:pPr>
    </w:lvl>
    <w:lvl w:ilvl="1">
      <w:start w:val="1"/>
      <w:numFmt w:val="decimal"/>
      <w:pStyle w:val="Heading2-AWP"/>
      <w:lvlText w:val="%1.%2"/>
      <w:lvlJc w:val="left"/>
      <w:pPr>
        <w:ind w:left="576" w:hanging="576"/>
      </w:pPr>
    </w:lvl>
    <w:lvl w:ilvl="2">
      <w:start w:val="1"/>
      <w:numFmt w:val="decimal"/>
      <w:pStyle w:val="Heading3-AWP"/>
      <w:lvlText w:val="%1.%2.%3"/>
      <w:lvlJc w:val="left"/>
      <w:pPr>
        <w:ind w:left="720" w:hanging="720"/>
      </w:pPr>
    </w:lvl>
    <w:lvl w:ilvl="3">
      <w:start w:val="1"/>
      <w:numFmt w:val="decimal"/>
      <w:pStyle w:val="Heading4-AWP"/>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775674A2"/>
    <w:multiLevelType w:val="hybridMultilevel"/>
    <w:tmpl w:val="D7EE831E"/>
    <w:lvl w:ilvl="0" w:tplc="08090001">
      <w:start w:val="1"/>
      <w:numFmt w:val="bullet"/>
      <w:lvlText w:val=""/>
      <w:lvlJc w:val="left"/>
      <w:pPr>
        <w:ind w:left="720" w:hanging="360"/>
      </w:pPr>
      <w:rPr>
        <w:rFonts w:ascii="Symbol" w:hAnsi="Symbol" w:hint="default"/>
      </w:rPr>
    </w:lvl>
    <w:lvl w:ilvl="1" w:tplc="878C9E10">
      <w:numFmt w:val="bullet"/>
      <w:lvlText w:val="•"/>
      <w:lvlJc w:val="left"/>
      <w:pPr>
        <w:ind w:left="1800" w:hanging="72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8E3C26"/>
    <w:multiLevelType w:val="hybridMultilevel"/>
    <w:tmpl w:val="702A6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180221"/>
    <w:multiLevelType w:val="hybridMultilevel"/>
    <w:tmpl w:val="B12C5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32"/>
  </w:num>
  <w:num w:numId="3">
    <w:abstractNumId w:val="53"/>
  </w:num>
  <w:num w:numId="4">
    <w:abstractNumId w:val="22"/>
  </w:num>
  <w:num w:numId="5">
    <w:abstractNumId w:val="17"/>
  </w:num>
  <w:num w:numId="6">
    <w:abstractNumId w:val="2"/>
  </w:num>
  <w:num w:numId="7">
    <w:abstractNumId w:val="58"/>
  </w:num>
  <w:num w:numId="8">
    <w:abstractNumId w:val="34"/>
  </w:num>
  <w:num w:numId="9">
    <w:abstractNumId w:val="18"/>
  </w:num>
  <w:num w:numId="10">
    <w:abstractNumId w:val="26"/>
  </w:num>
  <w:num w:numId="11">
    <w:abstractNumId w:val="4"/>
  </w:num>
  <w:num w:numId="12">
    <w:abstractNumId w:val="29"/>
  </w:num>
  <w:num w:numId="13">
    <w:abstractNumId w:val="27"/>
  </w:num>
  <w:num w:numId="14">
    <w:abstractNumId w:val="40"/>
  </w:num>
  <w:num w:numId="15">
    <w:abstractNumId w:val="48"/>
  </w:num>
  <w:num w:numId="16">
    <w:abstractNumId w:val="55"/>
  </w:num>
  <w:num w:numId="17">
    <w:abstractNumId w:val="45"/>
  </w:num>
  <w:num w:numId="18">
    <w:abstractNumId w:val="15"/>
  </w:num>
  <w:num w:numId="19">
    <w:abstractNumId w:val="62"/>
  </w:num>
  <w:num w:numId="20">
    <w:abstractNumId w:val="20"/>
  </w:num>
  <w:num w:numId="21">
    <w:abstractNumId w:val="12"/>
  </w:num>
  <w:num w:numId="22">
    <w:abstractNumId w:val="60"/>
  </w:num>
  <w:num w:numId="23">
    <w:abstractNumId w:val="31"/>
  </w:num>
  <w:num w:numId="24">
    <w:abstractNumId w:val="5"/>
  </w:num>
  <w:num w:numId="25">
    <w:abstractNumId w:val="24"/>
  </w:num>
  <w:num w:numId="26">
    <w:abstractNumId w:val="52"/>
    <w:lvlOverride w:ilvl="0">
      <w:startOverride w:val="1"/>
    </w:lvlOverride>
  </w:num>
  <w:num w:numId="27">
    <w:abstractNumId w:val="52"/>
    <w:lvlOverride w:ilvl="0">
      <w:startOverride w:val="1"/>
    </w:lvlOverride>
  </w:num>
  <w:num w:numId="28">
    <w:abstractNumId w:val="52"/>
    <w:lvlOverride w:ilvl="0">
      <w:startOverride w:val="1"/>
    </w:lvlOverride>
  </w:num>
  <w:num w:numId="29">
    <w:abstractNumId w:val="52"/>
    <w:lvlOverride w:ilvl="0">
      <w:startOverride w:val="1"/>
    </w:lvlOverride>
  </w:num>
  <w:num w:numId="30">
    <w:abstractNumId w:val="52"/>
    <w:lvlOverride w:ilvl="0">
      <w:startOverride w:val="1"/>
    </w:lvlOverride>
  </w:num>
  <w:num w:numId="31">
    <w:abstractNumId w:val="52"/>
    <w:lvlOverride w:ilvl="0">
      <w:startOverride w:val="1"/>
    </w:lvlOverride>
  </w:num>
  <w:num w:numId="32">
    <w:abstractNumId w:val="52"/>
    <w:lvlOverride w:ilvl="0">
      <w:startOverride w:val="1"/>
    </w:lvlOverride>
  </w:num>
  <w:num w:numId="33">
    <w:abstractNumId w:val="46"/>
  </w:num>
  <w:num w:numId="34">
    <w:abstractNumId w:val="13"/>
  </w:num>
  <w:num w:numId="35">
    <w:abstractNumId w:val="43"/>
  </w:num>
  <w:num w:numId="36">
    <w:abstractNumId w:val="52"/>
    <w:lvlOverride w:ilvl="0">
      <w:startOverride w:val="1"/>
    </w:lvlOverride>
  </w:num>
  <w:num w:numId="37">
    <w:abstractNumId w:val="52"/>
  </w:num>
  <w:num w:numId="38">
    <w:abstractNumId w:val="52"/>
    <w:lvlOverride w:ilvl="0">
      <w:startOverride w:val="1"/>
    </w:lvlOverride>
  </w:num>
  <w:num w:numId="39">
    <w:abstractNumId w:val="52"/>
    <w:lvlOverride w:ilvl="0">
      <w:startOverride w:val="1"/>
    </w:lvlOverride>
  </w:num>
  <w:num w:numId="40">
    <w:abstractNumId w:val="9"/>
  </w:num>
  <w:num w:numId="41">
    <w:abstractNumId w:val="52"/>
    <w:lvlOverride w:ilvl="0">
      <w:startOverride w:val="1"/>
    </w:lvlOverride>
  </w:num>
  <w:num w:numId="42">
    <w:abstractNumId w:val="52"/>
    <w:lvlOverride w:ilvl="0">
      <w:startOverride w:val="1"/>
    </w:lvlOverride>
  </w:num>
  <w:num w:numId="43">
    <w:abstractNumId w:val="52"/>
    <w:lvlOverride w:ilvl="0">
      <w:startOverride w:val="1"/>
    </w:lvlOverride>
  </w:num>
  <w:num w:numId="44">
    <w:abstractNumId w:val="33"/>
  </w:num>
  <w:num w:numId="45">
    <w:abstractNumId w:val="52"/>
    <w:lvlOverride w:ilvl="0">
      <w:startOverride w:val="1"/>
    </w:lvlOverride>
  </w:num>
  <w:num w:numId="46">
    <w:abstractNumId w:val="19"/>
  </w:num>
  <w:num w:numId="47">
    <w:abstractNumId w:val="61"/>
  </w:num>
  <w:num w:numId="48">
    <w:abstractNumId w:val="52"/>
    <w:lvlOverride w:ilvl="0">
      <w:startOverride w:val="1"/>
    </w:lvlOverride>
  </w:num>
  <w:num w:numId="49">
    <w:abstractNumId w:val="52"/>
    <w:lvlOverride w:ilvl="0">
      <w:startOverride w:val="1"/>
    </w:lvlOverride>
  </w:num>
  <w:num w:numId="50">
    <w:abstractNumId w:val="6"/>
  </w:num>
  <w:num w:numId="51">
    <w:abstractNumId w:val="16"/>
  </w:num>
  <w:num w:numId="52">
    <w:abstractNumId w:val="8"/>
  </w:num>
  <w:num w:numId="53">
    <w:abstractNumId w:val="23"/>
  </w:num>
  <w:num w:numId="54">
    <w:abstractNumId w:val="7"/>
  </w:num>
  <w:num w:numId="55">
    <w:abstractNumId w:val="39"/>
  </w:num>
  <w:num w:numId="56">
    <w:abstractNumId w:val="51"/>
  </w:num>
  <w:num w:numId="57">
    <w:abstractNumId w:val="52"/>
    <w:lvlOverride w:ilvl="0">
      <w:startOverride w:val="1"/>
    </w:lvlOverride>
  </w:num>
  <w:num w:numId="58">
    <w:abstractNumId w:val="52"/>
    <w:lvlOverride w:ilvl="0">
      <w:startOverride w:val="1"/>
    </w:lvlOverride>
  </w:num>
  <w:num w:numId="59">
    <w:abstractNumId w:val="10"/>
  </w:num>
  <w:num w:numId="60">
    <w:abstractNumId w:val="52"/>
    <w:lvlOverride w:ilvl="0">
      <w:startOverride w:val="1"/>
    </w:lvlOverride>
  </w:num>
  <w:num w:numId="61">
    <w:abstractNumId w:val="47"/>
  </w:num>
  <w:num w:numId="62">
    <w:abstractNumId w:val="54"/>
  </w:num>
  <w:num w:numId="63">
    <w:abstractNumId w:val="56"/>
  </w:num>
  <w:num w:numId="64">
    <w:abstractNumId w:val="21"/>
  </w:num>
  <w:num w:numId="65">
    <w:abstractNumId w:val="11"/>
  </w:num>
  <w:num w:numId="66">
    <w:abstractNumId w:val="38"/>
  </w:num>
  <w:num w:numId="67">
    <w:abstractNumId w:val="57"/>
  </w:num>
  <w:num w:numId="68">
    <w:abstractNumId w:val="35"/>
  </w:num>
  <w:num w:numId="69">
    <w:abstractNumId w:val="25"/>
  </w:num>
  <w:num w:numId="70">
    <w:abstractNumId w:val="28"/>
  </w:num>
  <w:num w:numId="71">
    <w:abstractNumId w:val="42"/>
  </w:num>
  <w:num w:numId="72">
    <w:abstractNumId w:val="49"/>
  </w:num>
  <w:num w:numId="73">
    <w:abstractNumId w:val="3"/>
  </w:num>
  <w:num w:numId="74">
    <w:abstractNumId w:val="44"/>
  </w:num>
  <w:num w:numId="75">
    <w:abstractNumId w:val="0"/>
  </w:num>
  <w:num w:numId="76">
    <w:abstractNumId w:val="37"/>
  </w:num>
  <w:num w:numId="77">
    <w:abstractNumId w:val="1"/>
  </w:num>
  <w:num w:numId="78">
    <w:abstractNumId w:val="59"/>
  </w:num>
  <w:num w:numId="79">
    <w:abstractNumId w:val="30"/>
  </w:num>
  <w:num w:numId="80">
    <w:abstractNumId w:val="50"/>
  </w:num>
  <w:num w:numId="81">
    <w:abstractNumId w:val="14"/>
  </w:num>
  <w:num w:numId="82">
    <w:abstractNumId w:val="3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IE" w:vendorID="64" w:dllVersion="6" w:nlCheck="1" w:checkStyle="1"/>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en-GB" w:vendorID="64" w:dllVersion="0" w:nlCheck="1" w:checkStyle="0"/>
  <w:activeWritingStyle w:appName="MSWord" w:lang="fr-BE" w:vendorID="64" w:dllVersion="0" w:nlCheck="1" w:checkStyle="0"/>
  <w:activeWritingStyle w:appName="MSWord" w:lang="en-US" w:vendorID="64" w:dllVersion="0" w:nlCheck="1" w:checkStyle="0"/>
  <w:activeWritingStyle w:appName="MSWord" w:lang="es-ES" w:vendorID="64" w:dllVersion="0" w:nlCheck="1" w:checkStyle="0"/>
  <w:activeWritingStyle w:appName="MSWord" w:lang="en-IE" w:vendorID="64" w:dllVersion="0" w:nlCheck="1" w:checkStyle="0"/>
  <w:activeWritingStyle w:appName="MSWord" w:lang="de-DE" w:vendorID="64" w:dllVersion="6" w:nlCheck="1" w:checkStyle="0"/>
  <w:activeWritingStyle w:appName="MSWord" w:lang="fr-FR" w:vendorID="64" w:dllVersion="0" w:nlCheck="1" w:checkStyle="0"/>
  <w:activeWritingStyle w:appName="MSWord" w:lang="en-GB" w:vendorID="64" w:dllVersion="131078" w:nlCheck="1" w:checkStyle="1"/>
  <w:activeWritingStyle w:appName="MSWord" w:lang="fr-BE" w:vendorID="64" w:dllVersion="131078" w:nlCheck="1" w:checkStyle="0"/>
  <w:activeWritingStyle w:appName="MSWord" w:lang="en-IE" w:vendorID="64" w:dllVersion="131078" w:nlCheck="1" w:checkStyle="1"/>
  <w:activeWritingStyle w:appName="MSWord" w:lang="en-US" w:vendorID="64" w:dllVersion="131078" w:nlCheck="1" w:checkStyle="1"/>
  <w:defaultTabStop w:val="720"/>
  <w:hyphenationZone w:val="425"/>
  <w:drawingGridHorizontalSpacing w:val="181"/>
  <w:drawingGridVerticalSpacing w:val="181"/>
  <w:characterSpacingControl w:val="compressPunctuation"/>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725F8"/>
    <w:rsid w:val="00000085"/>
    <w:rsid w:val="00000BF1"/>
    <w:rsid w:val="00000DD6"/>
    <w:rsid w:val="00001E44"/>
    <w:rsid w:val="000020E8"/>
    <w:rsid w:val="00002F22"/>
    <w:rsid w:val="0000367F"/>
    <w:rsid w:val="00003871"/>
    <w:rsid w:val="00003A35"/>
    <w:rsid w:val="0000402B"/>
    <w:rsid w:val="000053EC"/>
    <w:rsid w:val="0000568C"/>
    <w:rsid w:val="00005F43"/>
    <w:rsid w:val="0000712A"/>
    <w:rsid w:val="000074A7"/>
    <w:rsid w:val="0000752E"/>
    <w:rsid w:val="00007BED"/>
    <w:rsid w:val="00007CE4"/>
    <w:rsid w:val="00007EAE"/>
    <w:rsid w:val="000100F4"/>
    <w:rsid w:val="000102BD"/>
    <w:rsid w:val="00011448"/>
    <w:rsid w:val="00011C79"/>
    <w:rsid w:val="00012299"/>
    <w:rsid w:val="000123A9"/>
    <w:rsid w:val="00012424"/>
    <w:rsid w:val="000137CB"/>
    <w:rsid w:val="00013C77"/>
    <w:rsid w:val="0001466A"/>
    <w:rsid w:val="00015AB2"/>
    <w:rsid w:val="00015AC7"/>
    <w:rsid w:val="000167F0"/>
    <w:rsid w:val="0001685D"/>
    <w:rsid w:val="00017313"/>
    <w:rsid w:val="00017626"/>
    <w:rsid w:val="00017633"/>
    <w:rsid w:val="00017C50"/>
    <w:rsid w:val="00020AF0"/>
    <w:rsid w:val="0002111D"/>
    <w:rsid w:val="000212EB"/>
    <w:rsid w:val="0002192D"/>
    <w:rsid w:val="0002388D"/>
    <w:rsid w:val="00023F8A"/>
    <w:rsid w:val="00024F15"/>
    <w:rsid w:val="000251F7"/>
    <w:rsid w:val="0002537E"/>
    <w:rsid w:val="0002539A"/>
    <w:rsid w:val="0002649A"/>
    <w:rsid w:val="000276FF"/>
    <w:rsid w:val="00027E4B"/>
    <w:rsid w:val="000301ED"/>
    <w:rsid w:val="00030776"/>
    <w:rsid w:val="00031048"/>
    <w:rsid w:val="00031166"/>
    <w:rsid w:val="0003138E"/>
    <w:rsid w:val="000315CD"/>
    <w:rsid w:val="000315E2"/>
    <w:rsid w:val="0003161D"/>
    <w:rsid w:val="0003250F"/>
    <w:rsid w:val="00032608"/>
    <w:rsid w:val="0003359D"/>
    <w:rsid w:val="00034618"/>
    <w:rsid w:val="000359F1"/>
    <w:rsid w:val="00035D31"/>
    <w:rsid w:val="00036198"/>
    <w:rsid w:val="000367F9"/>
    <w:rsid w:val="00036A22"/>
    <w:rsid w:val="00036AD0"/>
    <w:rsid w:val="00036C62"/>
    <w:rsid w:val="00036D9D"/>
    <w:rsid w:val="00036E79"/>
    <w:rsid w:val="0003700C"/>
    <w:rsid w:val="00037288"/>
    <w:rsid w:val="000374BD"/>
    <w:rsid w:val="0003760F"/>
    <w:rsid w:val="0003765F"/>
    <w:rsid w:val="000376F3"/>
    <w:rsid w:val="00037D31"/>
    <w:rsid w:val="00040089"/>
    <w:rsid w:val="00040515"/>
    <w:rsid w:val="00040A1E"/>
    <w:rsid w:val="00040A8C"/>
    <w:rsid w:val="00040DC1"/>
    <w:rsid w:val="000418F8"/>
    <w:rsid w:val="00041E9C"/>
    <w:rsid w:val="000424A2"/>
    <w:rsid w:val="000433D4"/>
    <w:rsid w:val="0004340D"/>
    <w:rsid w:val="00043A24"/>
    <w:rsid w:val="000450B6"/>
    <w:rsid w:val="000452A4"/>
    <w:rsid w:val="000452A9"/>
    <w:rsid w:val="000454E0"/>
    <w:rsid w:val="00046576"/>
    <w:rsid w:val="000466BB"/>
    <w:rsid w:val="0004671A"/>
    <w:rsid w:val="00046957"/>
    <w:rsid w:val="00047024"/>
    <w:rsid w:val="0004733F"/>
    <w:rsid w:val="00047C86"/>
    <w:rsid w:val="0005078D"/>
    <w:rsid w:val="000508D1"/>
    <w:rsid w:val="00050B84"/>
    <w:rsid w:val="00050CD5"/>
    <w:rsid w:val="00051506"/>
    <w:rsid w:val="00051C45"/>
    <w:rsid w:val="000525AF"/>
    <w:rsid w:val="00052F51"/>
    <w:rsid w:val="00053BE1"/>
    <w:rsid w:val="00053EA3"/>
    <w:rsid w:val="00054156"/>
    <w:rsid w:val="0005452C"/>
    <w:rsid w:val="00054A17"/>
    <w:rsid w:val="00054DE7"/>
    <w:rsid w:val="00054E5A"/>
    <w:rsid w:val="00055238"/>
    <w:rsid w:val="00055295"/>
    <w:rsid w:val="0005554B"/>
    <w:rsid w:val="00055C07"/>
    <w:rsid w:val="0005663B"/>
    <w:rsid w:val="00056DF0"/>
    <w:rsid w:val="0005717E"/>
    <w:rsid w:val="00057A7A"/>
    <w:rsid w:val="00057AB1"/>
    <w:rsid w:val="00060823"/>
    <w:rsid w:val="00060949"/>
    <w:rsid w:val="00061852"/>
    <w:rsid w:val="00061930"/>
    <w:rsid w:val="00061FCE"/>
    <w:rsid w:val="000622D6"/>
    <w:rsid w:val="000622DC"/>
    <w:rsid w:val="00062624"/>
    <w:rsid w:val="0006336A"/>
    <w:rsid w:val="00064908"/>
    <w:rsid w:val="00064AFD"/>
    <w:rsid w:val="00064BD7"/>
    <w:rsid w:val="00064D7F"/>
    <w:rsid w:val="00064D86"/>
    <w:rsid w:val="00064E9B"/>
    <w:rsid w:val="000651EE"/>
    <w:rsid w:val="0006631D"/>
    <w:rsid w:val="0006644B"/>
    <w:rsid w:val="00066CE2"/>
    <w:rsid w:val="00067201"/>
    <w:rsid w:val="00067348"/>
    <w:rsid w:val="0006775D"/>
    <w:rsid w:val="00067B20"/>
    <w:rsid w:val="00067B36"/>
    <w:rsid w:val="00070603"/>
    <w:rsid w:val="00072071"/>
    <w:rsid w:val="000725D0"/>
    <w:rsid w:val="00072763"/>
    <w:rsid w:val="0007303F"/>
    <w:rsid w:val="00073680"/>
    <w:rsid w:val="00074182"/>
    <w:rsid w:val="00076016"/>
    <w:rsid w:val="00077457"/>
    <w:rsid w:val="00077847"/>
    <w:rsid w:val="00080D95"/>
    <w:rsid w:val="00081DF9"/>
    <w:rsid w:val="0008224C"/>
    <w:rsid w:val="0008295F"/>
    <w:rsid w:val="00082975"/>
    <w:rsid w:val="00084651"/>
    <w:rsid w:val="000855C4"/>
    <w:rsid w:val="00085E77"/>
    <w:rsid w:val="000866A4"/>
    <w:rsid w:val="00086BF3"/>
    <w:rsid w:val="00087A5B"/>
    <w:rsid w:val="00090229"/>
    <w:rsid w:val="00090510"/>
    <w:rsid w:val="0009265D"/>
    <w:rsid w:val="000926B5"/>
    <w:rsid w:val="00093631"/>
    <w:rsid w:val="00093E0E"/>
    <w:rsid w:val="0009447F"/>
    <w:rsid w:val="00094C1A"/>
    <w:rsid w:val="00094D3E"/>
    <w:rsid w:val="00094FCA"/>
    <w:rsid w:val="00095711"/>
    <w:rsid w:val="000957FA"/>
    <w:rsid w:val="00095C64"/>
    <w:rsid w:val="00095EBC"/>
    <w:rsid w:val="00096106"/>
    <w:rsid w:val="0009712E"/>
    <w:rsid w:val="00097706"/>
    <w:rsid w:val="0009799D"/>
    <w:rsid w:val="00097F7D"/>
    <w:rsid w:val="000A0B80"/>
    <w:rsid w:val="000A1DC9"/>
    <w:rsid w:val="000A238B"/>
    <w:rsid w:val="000A29FF"/>
    <w:rsid w:val="000A2AFE"/>
    <w:rsid w:val="000A3A62"/>
    <w:rsid w:val="000A409E"/>
    <w:rsid w:val="000A463D"/>
    <w:rsid w:val="000A5500"/>
    <w:rsid w:val="000A608E"/>
    <w:rsid w:val="000A6828"/>
    <w:rsid w:val="000A6B35"/>
    <w:rsid w:val="000A6BD4"/>
    <w:rsid w:val="000A6C7B"/>
    <w:rsid w:val="000A7243"/>
    <w:rsid w:val="000A73E7"/>
    <w:rsid w:val="000A741A"/>
    <w:rsid w:val="000B03A1"/>
    <w:rsid w:val="000B0641"/>
    <w:rsid w:val="000B0B5D"/>
    <w:rsid w:val="000B0C1A"/>
    <w:rsid w:val="000B14C3"/>
    <w:rsid w:val="000B155C"/>
    <w:rsid w:val="000B1768"/>
    <w:rsid w:val="000B1923"/>
    <w:rsid w:val="000B19CC"/>
    <w:rsid w:val="000B1C3F"/>
    <w:rsid w:val="000B2107"/>
    <w:rsid w:val="000B2D05"/>
    <w:rsid w:val="000B2DDE"/>
    <w:rsid w:val="000B303D"/>
    <w:rsid w:val="000B399A"/>
    <w:rsid w:val="000B39E0"/>
    <w:rsid w:val="000B3E50"/>
    <w:rsid w:val="000B44BF"/>
    <w:rsid w:val="000B4F30"/>
    <w:rsid w:val="000B60FD"/>
    <w:rsid w:val="000B6146"/>
    <w:rsid w:val="000B6449"/>
    <w:rsid w:val="000B691F"/>
    <w:rsid w:val="000B6F73"/>
    <w:rsid w:val="000B76C0"/>
    <w:rsid w:val="000B777D"/>
    <w:rsid w:val="000C0619"/>
    <w:rsid w:val="000C0C1D"/>
    <w:rsid w:val="000C160B"/>
    <w:rsid w:val="000C16A9"/>
    <w:rsid w:val="000C17C6"/>
    <w:rsid w:val="000C17EF"/>
    <w:rsid w:val="000C189C"/>
    <w:rsid w:val="000C1D0C"/>
    <w:rsid w:val="000C218E"/>
    <w:rsid w:val="000C225B"/>
    <w:rsid w:val="000C2295"/>
    <w:rsid w:val="000C27BB"/>
    <w:rsid w:val="000C2DE7"/>
    <w:rsid w:val="000C2E7A"/>
    <w:rsid w:val="000C38F6"/>
    <w:rsid w:val="000C3EB9"/>
    <w:rsid w:val="000C41FC"/>
    <w:rsid w:val="000C46B7"/>
    <w:rsid w:val="000C5930"/>
    <w:rsid w:val="000C5EE6"/>
    <w:rsid w:val="000C625E"/>
    <w:rsid w:val="000C651D"/>
    <w:rsid w:val="000C683F"/>
    <w:rsid w:val="000C6B42"/>
    <w:rsid w:val="000C7170"/>
    <w:rsid w:val="000C7A64"/>
    <w:rsid w:val="000D0B9F"/>
    <w:rsid w:val="000D106A"/>
    <w:rsid w:val="000D157E"/>
    <w:rsid w:val="000D1F11"/>
    <w:rsid w:val="000D34F2"/>
    <w:rsid w:val="000D4224"/>
    <w:rsid w:val="000D4563"/>
    <w:rsid w:val="000D4780"/>
    <w:rsid w:val="000D4DD5"/>
    <w:rsid w:val="000D5745"/>
    <w:rsid w:val="000D5A9E"/>
    <w:rsid w:val="000D6593"/>
    <w:rsid w:val="000D69B2"/>
    <w:rsid w:val="000D6D52"/>
    <w:rsid w:val="000D6F58"/>
    <w:rsid w:val="000D6FDA"/>
    <w:rsid w:val="000D73F3"/>
    <w:rsid w:val="000D772B"/>
    <w:rsid w:val="000D789F"/>
    <w:rsid w:val="000D79F8"/>
    <w:rsid w:val="000D7E06"/>
    <w:rsid w:val="000E0534"/>
    <w:rsid w:val="000E0A4F"/>
    <w:rsid w:val="000E0D55"/>
    <w:rsid w:val="000E1D35"/>
    <w:rsid w:val="000E3AC8"/>
    <w:rsid w:val="000E3E78"/>
    <w:rsid w:val="000E4B8C"/>
    <w:rsid w:val="000E4BB8"/>
    <w:rsid w:val="000E4BD5"/>
    <w:rsid w:val="000E5107"/>
    <w:rsid w:val="000E5740"/>
    <w:rsid w:val="000E616B"/>
    <w:rsid w:val="000E7034"/>
    <w:rsid w:val="000E792A"/>
    <w:rsid w:val="000E7B59"/>
    <w:rsid w:val="000E7CDB"/>
    <w:rsid w:val="000E7D67"/>
    <w:rsid w:val="000E7FCF"/>
    <w:rsid w:val="000F0BC6"/>
    <w:rsid w:val="000F0CEE"/>
    <w:rsid w:val="000F1291"/>
    <w:rsid w:val="000F13FE"/>
    <w:rsid w:val="000F19AD"/>
    <w:rsid w:val="000F25C2"/>
    <w:rsid w:val="000F2685"/>
    <w:rsid w:val="000F2871"/>
    <w:rsid w:val="000F4078"/>
    <w:rsid w:val="000F4127"/>
    <w:rsid w:val="000F41E0"/>
    <w:rsid w:val="000F4E14"/>
    <w:rsid w:val="000F53CD"/>
    <w:rsid w:val="000F5C11"/>
    <w:rsid w:val="000F5E13"/>
    <w:rsid w:val="000F6142"/>
    <w:rsid w:val="000F740B"/>
    <w:rsid w:val="000F7B8C"/>
    <w:rsid w:val="001008DE"/>
    <w:rsid w:val="001009CB"/>
    <w:rsid w:val="00100BA2"/>
    <w:rsid w:val="001016EC"/>
    <w:rsid w:val="00101C68"/>
    <w:rsid w:val="00102559"/>
    <w:rsid w:val="00103310"/>
    <w:rsid w:val="00103461"/>
    <w:rsid w:val="001038D9"/>
    <w:rsid w:val="001041AD"/>
    <w:rsid w:val="0010479A"/>
    <w:rsid w:val="0010482F"/>
    <w:rsid w:val="00104DBD"/>
    <w:rsid w:val="001053D0"/>
    <w:rsid w:val="00105A26"/>
    <w:rsid w:val="00105F29"/>
    <w:rsid w:val="0010641F"/>
    <w:rsid w:val="001075B6"/>
    <w:rsid w:val="00107799"/>
    <w:rsid w:val="001079B8"/>
    <w:rsid w:val="00107BA5"/>
    <w:rsid w:val="00107EA5"/>
    <w:rsid w:val="00107FC6"/>
    <w:rsid w:val="00110BCB"/>
    <w:rsid w:val="00111411"/>
    <w:rsid w:val="00111A62"/>
    <w:rsid w:val="00112006"/>
    <w:rsid w:val="00112C28"/>
    <w:rsid w:val="00112D74"/>
    <w:rsid w:val="00112DDE"/>
    <w:rsid w:val="001130EC"/>
    <w:rsid w:val="00114322"/>
    <w:rsid w:val="00114F25"/>
    <w:rsid w:val="00114F53"/>
    <w:rsid w:val="00116093"/>
    <w:rsid w:val="001160DD"/>
    <w:rsid w:val="00116475"/>
    <w:rsid w:val="001167DC"/>
    <w:rsid w:val="00117E3D"/>
    <w:rsid w:val="00120F40"/>
    <w:rsid w:val="00120FF6"/>
    <w:rsid w:val="001212C1"/>
    <w:rsid w:val="001213D2"/>
    <w:rsid w:val="0012182E"/>
    <w:rsid w:val="00122B38"/>
    <w:rsid w:val="001230E5"/>
    <w:rsid w:val="00124AF7"/>
    <w:rsid w:val="00124DDC"/>
    <w:rsid w:val="0012529B"/>
    <w:rsid w:val="0012558D"/>
    <w:rsid w:val="001258D3"/>
    <w:rsid w:val="001261EB"/>
    <w:rsid w:val="00126424"/>
    <w:rsid w:val="0012660C"/>
    <w:rsid w:val="00126E9E"/>
    <w:rsid w:val="00127711"/>
    <w:rsid w:val="00127720"/>
    <w:rsid w:val="00127D00"/>
    <w:rsid w:val="001310E1"/>
    <w:rsid w:val="00131229"/>
    <w:rsid w:val="00131415"/>
    <w:rsid w:val="0013163C"/>
    <w:rsid w:val="0013354F"/>
    <w:rsid w:val="00133B99"/>
    <w:rsid w:val="00133C6B"/>
    <w:rsid w:val="00133DE6"/>
    <w:rsid w:val="001341EF"/>
    <w:rsid w:val="00134296"/>
    <w:rsid w:val="001342C7"/>
    <w:rsid w:val="00134F37"/>
    <w:rsid w:val="00135843"/>
    <w:rsid w:val="0013589B"/>
    <w:rsid w:val="00135B62"/>
    <w:rsid w:val="00135CC1"/>
    <w:rsid w:val="00135DA9"/>
    <w:rsid w:val="00135FC3"/>
    <w:rsid w:val="001362E1"/>
    <w:rsid w:val="001375F9"/>
    <w:rsid w:val="00137C98"/>
    <w:rsid w:val="00140388"/>
    <w:rsid w:val="001403E5"/>
    <w:rsid w:val="0014048F"/>
    <w:rsid w:val="00140652"/>
    <w:rsid w:val="00140FF4"/>
    <w:rsid w:val="001418A3"/>
    <w:rsid w:val="001419AA"/>
    <w:rsid w:val="00141A91"/>
    <w:rsid w:val="00141CFA"/>
    <w:rsid w:val="001420C2"/>
    <w:rsid w:val="001421EF"/>
    <w:rsid w:val="0014223A"/>
    <w:rsid w:val="00143191"/>
    <w:rsid w:val="001436EB"/>
    <w:rsid w:val="001438C0"/>
    <w:rsid w:val="00143FB3"/>
    <w:rsid w:val="00144009"/>
    <w:rsid w:val="00144E1C"/>
    <w:rsid w:val="0014509C"/>
    <w:rsid w:val="00145398"/>
    <w:rsid w:val="00145ED0"/>
    <w:rsid w:val="0014616E"/>
    <w:rsid w:val="00147F47"/>
    <w:rsid w:val="0015068E"/>
    <w:rsid w:val="00151FA2"/>
    <w:rsid w:val="0015289E"/>
    <w:rsid w:val="00152B84"/>
    <w:rsid w:val="00152D15"/>
    <w:rsid w:val="00153155"/>
    <w:rsid w:val="0015342A"/>
    <w:rsid w:val="001534E0"/>
    <w:rsid w:val="00153A91"/>
    <w:rsid w:val="001542D4"/>
    <w:rsid w:val="001545AB"/>
    <w:rsid w:val="001547C9"/>
    <w:rsid w:val="00154950"/>
    <w:rsid w:val="00154D01"/>
    <w:rsid w:val="00154D1E"/>
    <w:rsid w:val="00155081"/>
    <w:rsid w:val="0015530E"/>
    <w:rsid w:val="00155418"/>
    <w:rsid w:val="001554C2"/>
    <w:rsid w:val="0015569D"/>
    <w:rsid w:val="00155E79"/>
    <w:rsid w:val="0015682B"/>
    <w:rsid w:val="001568D4"/>
    <w:rsid w:val="001577D7"/>
    <w:rsid w:val="001578B3"/>
    <w:rsid w:val="00157B94"/>
    <w:rsid w:val="00160222"/>
    <w:rsid w:val="00160263"/>
    <w:rsid w:val="001606E0"/>
    <w:rsid w:val="00161DAC"/>
    <w:rsid w:val="00163961"/>
    <w:rsid w:val="00164F84"/>
    <w:rsid w:val="00165853"/>
    <w:rsid w:val="00165C5A"/>
    <w:rsid w:val="0016621D"/>
    <w:rsid w:val="00166A71"/>
    <w:rsid w:val="0016734E"/>
    <w:rsid w:val="00167857"/>
    <w:rsid w:val="00167F53"/>
    <w:rsid w:val="00167FEC"/>
    <w:rsid w:val="0017062B"/>
    <w:rsid w:val="00170996"/>
    <w:rsid w:val="00170C4F"/>
    <w:rsid w:val="0017151A"/>
    <w:rsid w:val="0017259E"/>
    <w:rsid w:val="00172762"/>
    <w:rsid w:val="001729B2"/>
    <w:rsid w:val="00172DFF"/>
    <w:rsid w:val="00173021"/>
    <w:rsid w:val="001730E4"/>
    <w:rsid w:val="00173CE4"/>
    <w:rsid w:val="00173E01"/>
    <w:rsid w:val="00173E09"/>
    <w:rsid w:val="00174217"/>
    <w:rsid w:val="0017422E"/>
    <w:rsid w:val="00174525"/>
    <w:rsid w:val="0017539C"/>
    <w:rsid w:val="001759D4"/>
    <w:rsid w:val="00175B6D"/>
    <w:rsid w:val="001766A1"/>
    <w:rsid w:val="00176ADD"/>
    <w:rsid w:val="00176CEC"/>
    <w:rsid w:val="001770C5"/>
    <w:rsid w:val="00177E9A"/>
    <w:rsid w:val="0018144C"/>
    <w:rsid w:val="001815A3"/>
    <w:rsid w:val="00181D3F"/>
    <w:rsid w:val="00181FC3"/>
    <w:rsid w:val="0018298F"/>
    <w:rsid w:val="00182D4B"/>
    <w:rsid w:val="00183022"/>
    <w:rsid w:val="00184046"/>
    <w:rsid w:val="001844E4"/>
    <w:rsid w:val="00184E33"/>
    <w:rsid w:val="0018533C"/>
    <w:rsid w:val="001856D8"/>
    <w:rsid w:val="00186866"/>
    <w:rsid w:val="00186BD1"/>
    <w:rsid w:val="001876E0"/>
    <w:rsid w:val="00190D23"/>
    <w:rsid w:val="00190FB0"/>
    <w:rsid w:val="00190FDB"/>
    <w:rsid w:val="001914E0"/>
    <w:rsid w:val="00191AD8"/>
    <w:rsid w:val="001924C8"/>
    <w:rsid w:val="001924F4"/>
    <w:rsid w:val="001938C4"/>
    <w:rsid w:val="00195C27"/>
    <w:rsid w:val="00195CF9"/>
    <w:rsid w:val="00196091"/>
    <w:rsid w:val="001961F9"/>
    <w:rsid w:val="00196A3E"/>
    <w:rsid w:val="00196A85"/>
    <w:rsid w:val="00197245"/>
    <w:rsid w:val="00197471"/>
    <w:rsid w:val="00197F81"/>
    <w:rsid w:val="001A01E9"/>
    <w:rsid w:val="001A0829"/>
    <w:rsid w:val="001A1161"/>
    <w:rsid w:val="001A1E73"/>
    <w:rsid w:val="001A1FE0"/>
    <w:rsid w:val="001A20CE"/>
    <w:rsid w:val="001A22B3"/>
    <w:rsid w:val="001A353C"/>
    <w:rsid w:val="001A3927"/>
    <w:rsid w:val="001A4AD7"/>
    <w:rsid w:val="001A4BD5"/>
    <w:rsid w:val="001A4C71"/>
    <w:rsid w:val="001A5067"/>
    <w:rsid w:val="001A58BF"/>
    <w:rsid w:val="001A601C"/>
    <w:rsid w:val="001A64AD"/>
    <w:rsid w:val="001A7244"/>
    <w:rsid w:val="001A7846"/>
    <w:rsid w:val="001A7A50"/>
    <w:rsid w:val="001B01C7"/>
    <w:rsid w:val="001B07A7"/>
    <w:rsid w:val="001B0812"/>
    <w:rsid w:val="001B14AA"/>
    <w:rsid w:val="001B2280"/>
    <w:rsid w:val="001B2B62"/>
    <w:rsid w:val="001B2BF3"/>
    <w:rsid w:val="001B2CB8"/>
    <w:rsid w:val="001B319C"/>
    <w:rsid w:val="001B3251"/>
    <w:rsid w:val="001B3926"/>
    <w:rsid w:val="001B3B45"/>
    <w:rsid w:val="001B4744"/>
    <w:rsid w:val="001B4B0A"/>
    <w:rsid w:val="001B4DA8"/>
    <w:rsid w:val="001B54F0"/>
    <w:rsid w:val="001B5555"/>
    <w:rsid w:val="001B5735"/>
    <w:rsid w:val="001B5E64"/>
    <w:rsid w:val="001B67B8"/>
    <w:rsid w:val="001B6B8E"/>
    <w:rsid w:val="001B6FF0"/>
    <w:rsid w:val="001B734F"/>
    <w:rsid w:val="001B773D"/>
    <w:rsid w:val="001B780E"/>
    <w:rsid w:val="001B789A"/>
    <w:rsid w:val="001B7FB8"/>
    <w:rsid w:val="001B7FE1"/>
    <w:rsid w:val="001C069B"/>
    <w:rsid w:val="001C091D"/>
    <w:rsid w:val="001C0C5A"/>
    <w:rsid w:val="001C1396"/>
    <w:rsid w:val="001C157D"/>
    <w:rsid w:val="001C167B"/>
    <w:rsid w:val="001C1CE5"/>
    <w:rsid w:val="001C21FA"/>
    <w:rsid w:val="001C26BB"/>
    <w:rsid w:val="001C2D5C"/>
    <w:rsid w:val="001C375A"/>
    <w:rsid w:val="001C3AE6"/>
    <w:rsid w:val="001C3D38"/>
    <w:rsid w:val="001C3EA3"/>
    <w:rsid w:val="001C4F1D"/>
    <w:rsid w:val="001C526D"/>
    <w:rsid w:val="001C5704"/>
    <w:rsid w:val="001C58A2"/>
    <w:rsid w:val="001C58BA"/>
    <w:rsid w:val="001C5BA1"/>
    <w:rsid w:val="001C5F95"/>
    <w:rsid w:val="001C628E"/>
    <w:rsid w:val="001C6493"/>
    <w:rsid w:val="001C698B"/>
    <w:rsid w:val="001C6A31"/>
    <w:rsid w:val="001C6D07"/>
    <w:rsid w:val="001D0050"/>
    <w:rsid w:val="001D0697"/>
    <w:rsid w:val="001D0AC1"/>
    <w:rsid w:val="001D12AA"/>
    <w:rsid w:val="001D18FF"/>
    <w:rsid w:val="001D19D3"/>
    <w:rsid w:val="001D2317"/>
    <w:rsid w:val="001D2CEE"/>
    <w:rsid w:val="001D341D"/>
    <w:rsid w:val="001D37A1"/>
    <w:rsid w:val="001D3BE3"/>
    <w:rsid w:val="001D4071"/>
    <w:rsid w:val="001D4AEF"/>
    <w:rsid w:val="001D500A"/>
    <w:rsid w:val="001D527E"/>
    <w:rsid w:val="001D53D6"/>
    <w:rsid w:val="001D617E"/>
    <w:rsid w:val="001D62F3"/>
    <w:rsid w:val="001D70C1"/>
    <w:rsid w:val="001D7254"/>
    <w:rsid w:val="001D725F"/>
    <w:rsid w:val="001D77E4"/>
    <w:rsid w:val="001E02D1"/>
    <w:rsid w:val="001E0341"/>
    <w:rsid w:val="001E08C3"/>
    <w:rsid w:val="001E1177"/>
    <w:rsid w:val="001E151F"/>
    <w:rsid w:val="001E2868"/>
    <w:rsid w:val="001E2B4D"/>
    <w:rsid w:val="001E34E3"/>
    <w:rsid w:val="001E5058"/>
    <w:rsid w:val="001E5214"/>
    <w:rsid w:val="001E60AA"/>
    <w:rsid w:val="001E6E4E"/>
    <w:rsid w:val="001E6ED7"/>
    <w:rsid w:val="001E739F"/>
    <w:rsid w:val="001E7A12"/>
    <w:rsid w:val="001E7CE4"/>
    <w:rsid w:val="001E7EE1"/>
    <w:rsid w:val="001F0652"/>
    <w:rsid w:val="001F123A"/>
    <w:rsid w:val="001F2248"/>
    <w:rsid w:val="001F234C"/>
    <w:rsid w:val="001F3409"/>
    <w:rsid w:val="001F3B60"/>
    <w:rsid w:val="001F4019"/>
    <w:rsid w:val="001F44FB"/>
    <w:rsid w:val="001F51DD"/>
    <w:rsid w:val="001F5B88"/>
    <w:rsid w:val="001F5C3A"/>
    <w:rsid w:val="001F5DC1"/>
    <w:rsid w:val="001F73A7"/>
    <w:rsid w:val="00200043"/>
    <w:rsid w:val="00200105"/>
    <w:rsid w:val="002005AF"/>
    <w:rsid w:val="00200B12"/>
    <w:rsid w:val="00200D6B"/>
    <w:rsid w:val="0020101D"/>
    <w:rsid w:val="002015BE"/>
    <w:rsid w:val="00201C70"/>
    <w:rsid w:val="00202E30"/>
    <w:rsid w:val="002034E6"/>
    <w:rsid w:val="002040DC"/>
    <w:rsid w:val="00204189"/>
    <w:rsid w:val="0020485A"/>
    <w:rsid w:val="00204E3B"/>
    <w:rsid w:val="00206062"/>
    <w:rsid w:val="00206625"/>
    <w:rsid w:val="002066B7"/>
    <w:rsid w:val="00206A4C"/>
    <w:rsid w:val="00206EE7"/>
    <w:rsid w:val="0020765F"/>
    <w:rsid w:val="00210145"/>
    <w:rsid w:val="00210828"/>
    <w:rsid w:val="00211203"/>
    <w:rsid w:val="00211D9E"/>
    <w:rsid w:val="0021322F"/>
    <w:rsid w:val="00213716"/>
    <w:rsid w:val="00214BE8"/>
    <w:rsid w:val="00214CAB"/>
    <w:rsid w:val="00215183"/>
    <w:rsid w:val="00216137"/>
    <w:rsid w:val="0021628B"/>
    <w:rsid w:val="00216794"/>
    <w:rsid w:val="00216950"/>
    <w:rsid w:val="00216E7B"/>
    <w:rsid w:val="00216FE2"/>
    <w:rsid w:val="002176BD"/>
    <w:rsid w:val="00217ADE"/>
    <w:rsid w:val="00217C29"/>
    <w:rsid w:val="002204BC"/>
    <w:rsid w:val="00220CDE"/>
    <w:rsid w:val="00220DA3"/>
    <w:rsid w:val="00221556"/>
    <w:rsid w:val="0022180B"/>
    <w:rsid w:val="00222132"/>
    <w:rsid w:val="0022221C"/>
    <w:rsid w:val="002245B3"/>
    <w:rsid w:val="0022508B"/>
    <w:rsid w:val="0022508F"/>
    <w:rsid w:val="002256F6"/>
    <w:rsid w:val="00225724"/>
    <w:rsid w:val="002257E3"/>
    <w:rsid w:val="002260AF"/>
    <w:rsid w:val="0022614D"/>
    <w:rsid w:val="00227088"/>
    <w:rsid w:val="002272C5"/>
    <w:rsid w:val="00227A03"/>
    <w:rsid w:val="00230974"/>
    <w:rsid w:val="0023137F"/>
    <w:rsid w:val="00232241"/>
    <w:rsid w:val="00233B0D"/>
    <w:rsid w:val="002341C2"/>
    <w:rsid w:val="002341CA"/>
    <w:rsid w:val="00234CA2"/>
    <w:rsid w:val="0023593C"/>
    <w:rsid w:val="00235F24"/>
    <w:rsid w:val="00235F70"/>
    <w:rsid w:val="00236F64"/>
    <w:rsid w:val="00236F95"/>
    <w:rsid w:val="002373FA"/>
    <w:rsid w:val="0023767B"/>
    <w:rsid w:val="00237ECA"/>
    <w:rsid w:val="00240041"/>
    <w:rsid w:val="00240360"/>
    <w:rsid w:val="0024045D"/>
    <w:rsid w:val="0024107F"/>
    <w:rsid w:val="00241267"/>
    <w:rsid w:val="002415DB"/>
    <w:rsid w:val="002419C1"/>
    <w:rsid w:val="00242A6D"/>
    <w:rsid w:val="0024317F"/>
    <w:rsid w:val="002432A6"/>
    <w:rsid w:val="00243650"/>
    <w:rsid w:val="00243BDE"/>
    <w:rsid w:val="00243F56"/>
    <w:rsid w:val="0024501A"/>
    <w:rsid w:val="00246224"/>
    <w:rsid w:val="00246936"/>
    <w:rsid w:val="00246EB3"/>
    <w:rsid w:val="00246F09"/>
    <w:rsid w:val="00246F5A"/>
    <w:rsid w:val="0024716E"/>
    <w:rsid w:val="002473D6"/>
    <w:rsid w:val="002475CD"/>
    <w:rsid w:val="00247849"/>
    <w:rsid w:val="00250175"/>
    <w:rsid w:val="0025058E"/>
    <w:rsid w:val="00250829"/>
    <w:rsid w:val="00251237"/>
    <w:rsid w:val="00251587"/>
    <w:rsid w:val="00251882"/>
    <w:rsid w:val="0025231F"/>
    <w:rsid w:val="00252CB3"/>
    <w:rsid w:val="0025347D"/>
    <w:rsid w:val="0025356A"/>
    <w:rsid w:val="00253AF0"/>
    <w:rsid w:val="00253F6E"/>
    <w:rsid w:val="00254956"/>
    <w:rsid w:val="002550F3"/>
    <w:rsid w:val="002554D9"/>
    <w:rsid w:val="0025601C"/>
    <w:rsid w:val="002561C9"/>
    <w:rsid w:val="00256453"/>
    <w:rsid w:val="002565FA"/>
    <w:rsid w:val="00256758"/>
    <w:rsid w:val="00257167"/>
    <w:rsid w:val="00257244"/>
    <w:rsid w:val="00260264"/>
    <w:rsid w:val="002604C5"/>
    <w:rsid w:val="00260ABB"/>
    <w:rsid w:val="00260B1D"/>
    <w:rsid w:val="0026149F"/>
    <w:rsid w:val="00262028"/>
    <w:rsid w:val="00262850"/>
    <w:rsid w:val="00262B47"/>
    <w:rsid w:val="00262E08"/>
    <w:rsid w:val="0026357C"/>
    <w:rsid w:val="00263860"/>
    <w:rsid w:val="00264256"/>
    <w:rsid w:val="00264382"/>
    <w:rsid w:val="0026445C"/>
    <w:rsid w:val="00264979"/>
    <w:rsid w:val="00264EBE"/>
    <w:rsid w:val="00264FCD"/>
    <w:rsid w:val="002652B1"/>
    <w:rsid w:val="002659E6"/>
    <w:rsid w:val="00265FE7"/>
    <w:rsid w:val="00266434"/>
    <w:rsid w:val="00266524"/>
    <w:rsid w:val="00266D7B"/>
    <w:rsid w:val="00267631"/>
    <w:rsid w:val="00267EB9"/>
    <w:rsid w:val="002717A7"/>
    <w:rsid w:val="002717E3"/>
    <w:rsid w:val="00271ADF"/>
    <w:rsid w:val="00271E54"/>
    <w:rsid w:val="00272420"/>
    <w:rsid w:val="00272B39"/>
    <w:rsid w:val="00272DA4"/>
    <w:rsid w:val="002731A0"/>
    <w:rsid w:val="00273D00"/>
    <w:rsid w:val="002741DE"/>
    <w:rsid w:val="0027429F"/>
    <w:rsid w:val="0027452F"/>
    <w:rsid w:val="00275160"/>
    <w:rsid w:val="002751E6"/>
    <w:rsid w:val="00275335"/>
    <w:rsid w:val="002754E7"/>
    <w:rsid w:val="002758B7"/>
    <w:rsid w:val="00275C9E"/>
    <w:rsid w:val="0027603F"/>
    <w:rsid w:val="0027687C"/>
    <w:rsid w:val="00276C9B"/>
    <w:rsid w:val="00276DBC"/>
    <w:rsid w:val="00276DFF"/>
    <w:rsid w:val="002772A6"/>
    <w:rsid w:val="00277339"/>
    <w:rsid w:val="002807BB"/>
    <w:rsid w:val="00280CC8"/>
    <w:rsid w:val="002818AD"/>
    <w:rsid w:val="00281CA3"/>
    <w:rsid w:val="00281F49"/>
    <w:rsid w:val="0028260E"/>
    <w:rsid w:val="0028269C"/>
    <w:rsid w:val="00282A85"/>
    <w:rsid w:val="00282D82"/>
    <w:rsid w:val="00282F54"/>
    <w:rsid w:val="00282FC0"/>
    <w:rsid w:val="002837D1"/>
    <w:rsid w:val="00283CE9"/>
    <w:rsid w:val="00284EC9"/>
    <w:rsid w:val="00284F2D"/>
    <w:rsid w:val="00285A07"/>
    <w:rsid w:val="00285B55"/>
    <w:rsid w:val="002866AC"/>
    <w:rsid w:val="00286BB1"/>
    <w:rsid w:val="00286E0F"/>
    <w:rsid w:val="00286FB9"/>
    <w:rsid w:val="00286FD1"/>
    <w:rsid w:val="00287055"/>
    <w:rsid w:val="0028720C"/>
    <w:rsid w:val="00287324"/>
    <w:rsid w:val="0028788D"/>
    <w:rsid w:val="002900F7"/>
    <w:rsid w:val="0029026E"/>
    <w:rsid w:val="00290634"/>
    <w:rsid w:val="00290790"/>
    <w:rsid w:val="00291325"/>
    <w:rsid w:val="00291AE7"/>
    <w:rsid w:val="00291C8F"/>
    <w:rsid w:val="002920B8"/>
    <w:rsid w:val="002922D4"/>
    <w:rsid w:val="002929F5"/>
    <w:rsid w:val="00293432"/>
    <w:rsid w:val="0029445D"/>
    <w:rsid w:val="00294702"/>
    <w:rsid w:val="00295087"/>
    <w:rsid w:val="002957CB"/>
    <w:rsid w:val="0029619B"/>
    <w:rsid w:val="002967E8"/>
    <w:rsid w:val="002969A9"/>
    <w:rsid w:val="00296A80"/>
    <w:rsid w:val="00296B51"/>
    <w:rsid w:val="002972C0"/>
    <w:rsid w:val="00297AEC"/>
    <w:rsid w:val="00297B5B"/>
    <w:rsid w:val="002A019D"/>
    <w:rsid w:val="002A06C2"/>
    <w:rsid w:val="002A145C"/>
    <w:rsid w:val="002A1CD8"/>
    <w:rsid w:val="002A2952"/>
    <w:rsid w:val="002A2A26"/>
    <w:rsid w:val="002A3FC0"/>
    <w:rsid w:val="002A44FC"/>
    <w:rsid w:val="002A4695"/>
    <w:rsid w:val="002A4D03"/>
    <w:rsid w:val="002A4ECF"/>
    <w:rsid w:val="002A5F35"/>
    <w:rsid w:val="002A6D3E"/>
    <w:rsid w:val="002A6F8F"/>
    <w:rsid w:val="002A703B"/>
    <w:rsid w:val="002A705F"/>
    <w:rsid w:val="002A7772"/>
    <w:rsid w:val="002A7D6A"/>
    <w:rsid w:val="002B0911"/>
    <w:rsid w:val="002B0B3D"/>
    <w:rsid w:val="002B2663"/>
    <w:rsid w:val="002B30ED"/>
    <w:rsid w:val="002B3EDC"/>
    <w:rsid w:val="002B416B"/>
    <w:rsid w:val="002B5150"/>
    <w:rsid w:val="002B58B9"/>
    <w:rsid w:val="002B5C09"/>
    <w:rsid w:val="002B60FC"/>
    <w:rsid w:val="002B75C7"/>
    <w:rsid w:val="002B7AE5"/>
    <w:rsid w:val="002B7BC1"/>
    <w:rsid w:val="002B7F72"/>
    <w:rsid w:val="002C04C2"/>
    <w:rsid w:val="002C097E"/>
    <w:rsid w:val="002C0A7D"/>
    <w:rsid w:val="002C0C1A"/>
    <w:rsid w:val="002C0C29"/>
    <w:rsid w:val="002C14D6"/>
    <w:rsid w:val="002C159A"/>
    <w:rsid w:val="002C1D97"/>
    <w:rsid w:val="002C212D"/>
    <w:rsid w:val="002C30C7"/>
    <w:rsid w:val="002C3230"/>
    <w:rsid w:val="002C3646"/>
    <w:rsid w:val="002C4452"/>
    <w:rsid w:val="002C4BB9"/>
    <w:rsid w:val="002C4F95"/>
    <w:rsid w:val="002C50D3"/>
    <w:rsid w:val="002C518A"/>
    <w:rsid w:val="002C5F40"/>
    <w:rsid w:val="002C605A"/>
    <w:rsid w:val="002C6416"/>
    <w:rsid w:val="002C6A99"/>
    <w:rsid w:val="002C7A2C"/>
    <w:rsid w:val="002D0D35"/>
    <w:rsid w:val="002D0F14"/>
    <w:rsid w:val="002D14BA"/>
    <w:rsid w:val="002D15A2"/>
    <w:rsid w:val="002D322D"/>
    <w:rsid w:val="002D3B12"/>
    <w:rsid w:val="002D4871"/>
    <w:rsid w:val="002D4CE7"/>
    <w:rsid w:val="002D6545"/>
    <w:rsid w:val="002D68F5"/>
    <w:rsid w:val="002D6C73"/>
    <w:rsid w:val="002D6EDC"/>
    <w:rsid w:val="002D6F9B"/>
    <w:rsid w:val="002D7234"/>
    <w:rsid w:val="002D726D"/>
    <w:rsid w:val="002D7602"/>
    <w:rsid w:val="002D7777"/>
    <w:rsid w:val="002D7818"/>
    <w:rsid w:val="002D7F30"/>
    <w:rsid w:val="002E00D1"/>
    <w:rsid w:val="002E0349"/>
    <w:rsid w:val="002E1130"/>
    <w:rsid w:val="002E1449"/>
    <w:rsid w:val="002E196F"/>
    <w:rsid w:val="002E1B10"/>
    <w:rsid w:val="002E230E"/>
    <w:rsid w:val="002E292D"/>
    <w:rsid w:val="002E2C8A"/>
    <w:rsid w:val="002E3097"/>
    <w:rsid w:val="002E334B"/>
    <w:rsid w:val="002E347B"/>
    <w:rsid w:val="002E54F2"/>
    <w:rsid w:val="002E5583"/>
    <w:rsid w:val="002E563B"/>
    <w:rsid w:val="002E5D9C"/>
    <w:rsid w:val="002E60FD"/>
    <w:rsid w:val="002E6A7A"/>
    <w:rsid w:val="002F048A"/>
    <w:rsid w:val="002F0519"/>
    <w:rsid w:val="002F080F"/>
    <w:rsid w:val="002F0A8F"/>
    <w:rsid w:val="002F0D18"/>
    <w:rsid w:val="002F0D82"/>
    <w:rsid w:val="002F0EE6"/>
    <w:rsid w:val="002F19C3"/>
    <w:rsid w:val="002F1E89"/>
    <w:rsid w:val="002F238E"/>
    <w:rsid w:val="002F24D5"/>
    <w:rsid w:val="002F2744"/>
    <w:rsid w:val="002F294C"/>
    <w:rsid w:val="002F2F81"/>
    <w:rsid w:val="002F397A"/>
    <w:rsid w:val="002F3B1B"/>
    <w:rsid w:val="002F3C53"/>
    <w:rsid w:val="002F4727"/>
    <w:rsid w:val="002F4798"/>
    <w:rsid w:val="002F5786"/>
    <w:rsid w:val="002F5881"/>
    <w:rsid w:val="002F5EC7"/>
    <w:rsid w:val="002F601E"/>
    <w:rsid w:val="002F6C34"/>
    <w:rsid w:val="002F7740"/>
    <w:rsid w:val="002F7C48"/>
    <w:rsid w:val="002F7EE3"/>
    <w:rsid w:val="003003F1"/>
    <w:rsid w:val="0030090B"/>
    <w:rsid w:val="0030162D"/>
    <w:rsid w:val="00301701"/>
    <w:rsid w:val="00301A0A"/>
    <w:rsid w:val="00301F25"/>
    <w:rsid w:val="003027AD"/>
    <w:rsid w:val="00302970"/>
    <w:rsid w:val="00302D4E"/>
    <w:rsid w:val="00303FBE"/>
    <w:rsid w:val="003043E3"/>
    <w:rsid w:val="0030494F"/>
    <w:rsid w:val="00304B61"/>
    <w:rsid w:val="00304B8C"/>
    <w:rsid w:val="00304C5C"/>
    <w:rsid w:val="00304D1F"/>
    <w:rsid w:val="00304E25"/>
    <w:rsid w:val="00304E92"/>
    <w:rsid w:val="00305D28"/>
    <w:rsid w:val="0030699A"/>
    <w:rsid w:val="00306F10"/>
    <w:rsid w:val="003070AA"/>
    <w:rsid w:val="00307739"/>
    <w:rsid w:val="003077C2"/>
    <w:rsid w:val="00307B38"/>
    <w:rsid w:val="00307B9E"/>
    <w:rsid w:val="00307C26"/>
    <w:rsid w:val="00307DF0"/>
    <w:rsid w:val="00307F3F"/>
    <w:rsid w:val="00310F41"/>
    <w:rsid w:val="00311045"/>
    <w:rsid w:val="00311B10"/>
    <w:rsid w:val="0031211C"/>
    <w:rsid w:val="0031226C"/>
    <w:rsid w:val="00312DF3"/>
    <w:rsid w:val="00312E72"/>
    <w:rsid w:val="00313455"/>
    <w:rsid w:val="003136C0"/>
    <w:rsid w:val="00313C20"/>
    <w:rsid w:val="00314312"/>
    <w:rsid w:val="003144A5"/>
    <w:rsid w:val="00314889"/>
    <w:rsid w:val="00314EEE"/>
    <w:rsid w:val="00314F2A"/>
    <w:rsid w:val="003152ED"/>
    <w:rsid w:val="003154CF"/>
    <w:rsid w:val="003164E8"/>
    <w:rsid w:val="00316A79"/>
    <w:rsid w:val="0031713C"/>
    <w:rsid w:val="00317709"/>
    <w:rsid w:val="0031781B"/>
    <w:rsid w:val="00320417"/>
    <w:rsid w:val="00320643"/>
    <w:rsid w:val="00320A01"/>
    <w:rsid w:val="00320B3E"/>
    <w:rsid w:val="0032164A"/>
    <w:rsid w:val="00322108"/>
    <w:rsid w:val="00322167"/>
    <w:rsid w:val="00322532"/>
    <w:rsid w:val="00322A34"/>
    <w:rsid w:val="00322B4F"/>
    <w:rsid w:val="003231C0"/>
    <w:rsid w:val="0032321E"/>
    <w:rsid w:val="00323344"/>
    <w:rsid w:val="00323C55"/>
    <w:rsid w:val="00324388"/>
    <w:rsid w:val="00324D04"/>
    <w:rsid w:val="00324D8B"/>
    <w:rsid w:val="003254C3"/>
    <w:rsid w:val="00325824"/>
    <w:rsid w:val="00325848"/>
    <w:rsid w:val="003258B6"/>
    <w:rsid w:val="00325990"/>
    <w:rsid w:val="00326008"/>
    <w:rsid w:val="003271CB"/>
    <w:rsid w:val="00327384"/>
    <w:rsid w:val="0032788E"/>
    <w:rsid w:val="00327C7F"/>
    <w:rsid w:val="00327E27"/>
    <w:rsid w:val="00330559"/>
    <w:rsid w:val="00330B6F"/>
    <w:rsid w:val="00331EBC"/>
    <w:rsid w:val="00332114"/>
    <w:rsid w:val="00332273"/>
    <w:rsid w:val="00332624"/>
    <w:rsid w:val="00332762"/>
    <w:rsid w:val="003335D3"/>
    <w:rsid w:val="0033367A"/>
    <w:rsid w:val="00333DC0"/>
    <w:rsid w:val="00334945"/>
    <w:rsid w:val="00336AA6"/>
    <w:rsid w:val="00336F44"/>
    <w:rsid w:val="00336F8D"/>
    <w:rsid w:val="00336FEE"/>
    <w:rsid w:val="003370B8"/>
    <w:rsid w:val="00337223"/>
    <w:rsid w:val="00337B79"/>
    <w:rsid w:val="00340413"/>
    <w:rsid w:val="003415F0"/>
    <w:rsid w:val="00341A2E"/>
    <w:rsid w:val="00341F66"/>
    <w:rsid w:val="00342194"/>
    <w:rsid w:val="003432C6"/>
    <w:rsid w:val="0034384F"/>
    <w:rsid w:val="00343984"/>
    <w:rsid w:val="00344A12"/>
    <w:rsid w:val="00344DFF"/>
    <w:rsid w:val="0034570F"/>
    <w:rsid w:val="003457D2"/>
    <w:rsid w:val="003457F4"/>
    <w:rsid w:val="00346511"/>
    <w:rsid w:val="00346996"/>
    <w:rsid w:val="00347238"/>
    <w:rsid w:val="003507B0"/>
    <w:rsid w:val="00350C72"/>
    <w:rsid w:val="00351A22"/>
    <w:rsid w:val="00351C4C"/>
    <w:rsid w:val="00351F8B"/>
    <w:rsid w:val="003522E9"/>
    <w:rsid w:val="003528B6"/>
    <w:rsid w:val="00353FF5"/>
    <w:rsid w:val="003550C0"/>
    <w:rsid w:val="00355707"/>
    <w:rsid w:val="00355DA5"/>
    <w:rsid w:val="00355F2E"/>
    <w:rsid w:val="0035628B"/>
    <w:rsid w:val="00357046"/>
    <w:rsid w:val="003577EC"/>
    <w:rsid w:val="0035793E"/>
    <w:rsid w:val="00357D56"/>
    <w:rsid w:val="003618EF"/>
    <w:rsid w:val="00361E33"/>
    <w:rsid w:val="00361E50"/>
    <w:rsid w:val="00361EDF"/>
    <w:rsid w:val="0036291E"/>
    <w:rsid w:val="00362EDF"/>
    <w:rsid w:val="0036319C"/>
    <w:rsid w:val="00363611"/>
    <w:rsid w:val="00363DC0"/>
    <w:rsid w:val="00363E6E"/>
    <w:rsid w:val="00363ED6"/>
    <w:rsid w:val="00364405"/>
    <w:rsid w:val="003645B6"/>
    <w:rsid w:val="00366209"/>
    <w:rsid w:val="003670AC"/>
    <w:rsid w:val="003670B9"/>
    <w:rsid w:val="003672F4"/>
    <w:rsid w:val="003674C6"/>
    <w:rsid w:val="0036785D"/>
    <w:rsid w:val="00367F67"/>
    <w:rsid w:val="00370323"/>
    <w:rsid w:val="00370CF9"/>
    <w:rsid w:val="00370D24"/>
    <w:rsid w:val="00371801"/>
    <w:rsid w:val="00371963"/>
    <w:rsid w:val="00372172"/>
    <w:rsid w:val="003721D4"/>
    <w:rsid w:val="00372B51"/>
    <w:rsid w:val="0037309F"/>
    <w:rsid w:val="0037393E"/>
    <w:rsid w:val="00373FB8"/>
    <w:rsid w:val="003748AF"/>
    <w:rsid w:val="003757FD"/>
    <w:rsid w:val="00375A4E"/>
    <w:rsid w:val="003760D6"/>
    <w:rsid w:val="00376AA5"/>
    <w:rsid w:val="0037737D"/>
    <w:rsid w:val="00377383"/>
    <w:rsid w:val="00377FDE"/>
    <w:rsid w:val="00380654"/>
    <w:rsid w:val="00381EC0"/>
    <w:rsid w:val="00382D80"/>
    <w:rsid w:val="0038379D"/>
    <w:rsid w:val="00383C0B"/>
    <w:rsid w:val="00383D19"/>
    <w:rsid w:val="00384CA6"/>
    <w:rsid w:val="00387033"/>
    <w:rsid w:val="003874E3"/>
    <w:rsid w:val="0038796D"/>
    <w:rsid w:val="00387B78"/>
    <w:rsid w:val="003901A2"/>
    <w:rsid w:val="003904DF"/>
    <w:rsid w:val="00390683"/>
    <w:rsid w:val="00391168"/>
    <w:rsid w:val="00391BA4"/>
    <w:rsid w:val="0039215B"/>
    <w:rsid w:val="00392518"/>
    <w:rsid w:val="003928BD"/>
    <w:rsid w:val="00392B9D"/>
    <w:rsid w:val="00392F29"/>
    <w:rsid w:val="00393352"/>
    <w:rsid w:val="003935C7"/>
    <w:rsid w:val="00394224"/>
    <w:rsid w:val="00394329"/>
    <w:rsid w:val="00395129"/>
    <w:rsid w:val="00396005"/>
    <w:rsid w:val="00396602"/>
    <w:rsid w:val="00396773"/>
    <w:rsid w:val="0039680D"/>
    <w:rsid w:val="00396FBC"/>
    <w:rsid w:val="003978B0"/>
    <w:rsid w:val="00397D08"/>
    <w:rsid w:val="003A0524"/>
    <w:rsid w:val="003A0915"/>
    <w:rsid w:val="003A0FE0"/>
    <w:rsid w:val="003A1604"/>
    <w:rsid w:val="003A1D77"/>
    <w:rsid w:val="003A1DC9"/>
    <w:rsid w:val="003A1ED6"/>
    <w:rsid w:val="003A2719"/>
    <w:rsid w:val="003A3D29"/>
    <w:rsid w:val="003A415B"/>
    <w:rsid w:val="003A42E5"/>
    <w:rsid w:val="003A46D0"/>
    <w:rsid w:val="003A4947"/>
    <w:rsid w:val="003A4B6E"/>
    <w:rsid w:val="003A4D39"/>
    <w:rsid w:val="003A506B"/>
    <w:rsid w:val="003A5F3E"/>
    <w:rsid w:val="003A6331"/>
    <w:rsid w:val="003A68F3"/>
    <w:rsid w:val="003A6E97"/>
    <w:rsid w:val="003A7E95"/>
    <w:rsid w:val="003B02FF"/>
    <w:rsid w:val="003B06AC"/>
    <w:rsid w:val="003B09F7"/>
    <w:rsid w:val="003B0D4B"/>
    <w:rsid w:val="003B0F19"/>
    <w:rsid w:val="003B1110"/>
    <w:rsid w:val="003B1222"/>
    <w:rsid w:val="003B20E6"/>
    <w:rsid w:val="003B2160"/>
    <w:rsid w:val="003B3E26"/>
    <w:rsid w:val="003B3F0B"/>
    <w:rsid w:val="003B463F"/>
    <w:rsid w:val="003B4650"/>
    <w:rsid w:val="003B4B1D"/>
    <w:rsid w:val="003B4BA2"/>
    <w:rsid w:val="003B4C37"/>
    <w:rsid w:val="003B4CD2"/>
    <w:rsid w:val="003B4EC6"/>
    <w:rsid w:val="003B606A"/>
    <w:rsid w:val="003B6566"/>
    <w:rsid w:val="003B6723"/>
    <w:rsid w:val="003B6D29"/>
    <w:rsid w:val="003B718B"/>
    <w:rsid w:val="003B79E0"/>
    <w:rsid w:val="003B7CB2"/>
    <w:rsid w:val="003B7EEE"/>
    <w:rsid w:val="003C08FA"/>
    <w:rsid w:val="003C0ECA"/>
    <w:rsid w:val="003C13A5"/>
    <w:rsid w:val="003C1692"/>
    <w:rsid w:val="003C1EE5"/>
    <w:rsid w:val="003C2464"/>
    <w:rsid w:val="003C29B3"/>
    <w:rsid w:val="003C3011"/>
    <w:rsid w:val="003C33DB"/>
    <w:rsid w:val="003C3988"/>
    <w:rsid w:val="003C3E8F"/>
    <w:rsid w:val="003C4085"/>
    <w:rsid w:val="003C41F1"/>
    <w:rsid w:val="003C46A0"/>
    <w:rsid w:val="003C489A"/>
    <w:rsid w:val="003C4924"/>
    <w:rsid w:val="003C4A50"/>
    <w:rsid w:val="003C50A8"/>
    <w:rsid w:val="003C57BB"/>
    <w:rsid w:val="003C6210"/>
    <w:rsid w:val="003C729F"/>
    <w:rsid w:val="003C7D11"/>
    <w:rsid w:val="003D03F7"/>
    <w:rsid w:val="003D0613"/>
    <w:rsid w:val="003D0F6B"/>
    <w:rsid w:val="003D204B"/>
    <w:rsid w:val="003D240F"/>
    <w:rsid w:val="003D2516"/>
    <w:rsid w:val="003D27EE"/>
    <w:rsid w:val="003D3E4A"/>
    <w:rsid w:val="003D4376"/>
    <w:rsid w:val="003D44C8"/>
    <w:rsid w:val="003D46FC"/>
    <w:rsid w:val="003D47AF"/>
    <w:rsid w:val="003D53D8"/>
    <w:rsid w:val="003D5B0A"/>
    <w:rsid w:val="003D5C13"/>
    <w:rsid w:val="003D5FF0"/>
    <w:rsid w:val="003D64BD"/>
    <w:rsid w:val="003D67CA"/>
    <w:rsid w:val="003D6BFB"/>
    <w:rsid w:val="003D702D"/>
    <w:rsid w:val="003E00B4"/>
    <w:rsid w:val="003E0396"/>
    <w:rsid w:val="003E05F0"/>
    <w:rsid w:val="003E1D5C"/>
    <w:rsid w:val="003E3ED4"/>
    <w:rsid w:val="003E4087"/>
    <w:rsid w:val="003E4572"/>
    <w:rsid w:val="003E4AE4"/>
    <w:rsid w:val="003E4F30"/>
    <w:rsid w:val="003E4FE1"/>
    <w:rsid w:val="003E513C"/>
    <w:rsid w:val="003E5E7D"/>
    <w:rsid w:val="003E61DB"/>
    <w:rsid w:val="003E67ED"/>
    <w:rsid w:val="003E7062"/>
    <w:rsid w:val="003E7077"/>
    <w:rsid w:val="003E7CE1"/>
    <w:rsid w:val="003F033F"/>
    <w:rsid w:val="003F0345"/>
    <w:rsid w:val="003F0364"/>
    <w:rsid w:val="003F1007"/>
    <w:rsid w:val="003F14DC"/>
    <w:rsid w:val="003F14ED"/>
    <w:rsid w:val="003F15AD"/>
    <w:rsid w:val="003F17A3"/>
    <w:rsid w:val="003F17C0"/>
    <w:rsid w:val="003F2984"/>
    <w:rsid w:val="003F2B8C"/>
    <w:rsid w:val="003F336D"/>
    <w:rsid w:val="003F37A6"/>
    <w:rsid w:val="003F3C95"/>
    <w:rsid w:val="003F47E7"/>
    <w:rsid w:val="003F4D01"/>
    <w:rsid w:val="003F4D4C"/>
    <w:rsid w:val="003F6097"/>
    <w:rsid w:val="003F66B0"/>
    <w:rsid w:val="003F66F2"/>
    <w:rsid w:val="003F6E5D"/>
    <w:rsid w:val="003F739B"/>
    <w:rsid w:val="003F7BDC"/>
    <w:rsid w:val="00400BBB"/>
    <w:rsid w:val="00400E9F"/>
    <w:rsid w:val="00401122"/>
    <w:rsid w:val="004016C7"/>
    <w:rsid w:val="00401765"/>
    <w:rsid w:val="00401A94"/>
    <w:rsid w:val="00401C7E"/>
    <w:rsid w:val="00401EAE"/>
    <w:rsid w:val="00402160"/>
    <w:rsid w:val="00402294"/>
    <w:rsid w:val="0040229B"/>
    <w:rsid w:val="00402611"/>
    <w:rsid w:val="00402ABB"/>
    <w:rsid w:val="00402E45"/>
    <w:rsid w:val="00403076"/>
    <w:rsid w:val="00403155"/>
    <w:rsid w:val="00403AA5"/>
    <w:rsid w:val="00403EA0"/>
    <w:rsid w:val="0040452A"/>
    <w:rsid w:val="00404DA9"/>
    <w:rsid w:val="004052CB"/>
    <w:rsid w:val="00405720"/>
    <w:rsid w:val="00405976"/>
    <w:rsid w:val="00405F45"/>
    <w:rsid w:val="00407640"/>
    <w:rsid w:val="004103BA"/>
    <w:rsid w:val="00411105"/>
    <w:rsid w:val="00411997"/>
    <w:rsid w:val="004119EE"/>
    <w:rsid w:val="00411F8F"/>
    <w:rsid w:val="00412073"/>
    <w:rsid w:val="00412868"/>
    <w:rsid w:val="004129D9"/>
    <w:rsid w:val="00413426"/>
    <w:rsid w:val="00414097"/>
    <w:rsid w:val="004144AD"/>
    <w:rsid w:val="00414FC4"/>
    <w:rsid w:val="0041526F"/>
    <w:rsid w:val="004154FE"/>
    <w:rsid w:val="00415B53"/>
    <w:rsid w:val="00416B4E"/>
    <w:rsid w:val="0041707F"/>
    <w:rsid w:val="00417DBF"/>
    <w:rsid w:val="00417E3E"/>
    <w:rsid w:val="004201B1"/>
    <w:rsid w:val="00420479"/>
    <w:rsid w:val="0042075B"/>
    <w:rsid w:val="00420C1C"/>
    <w:rsid w:val="00421171"/>
    <w:rsid w:val="0042122B"/>
    <w:rsid w:val="0042156B"/>
    <w:rsid w:val="00421D89"/>
    <w:rsid w:val="00422C79"/>
    <w:rsid w:val="00423690"/>
    <w:rsid w:val="00423874"/>
    <w:rsid w:val="00423C86"/>
    <w:rsid w:val="004240A0"/>
    <w:rsid w:val="00424425"/>
    <w:rsid w:val="0042462D"/>
    <w:rsid w:val="004247C9"/>
    <w:rsid w:val="00424CC0"/>
    <w:rsid w:val="00424F40"/>
    <w:rsid w:val="00425865"/>
    <w:rsid w:val="0042606E"/>
    <w:rsid w:val="00426111"/>
    <w:rsid w:val="004266E9"/>
    <w:rsid w:val="00426708"/>
    <w:rsid w:val="004269B8"/>
    <w:rsid w:val="00426B8B"/>
    <w:rsid w:val="00426C57"/>
    <w:rsid w:val="00430B7A"/>
    <w:rsid w:val="00430F25"/>
    <w:rsid w:val="0043125D"/>
    <w:rsid w:val="0043128B"/>
    <w:rsid w:val="00432473"/>
    <w:rsid w:val="004326F8"/>
    <w:rsid w:val="004328CC"/>
    <w:rsid w:val="00433C87"/>
    <w:rsid w:val="0043545E"/>
    <w:rsid w:val="004355A0"/>
    <w:rsid w:val="0043612A"/>
    <w:rsid w:val="004362D9"/>
    <w:rsid w:val="00436917"/>
    <w:rsid w:val="00436E81"/>
    <w:rsid w:val="0043733D"/>
    <w:rsid w:val="00437A71"/>
    <w:rsid w:val="00437DE1"/>
    <w:rsid w:val="00437F9F"/>
    <w:rsid w:val="00440797"/>
    <w:rsid w:val="0044106D"/>
    <w:rsid w:val="00441706"/>
    <w:rsid w:val="004420C5"/>
    <w:rsid w:val="00442941"/>
    <w:rsid w:val="00443214"/>
    <w:rsid w:val="00443367"/>
    <w:rsid w:val="004435C4"/>
    <w:rsid w:val="00443A7E"/>
    <w:rsid w:val="00443CB9"/>
    <w:rsid w:val="004440C5"/>
    <w:rsid w:val="00444631"/>
    <w:rsid w:val="004447F6"/>
    <w:rsid w:val="00444C5B"/>
    <w:rsid w:val="00444EEB"/>
    <w:rsid w:val="0044558C"/>
    <w:rsid w:val="00445CB0"/>
    <w:rsid w:val="004471AD"/>
    <w:rsid w:val="00447277"/>
    <w:rsid w:val="00447647"/>
    <w:rsid w:val="004479A7"/>
    <w:rsid w:val="00450C6D"/>
    <w:rsid w:val="00451655"/>
    <w:rsid w:val="00452140"/>
    <w:rsid w:val="0045252B"/>
    <w:rsid w:val="004529BC"/>
    <w:rsid w:val="0045314F"/>
    <w:rsid w:val="004538A9"/>
    <w:rsid w:val="00454783"/>
    <w:rsid w:val="00454A41"/>
    <w:rsid w:val="00454F3E"/>
    <w:rsid w:val="00455B18"/>
    <w:rsid w:val="00457182"/>
    <w:rsid w:val="004576EA"/>
    <w:rsid w:val="00457C3F"/>
    <w:rsid w:val="00457D04"/>
    <w:rsid w:val="00460C0A"/>
    <w:rsid w:val="0046113D"/>
    <w:rsid w:val="004612CE"/>
    <w:rsid w:val="00461DFD"/>
    <w:rsid w:val="00462529"/>
    <w:rsid w:val="00462DE4"/>
    <w:rsid w:val="00462E12"/>
    <w:rsid w:val="00463BAD"/>
    <w:rsid w:val="00463C3C"/>
    <w:rsid w:val="00463CD0"/>
    <w:rsid w:val="004649D6"/>
    <w:rsid w:val="00464E18"/>
    <w:rsid w:val="00464EC2"/>
    <w:rsid w:val="004652D6"/>
    <w:rsid w:val="004677B0"/>
    <w:rsid w:val="00467AE0"/>
    <w:rsid w:val="00471B55"/>
    <w:rsid w:val="00472722"/>
    <w:rsid w:val="00472C15"/>
    <w:rsid w:val="00472D37"/>
    <w:rsid w:val="00473493"/>
    <w:rsid w:val="0047362A"/>
    <w:rsid w:val="00473849"/>
    <w:rsid w:val="0047398F"/>
    <w:rsid w:val="00473C0F"/>
    <w:rsid w:val="0047555F"/>
    <w:rsid w:val="00475881"/>
    <w:rsid w:val="00475B3D"/>
    <w:rsid w:val="00476000"/>
    <w:rsid w:val="00477B66"/>
    <w:rsid w:val="00477E75"/>
    <w:rsid w:val="0048040A"/>
    <w:rsid w:val="00480978"/>
    <w:rsid w:val="004812CE"/>
    <w:rsid w:val="00481C4E"/>
    <w:rsid w:val="00481E60"/>
    <w:rsid w:val="00481ECF"/>
    <w:rsid w:val="00481EF2"/>
    <w:rsid w:val="00482369"/>
    <w:rsid w:val="0048277D"/>
    <w:rsid w:val="00483F34"/>
    <w:rsid w:val="004844BC"/>
    <w:rsid w:val="00484A9C"/>
    <w:rsid w:val="00484D53"/>
    <w:rsid w:val="004851A3"/>
    <w:rsid w:val="004851ED"/>
    <w:rsid w:val="0048561A"/>
    <w:rsid w:val="00485C43"/>
    <w:rsid w:val="00485D13"/>
    <w:rsid w:val="00486232"/>
    <w:rsid w:val="0048693D"/>
    <w:rsid w:val="00487127"/>
    <w:rsid w:val="00487E7C"/>
    <w:rsid w:val="00487EC4"/>
    <w:rsid w:val="0049076C"/>
    <w:rsid w:val="00490811"/>
    <w:rsid w:val="00490CD2"/>
    <w:rsid w:val="0049184E"/>
    <w:rsid w:val="00491A87"/>
    <w:rsid w:val="00491BE3"/>
    <w:rsid w:val="00491F2E"/>
    <w:rsid w:val="00493AE2"/>
    <w:rsid w:val="004948C7"/>
    <w:rsid w:val="00494A89"/>
    <w:rsid w:val="00494B77"/>
    <w:rsid w:val="00494F24"/>
    <w:rsid w:val="004962A1"/>
    <w:rsid w:val="00496707"/>
    <w:rsid w:val="00496908"/>
    <w:rsid w:val="00496DD9"/>
    <w:rsid w:val="00496EBB"/>
    <w:rsid w:val="00497DE7"/>
    <w:rsid w:val="004A0239"/>
    <w:rsid w:val="004A0796"/>
    <w:rsid w:val="004A0AEA"/>
    <w:rsid w:val="004A0C4D"/>
    <w:rsid w:val="004A139E"/>
    <w:rsid w:val="004A1687"/>
    <w:rsid w:val="004A1B65"/>
    <w:rsid w:val="004A2548"/>
    <w:rsid w:val="004A2AC7"/>
    <w:rsid w:val="004A2DA9"/>
    <w:rsid w:val="004A2F85"/>
    <w:rsid w:val="004A363B"/>
    <w:rsid w:val="004A3674"/>
    <w:rsid w:val="004A4760"/>
    <w:rsid w:val="004A4BA5"/>
    <w:rsid w:val="004A51BC"/>
    <w:rsid w:val="004A5943"/>
    <w:rsid w:val="004A5B8D"/>
    <w:rsid w:val="004A5C6D"/>
    <w:rsid w:val="004A61E4"/>
    <w:rsid w:val="004A62E2"/>
    <w:rsid w:val="004A696F"/>
    <w:rsid w:val="004A6A5A"/>
    <w:rsid w:val="004A6AD5"/>
    <w:rsid w:val="004A6DA2"/>
    <w:rsid w:val="004B0322"/>
    <w:rsid w:val="004B2299"/>
    <w:rsid w:val="004B24A4"/>
    <w:rsid w:val="004B27B7"/>
    <w:rsid w:val="004B296C"/>
    <w:rsid w:val="004B3E45"/>
    <w:rsid w:val="004B45C8"/>
    <w:rsid w:val="004B4D92"/>
    <w:rsid w:val="004B69AA"/>
    <w:rsid w:val="004B6D43"/>
    <w:rsid w:val="004B75B9"/>
    <w:rsid w:val="004B75C9"/>
    <w:rsid w:val="004B7CA6"/>
    <w:rsid w:val="004C020F"/>
    <w:rsid w:val="004C0494"/>
    <w:rsid w:val="004C0CCD"/>
    <w:rsid w:val="004C0DAD"/>
    <w:rsid w:val="004C0F4B"/>
    <w:rsid w:val="004C1AF6"/>
    <w:rsid w:val="004C229B"/>
    <w:rsid w:val="004C2E68"/>
    <w:rsid w:val="004C4284"/>
    <w:rsid w:val="004C4E5E"/>
    <w:rsid w:val="004C4F26"/>
    <w:rsid w:val="004C519D"/>
    <w:rsid w:val="004C5620"/>
    <w:rsid w:val="004C5B56"/>
    <w:rsid w:val="004C64A2"/>
    <w:rsid w:val="004C6618"/>
    <w:rsid w:val="004C672A"/>
    <w:rsid w:val="004C6F6F"/>
    <w:rsid w:val="004C76BD"/>
    <w:rsid w:val="004C7BDC"/>
    <w:rsid w:val="004D0199"/>
    <w:rsid w:val="004D025B"/>
    <w:rsid w:val="004D0706"/>
    <w:rsid w:val="004D0BB8"/>
    <w:rsid w:val="004D0FE9"/>
    <w:rsid w:val="004D1251"/>
    <w:rsid w:val="004D1295"/>
    <w:rsid w:val="004D2A7E"/>
    <w:rsid w:val="004D2D72"/>
    <w:rsid w:val="004D2F0B"/>
    <w:rsid w:val="004D2FB2"/>
    <w:rsid w:val="004D3209"/>
    <w:rsid w:val="004D37F9"/>
    <w:rsid w:val="004D3871"/>
    <w:rsid w:val="004D39F1"/>
    <w:rsid w:val="004D3A5C"/>
    <w:rsid w:val="004D5047"/>
    <w:rsid w:val="004D51EA"/>
    <w:rsid w:val="004D55A0"/>
    <w:rsid w:val="004D5AE9"/>
    <w:rsid w:val="004D652A"/>
    <w:rsid w:val="004D6C96"/>
    <w:rsid w:val="004D7D17"/>
    <w:rsid w:val="004D7EFF"/>
    <w:rsid w:val="004E01DC"/>
    <w:rsid w:val="004E03BE"/>
    <w:rsid w:val="004E13BE"/>
    <w:rsid w:val="004E26EE"/>
    <w:rsid w:val="004E2884"/>
    <w:rsid w:val="004E2903"/>
    <w:rsid w:val="004E2D1C"/>
    <w:rsid w:val="004E33C5"/>
    <w:rsid w:val="004E3601"/>
    <w:rsid w:val="004E4363"/>
    <w:rsid w:val="004E462A"/>
    <w:rsid w:val="004E4851"/>
    <w:rsid w:val="004E48B4"/>
    <w:rsid w:val="004E612C"/>
    <w:rsid w:val="004E772C"/>
    <w:rsid w:val="004E78F0"/>
    <w:rsid w:val="004F0E39"/>
    <w:rsid w:val="004F156B"/>
    <w:rsid w:val="004F1C3C"/>
    <w:rsid w:val="004F1F59"/>
    <w:rsid w:val="004F3B1A"/>
    <w:rsid w:val="004F4105"/>
    <w:rsid w:val="004F4908"/>
    <w:rsid w:val="004F4B92"/>
    <w:rsid w:val="004F4F03"/>
    <w:rsid w:val="004F541A"/>
    <w:rsid w:val="004F5525"/>
    <w:rsid w:val="004F556D"/>
    <w:rsid w:val="004F55E5"/>
    <w:rsid w:val="004F5D10"/>
    <w:rsid w:val="004F6423"/>
    <w:rsid w:val="004F68A5"/>
    <w:rsid w:val="004F6E2C"/>
    <w:rsid w:val="004F76EF"/>
    <w:rsid w:val="004F7A63"/>
    <w:rsid w:val="004F7C69"/>
    <w:rsid w:val="004F7C7C"/>
    <w:rsid w:val="00500038"/>
    <w:rsid w:val="00500D17"/>
    <w:rsid w:val="00501839"/>
    <w:rsid w:val="0050222D"/>
    <w:rsid w:val="00503328"/>
    <w:rsid w:val="00503E54"/>
    <w:rsid w:val="00503FA7"/>
    <w:rsid w:val="0050463C"/>
    <w:rsid w:val="005048AC"/>
    <w:rsid w:val="00505D65"/>
    <w:rsid w:val="0050600E"/>
    <w:rsid w:val="00506212"/>
    <w:rsid w:val="00506AD9"/>
    <w:rsid w:val="005074E6"/>
    <w:rsid w:val="00507640"/>
    <w:rsid w:val="00507996"/>
    <w:rsid w:val="005079D3"/>
    <w:rsid w:val="005079D6"/>
    <w:rsid w:val="00507D9A"/>
    <w:rsid w:val="0051015A"/>
    <w:rsid w:val="0051095D"/>
    <w:rsid w:val="005110BE"/>
    <w:rsid w:val="0051146E"/>
    <w:rsid w:val="00511AF5"/>
    <w:rsid w:val="00512536"/>
    <w:rsid w:val="005131E1"/>
    <w:rsid w:val="0051404C"/>
    <w:rsid w:val="00514154"/>
    <w:rsid w:val="00515322"/>
    <w:rsid w:val="005160C7"/>
    <w:rsid w:val="005163C9"/>
    <w:rsid w:val="00516716"/>
    <w:rsid w:val="00516854"/>
    <w:rsid w:val="005171D7"/>
    <w:rsid w:val="0051748F"/>
    <w:rsid w:val="005175FB"/>
    <w:rsid w:val="0051766E"/>
    <w:rsid w:val="00517C17"/>
    <w:rsid w:val="00520A3C"/>
    <w:rsid w:val="00520C03"/>
    <w:rsid w:val="005213E3"/>
    <w:rsid w:val="0052148B"/>
    <w:rsid w:val="00521933"/>
    <w:rsid w:val="00521C15"/>
    <w:rsid w:val="005224EB"/>
    <w:rsid w:val="005229B1"/>
    <w:rsid w:val="00522BFB"/>
    <w:rsid w:val="00522F28"/>
    <w:rsid w:val="00523901"/>
    <w:rsid w:val="00523D36"/>
    <w:rsid w:val="0052447F"/>
    <w:rsid w:val="0052481A"/>
    <w:rsid w:val="00524C7D"/>
    <w:rsid w:val="00525860"/>
    <w:rsid w:val="005258E6"/>
    <w:rsid w:val="00525971"/>
    <w:rsid w:val="00525B41"/>
    <w:rsid w:val="00525BF7"/>
    <w:rsid w:val="00525C32"/>
    <w:rsid w:val="005261B5"/>
    <w:rsid w:val="005270F6"/>
    <w:rsid w:val="0052752D"/>
    <w:rsid w:val="00527ED7"/>
    <w:rsid w:val="00530437"/>
    <w:rsid w:val="005308C4"/>
    <w:rsid w:val="00530B41"/>
    <w:rsid w:val="005317F3"/>
    <w:rsid w:val="00531811"/>
    <w:rsid w:val="00531E67"/>
    <w:rsid w:val="0053206B"/>
    <w:rsid w:val="00532CB9"/>
    <w:rsid w:val="00533264"/>
    <w:rsid w:val="00533DBE"/>
    <w:rsid w:val="00533E4D"/>
    <w:rsid w:val="005341A9"/>
    <w:rsid w:val="00534597"/>
    <w:rsid w:val="00534A08"/>
    <w:rsid w:val="0053519D"/>
    <w:rsid w:val="00535DFA"/>
    <w:rsid w:val="00536244"/>
    <w:rsid w:val="00537327"/>
    <w:rsid w:val="0053747B"/>
    <w:rsid w:val="00537A00"/>
    <w:rsid w:val="00537EBF"/>
    <w:rsid w:val="00537F45"/>
    <w:rsid w:val="00540103"/>
    <w:rsid w:val="00540EC2"/>
    <w:rsid w:val="0054173E"/>
    <w:rsid w:val="005418B3"/>
    <w:rsid w:val="0054197B"/>
    <w:rsid w:val="00541C14"/>
    <w:rsid w:val="00541F90"/>
    <w:rsid w:val="005424E1"/>
    <w:rsid w:val="0054287D"/>
    <w:rsid w:val="005437AA"/>
    <w:rsid w:val="00543DB0"/>
    <w:rsid w:val="00544433"/>
    <w:rsid w:val="00544A77"/>
    <w:rsid w:val="00544D65"/>
    <w:rsid w:val="005464CF"/>
    <w:rsid w:val="0054653A"/>
    <w:rsid w:val="00546574"/>
    <w:rsid w:val="005465B1"/>
    <w:rsid w:val="00546674"/>
    <w:rsid w:val="005466A8"/>
    <w:rsid w:val="005469B8"/>
    <w:rsid w:val="00546A7D"/>
    <w:rsid w:val="00546B26"/>
    <w:rsid w:val="00546F48"/>
    <w:rsid w:val="00550264"/>
    <w:rsid w:val="005504F2"/>
    <w:rsid w:val="00550D93"/>
    <w:rsid w:val="00552F42"/>
    <w:rsid w:val="00553D2D"/>
    <w:rsid w:val="00554A52"/>
    <w:rsid w:val="00556668"/>
    <w:rsid w:val="00557513"/>
    <w:rsid w:val="0055753B"/>
    <w:rsid w:val="0056089C"/>
    <w:rsid w:val="0056115D"/>
    <w:rsid w:val="005622A4"/>
    <w:rsid w:val="00562510"/>
    <w:rsid w:val="00562B81"/>
    <w:rsid w:val="00562E19"/>
    <w:rsid w:val="00562F4C"/>
    <w:rsid w:val="005639A6"/>
    <w:rsid w:val="005642D8"/>
    <w:rsid w:val="00564626"/>
    <w:rsid w:val="0056558C"/>
    <w:rsid w:val="0056559F"/>
    <w:rsid w:val="00565B0A"/>
    <w:rsid w:val="00565BF2"/>
    <w:rsid w:val="00565EC9"/>
    <w:rsid w:val="00566309"/>
    <w:rsid w:val="005667EF"/>
    <w:rsid w:val="005701D6"/>
    <w:rsid w:val="005708AC"/>
    <w:rsid w:val="00570D39"/>
    <w:rsid w:val="00571B14"/>
    <w:rsid w:val="00571EBA"/>
    <w:rsid w:val="00572362"/>
    <w:rsid w:val="00572653"/>
    <w:rsid w:val="00572859"/>
    <w:rsid w:val="00573743"/>
    <w:rsid w:val="0057377D"/>
    <w:rsid w:val="00573A69"/>
    <w:rsid w:val="00573C61"/>
    <w:rsid w:val="00574EED"/>
    <w:rsid w:val="0057573C"/>
    <w:rsid w:val="0057636B"/>
    <w:rsid w:val="005764EC"/>
    <w:rsid w:val="00576D90"/>
    <w:rsid w:val="00577CC8"/>
    <w:rsid w:val="005802A9"/>
    <w:rsid w:val="005804F2"/>
    <w:rsid w:val="00580722"/>
    <w:rsid w:val="005808D3"/>
    <w:rsid w:val="00580A4E"/>
    <w:rsid w:val="00580C7E"/>
    <w:rsid w:val="00580E97"/>
    <w:rsid w:val="00581B7E"/>
    <w:rsid w:val="00581CD0"/>
    <w:rsid w:val="00582387"/>
    <w:rsid w:val="00582942"/>
    <w:rsid w:val="00582EEA"/>
    <w:rsid w:val="0058308F"/>
    <w:rsid w:val="00584537"/>
    <w:rsid w:val="005852AB"/>
    <w:rsid w:val="00585A5E"/>
    <w:rsid w:val="00585FA4"/>
    <w:rsid w:val="005860D7"/>
    <w:rsid w:val="00586706"/>
    <w:rsid w:val="005869F3"/>
    <w:rsid w:val="00586FC2"/>
    <w:rsid w:val="0058743B"/>
    <w:rsid w:val="00587BA5"/>
    <w:rsid w:val="005907D3"/>
    <w:rsid w:val="00590A27"/>
    <w:rsid w:val="0059117F"/>
    <w:rsid w:val="00591334"/>
    <w:rsid w:val="00591EC5"/>
    <w:rsid w:val="00591FF1"/>
    <w:rsid w:val="00592929"/>
    <w:rsid w:val="00592E4D"/>
    <w:rsid w:val="00592FF8"/>
    <w:rsid w:val="005939CB"/>
    <w:rsid w:val="005940B3"/>
    <w:rsid w:val="005940B6"/>
    <w:rsid w:val="0059447D"/>
    <w:rsid w:val="005945F2"/>
    <w:rsid w:val="005951EF"/>
    <w:rsid w:val="00595488"/>
    <w:rsid w:val="005955C3"/>
    <w:rsid w:val="00595928"/>
    <w:rsid w:val="00595B9C"/>
    <w:rsid w:val="00595C9A"/>
    <w:rsid w:val="00596949"/>
    <w:rsid w:val="00596C91"/>
    <w:rsid w:val="0059714B"/>
    <w:rsid w:val="005972C8"/>
    <w:rsid w:val="0059772E"/>
    <w:rsid w:val="00597AF4"/>
    <w:rsid w:val="00597C9C"/>
    <w:rsid w:val="005A01F9"/>
    <w:rsid w:val="005A0AA5"/>
    <w:rsid w:val="005A1435"/>
    <w:rsid w:val="005A22D1"/>
    <w:rsid w:val="005A2923"/>
    <w:rsid w:val="005A3BA0"/>
    <w:rsid w:val="005A41CF"/>
    <w:rsid w:val="005A459F"/>
    <w:rsid w:val="005A46EF"/>
    <w:rsid w:val="005A4AD6"/>
    <w:rsid w:val="005A4DF4"/>
    <w:rsid w:val="005A56B2"/>
    <w:rsid w:val="005A6771"/>
    <w:rsid w:val="005A6809"/>
    <w:rsid w:val="005A6B51"/>
    <w:rsid w:val="005A6C10"/>
    <w:rsid w:val="005A7471"/>
    <w:rsid w:val="005A760F"/>
    <w:rsid w:val="005A7766"/>
    <w:rsid w:val="005A7D50"/>
    <w:rsid w:val="005B007A"/>
    <w:rsid w:val="005B093A"/>
    <w:rsid w:val="005B0E8C"/>
    <w:rsid w:val="005B0F09"/>
    <w:rsid w:val="005B10DA"/>
    <w:rsid w:val="005B126C"/>
    <w:rsid w:val="005B13E3"/>
    <w:rsid w:val="005B15D5"/>
    <w:rsid w:val="005B1989"/>
    <w:rsid w:val="005B2CD0"/>
    <w:rsid w:val="005B2D47"/>
    <w:rsid w:val="005B32C1"/>
    <w:rsid w:val="005B398C"/>
    <w:rsid w:val="005B40AC"/>
    <w:rsid w:val="005B433B"/>
    <w:rsid w:val="005B4C10"/>
    <w:rsid w:val="005B5E15"/>
    <w:rsid w:val="005B6C36"/>
    <w:rsid w:val="005B7169"/>
    <w:rsid w:val="005B7353"/>
    <w:rsid w:val="005C03DD"/>
    <w:rsid w:val="005C0980"/>
    <w:rsid w:val="005C0D55"/>
    <w:rsid w:val="005C0DAC"/>
    <w:rsid w:val="005C2B46"/>
    <w:rsid w:val="005C2E51"/>
    <w:rsid w:val="005C3036"/>
    <w:rsid w:val="005C315B"/>
    <w:rsid w:val="005C36E9"/>
    <w:rsid w:val="005C37CF"/>
    <w:rsid w:val="005C517A"/>
    <w:rsid w:val="005C5BC4"/>
    <w:rsid w:val="005C5E0E"/>
    <w:rsid w:val="005C6663"/>
    <w:rsid w:val="005C767E"/>
    <w:rsid w:val="005C7A41"/>
    <w:rsid w:val="005D035A"/>
    <w:rsid w:val="005D1576"/>
    <w:rsid w:val="005D19BE"/>
    <w:rsid w:val="005D19CB"/>
    <w:rsid w:val="005D24C5"/>
    <w:rsid w:val="005D27AA"/>
    <w:rsid w:val="005D3E46"/>
    <w:rsid w:val="005D4D97"/>
    <w:rsid w:val="005D5BC5"/>
    <w:rsid w:val="005D6035"/>
    <w:rsid w:val="005D61EB"/>
    <w:rsid w:val="005D6A5A"/>
    <w:rsid w:val="005D6CF7"/>
    <w:rsid w:val="005D72C5"/>
    <w:rsid w:val="005D734B"/>
    <w:rsid w:val="005D790D"/>
    <w:rsid w:val="005D7D64"/>
    <w:rsid w:val="005E022D"/>
    <w:rsid w:val="005E12EF"/>
    <w:rsid w:val="005E1488"/>
    <w:rsid w:val="005E175F"/>
    <w:rsid w:val="005E18DF"/>
    <w:rsid w:val="005E1D9E"/>
    <w:rsid w:val="005E1F02"/>
    <w:rsid w:val="005E1F0D"/>
    <w:rsid w:val="005E2140"/>
    <w:rsid w:val="005E28E7"/>
    <w:rsid w:val="005E3268"/>
    <w:rsid w:val="005E3335"/>
    <w:rsid w:val="005E3671"/>
    <w:rsid w:val="005E370C"/>
    <w:rsid w:val="005E3E9D"/>
    <w:rsid w:val="005E40CD"/>
    <w:rsid w:val="005E4983"/>
    <w:rsid w:val="005E4CFC"/>
    <w:rsid w:val="005E4DE4"/>
    <w:rsid w:val="005E4FE1"/>
    <w:rsid w:val="005E5847"/>
    <w:rsid w:val="005E5BC7"/>
    <w:rsid w:val="005E690D"/>
    <w:rsid w:val="005E6D4B"/>
    <w:rsid w:val="005E7143"/>
    <w:rsid w:val="005F082D"/>
    <w:rsid w:val="005F1FE1"/>
    <w:rsid w:val="005F2806"/>
    <w:rsid w:val="005F2B6D"/>
    <w:rsid w:val="005F2FE7"/>
    <w:rsid w:val="005F3C96"/>
    <w:rsid w:val="005F60C5"/>
    <w:rsid w:val="005F628C"/>
    <w:rsid w:val="005F72BA"/>
    <w:rsid w:val="005F7CAA"/>
    <w:rsid w:val="0060038A"/>
    <w:rsid w:val="00601233"/>
    <w:rsid w:val="006014BD"/>
    <w:rsid w:val="006025BD"/>
    <w:rsid w:val="00603425"/>
    <w:rsid w:val="00603B9D"/>
    <w:rsid w:val="00603BAA"/>
    <w:rsid w:val="00604BCA"/>
    <w:rsid w:val="00604F57"/>
    <w:rsid w:val="00605287"/>
    <w:rsid w:val="00605AA3"/>
    <w:rsid w:val="006070C9"/>
    <w:rsid w:val="0060724C"/>
    <w:rsid w:val="0060773F"/>
    <w:rsid w:val="00607E22"/>
    <w:rsid w:val="00610036"/>
    <w:rsid w:val="00610608"/>
    <w:rsid w:val="0061114B"/>
    <w:rsid w:val="0061156F"/>
    <w:rsid w:val="00611CB0"/>
    <w:rsid w:val="0061231C"/>
    <w:rsid w:val="00612443"/>
    <w:rsid w:val="00612735"/>
    <w:rsid w:val="00612753"/>
    <w:rsid w:val="00612BAB"/>
    <w:rsid w:val="00613C41"/>
    <w:rsid w:val="006146BC"/>
    <w:rsid w:val="006159FD"/>
    <w:rsid w:val="006164D4"/>
    <w:rsid w:val="00616FC2"/>
    <w:rsid w:val="00617243"/>
    <w:rsid w:val="00620476"/>
    <w:rsid w:val="00620788"/>
    <w:rsid w:val="00621D00"/>
    <w:rsid w:val="00622112"/>
    <w:rsid w:val="00622463"/>
    <w:rsid w:val="006224E4"/>
    <w:rsid w:val="00622D28"/>
    <w:rsid w:val="00622F2F"/>
    <w:rsid w:val="00623142"/>
    <w:rsid w:val="006233E3"/>
    <w:rsid w:val="0062342E"/>
    <w:rsid w:val="00624F89"/>
    <w:rsid w:val="00624F9A"/>
    <w:rsid w:val="006254AB"/>
    <w:rsid w:val="0062574B"/>
    <w:rsid w:val="0062593B"/>
    <w:rsid w:val="00626721"/>
    <w:rsid w:val="006268CF"/>
    <w:rsid w:val="00626907"/>
    <w:rsid w:val="00627237"/>
    <w:rsid w:val="00627B41"/>
    <w:rsid w:val="00627B9B"/>
    <w:rsid w:val="00627BC1"/>
    <w:rsid w:val="00627FEC"/>
    <w:rsid w:val="00630139"/>
    <w:rsid w:val="0063065D"/>
    <w:rsid w:val="0063078B"/>
    <w:rsid w:val="00630C51"/>
    <w:rsid w:val="00630EAF"/>
    <w:rsid w:val="00630F76"/>
    <w:rsid w:val="0063185A"/>
    <w:rsid w:val="006318B1"/>
    <w:rsid w:val="00631BF6"/>
    <w:rsid w:val="00632104"/>
    <w:rsid w:val="00632135"/>
    <w:rsid w:val="00632BD7"/>
    <w:rsid w:val="006330C3"/>
    <w:rsid w:val="006333EF"/>
    <w:rsid w:val="00633520"/>
    <w:rsid w:val="00634BB6"/>
    <w:rsid w:val="00634D34"/>
    <w:rsid w:val="006351EF"/>
    <w:rsid w:val="006352EE"/>
    <w:rsid w:val="00635477"/>
    <w:rsid w:val="00635494"/>
    <w:rsid w:val="006362B2"/>
    <w:rsid w:val="006362E7"/>
    <w:rsid w:val="006365C7"/>
    <w:rsid w:val="00636E5E"/>
    <w:rsid w:val="00636F6B"/>
    <w:rsid w:val="00637F43"/>
    <w:rsid w:val="00640526"/>
    <w:rsid w:val="0064068D"/>
    <w:rsid w:val="00640F1F"/>
    <w:rsid w:val="00641BC8"/>
    <w:rsid w:val="00641CFB"/>
    <w:rsid w:val="006424D7"/>
    <w:rsid w:val="00642666"/>
    <w:rsid w:val="006429FE"/>
    <w:rsid w:val="00643617"/>
    <w:rsid w:val="0064370C"/>
    <w:rsid w:val="00644597"/>
    <w:rsid w:val="006449C0"/>
    <w:rsid w:val="0064542A"/>
    <w:rsid w:val="00645C60"/>
    <w:rsid w:val="00645C97"/>
    <w:rsid w:val="00645F73"/>
    <w:rsid w:val="00646134"/>
    <w:rsid w:val="006467BB"/>
    <w:rsid w:val="00647429"/>
    <w:rsid w:val="006507B1"/>
    <w:rsid w:val="006512EF"/>
    <w:rsid w:val="00651A96"/>
    <w:rsid w:val="00651A9B"/>
    <w:rsid w:val="006521A0"/>
    <w:rsid w:val="006523B1"/>
    <w:rsid w:val="0065275B"/>
    <w:rsid w:val="0065290B"/>
    <w:rsid w:val="00652CBE"/>
    <w:rsid w:val="00653808"/>
    <w:rsid w:val="00654834"/>
    <w:rsid w:val="0065512F"/>
    <w:rsid w:val="00655D12"/>
    <w:rsid w:val="00657E64"/>
    <w:rsid w:val="006604D3"/>
    <w:rsid w:val="006607F2"/>
    <w:rsid w:val="00661D14"/>
    <w:rsid w:val="006620D1"/>
    <w:rsid w:val="00662E5F"/>
    <w:rsid w:val="00663078"/>
    <w:rsid w:val="0066315B"/>
    <w:rsid w:val="006636B2"/>
    <w:rsid w:val="00663DD6"/>
    <w:rsid w:val="00664BCD"/>
    <w:rsid w:val="0066512B"/>
    <w:rsid w:val="006653A0"/>
    <w:rsid w:val="006668B8"/>
    <w:rsid w:val="00667827"/>
    <w:rsid w:val="00667D00"/>
    <w:rsid w:val="00667D94"/>
    <w:rsid w:val="00670392"/>
    <w:rsid w:val="00671C59"/>
    <w:rsid w:val="00671E05"/>
    <w:rsid w:val="00672374"/>
    <w:rsid w:val="0067293E"/>
    <w:rsid w:val="00673803"/>
    <w:rsid w:val="00673BD7"/>
    <w:rsid w:val="00673D59"/>
    <w:rsid w:val="0067461D"/>
    <w:rsid w:val="00674A18"/>
    <w:rsid w:val="00674AA8"/>
    <w:rsid w:val="006751C2"/>
    <w:rsid w:val="00675228"/>
    <w:rsid w:val="0067559F"/>
    <w:rsid w:val="006762C2"/>
    <w:rsid w:val="0067686F"/>
    <w:rsid w:val="00676D40"/>
    <w:rsid w:val="0067745C"/>
    <w:rsid w:val="006802D3"/>
    <w:rsid w:val="0068049C"/>
    <w:rsid w:val="006804E3"/>
    <w:rsid w:val="00680728"/>
    <w:rsid w:val="006807C9"/>
    <w:rsid w:val="00680BFF"/>
    <w:rsid w:val="006812D5"/>
    <w:rsid w:val="00681A3C"/>
    <w:rsid w:val="006820AB"/>
    <w:rsid w:val="00683B6B"/>
    <w:rsid w:val="00684EB1"/>
    <w:rsid w:val="00684F63"/>
    <w:rsid w:val="0068551E"/>
    <w:rsid w:val="00685D57"/>
    <w:rsid w:val="00686569"/>
    <w:rsid w:val="006866F3"/>
    <w:rsid w:val="006869E1"/>
    <w:rsid w:val="00686C99"/>
    <w:rsid w:val="00687D76"/>
    <w:rsid w:val="00690B5A"/>
    <w:rsid w:val="00691334"/>
    <w:rsid w:val="00691E3C"/>
    <w:rsid w:val="0069234F"/>
    <w:rsid w:val="006923D5"/>
    <w:rsid w:val="00692502"/>
    <w:rsid w:val="0069252B"/>
    <w:rsid w:val="00692BA5"/>
    <w:rsid w:val="006937A4"/>
    <w:rsid w:val="006938ED"/>
    <w:rsid w:val="00693EBA"/>
    <w:rsid w:val="006945D1"/>
    <w:rsid w:val="006945F8"/>
    <w:rsid w:val="006951AC"/>
    <w:rsid w:val="0069555D"/>
    <w:rsid w:val="0069616C"/>
    <w:rsid w:val="00696E41"/>
    <w:rsid w:val="006A0382"/>
    <w:rsid w:val="006A055E"/>
    <w:rsid w:val="006A1121"/>
    <w:rsid w:val="006A18F4"/>
    <w:rsid w:val="006A1D83"/>
    <w:rsid w:val="006A23D3"/>
    <w:rsid w:val="006A2405"/>
    <w:rsid w:val="006A27CD"/>
    <w:rsid w:val="006A3958"/>
    <w:rsid w:val="006A3A6A"/>
    <w:rsid w:val="006A43BB"/>
    <w:rsid w:val="006A4714"/>
    <w:rsid w:val="006A4B68"/>
    <w:rsid w:val="006A5411"/>
    <w:rsid w:val="006A541F"/>
    <w:rsid w:val="006A57AC"/>
    <w:rsid w:val="006A57C5"/>
    <w:rsid w:val="006A6075"/>
    <w:rsid w:val="006A68B9"/>
    <w:rsid w:val="006A696F"/>
    <w:rsid w:val="006A69E5"/>
    <w:rsid w:val="006A6A81"/>
    <w:rsid w:val="006A6E64"/>
    <w:rsid w:val="006A7DEE"/>
    <w:rsid w:val="006A7FC1"/>
    <w:rsid w:val="006B0957"/>
    <w:rsid w:val="006B0A56"/>
    <w:rsid w:val="006B0AF0"/>
    <w:rsid w:val="006B0BD8"/>
    <w:rsid w:val="006B1B42"/>
    <w:rsid w:val="006B27CB"/>
    <w:rsid w:val="006B2E22"/>
    <w:rsid w:val="006B3074"/>
    <w:rsid w:val="006B3369"/>
    <w:rsid w:val="006B394C"/>
    <w:rsid w:val="006B3E49"/>
    <w:rsid w:val="006B4332"/>
    <w:rsid w:val="006B4829"/>
    <w:rsid w:val="006B4AC3"/>
    <w:rsid w:val="006B4FDA"/>
    <w:rsid w:val="006B518D"/>
    <w:rsid w:val="006B5FF9"/>
    <w:rsid w:val="006B665A"/>
    <w:rsid w:val="006B6A85"/>
    <w:rsid w:val="006B7290"/>
    <w:rsid w:val="006B7AB2"/>
    <w:rsid w:val="006C0211"/>
    <w:rsid w:val="006C08CF"/>
    <w:rsid w:val="006C1078"/>
    <w:rsid w:val="006C19AB"/>
    <w:rsid w:val="006C20EC"/>
    <w:rsid w:val="006C359E"/>
    <w:rsid w:val="006C43DA"/>
    <w:rsid w:val="006C4780"/>
    <w:rsid w:val="006C5136"/>
    <w:rsid w:val="006C54FF"/>
    <w:rsid w:val="006C56AF"/>
    <w:rsid w:val="006C6179"/>
    <w:rsid w:val="006C6225"/>
    <w:rsid w:val="006C640F"/>
    <w:rsid w:val="006C653A"/>
    <w:rsid w:val="006C7112"/>
    <w:rsid w:val="006C75B8"/>
    <w:rsid w:val="006C762F"/>
    <w:rsid w:val="006D08C6"/>
    <w:rsid w:val="006D1735"/>
    <w:rsid w:val="006D1C27"/>
    <w:rsid w:val="006D1F2C"/>
    <w:rsid w:val="006D2253"/>
    <w:rsid w:val="006D2353"/>
    <w:rsid w:val="006D2D4E"/>
    <w:rsid w:val="006D3510"/>
    <w:rsid w:val="006D3E97"/>
    <w:rsid w:val="006D3FBB"/>
    <w:rsid w:val="006D3FF3"/>
    <w:rsid w:val="006D522D"/>
    <w:rsid w:val="006D62F1"/>
    <w:rsid w:val="006D644F"/>
    <w:rsid w:val="006D6740"/>
    <w:rsid w:val="006D67F9"/>
    <w:rsid w:val="006D6B88"/>
    <w:rsid w:val="006D785C"/>
    <w:rsid w:val="006D7A65"/>
    <w:rsid w:val="006D7D7E"/>
    <w:rsid w:val="006E095B"/>
    <w:rsid w:val="006E0E98"/>
    <w:rsid w:val="006E111C"/>
    <w:rsid w:val="006E118D"/>
    <w:rsid w:val="006E1895"/>
    <w:rsid w:val="006E2589"/>
    <w:rsid w:val="006E2BCE"/>
    <w:rsid w:val="006E2CE5"/>
    <w:rsid w:val="006E317D"/>
    <w:rsid w:val="006E31A5"/>
    <w:rsid w:val="006E372D"/>
    <w:rsid w:val="006E49E3"/>
    <w:rsid w:val="006E4E7F"/>
    <w:rsid w:val="006E517D"/>
    <w:rsid w:val="006E58C4"/>
    <w:rsid w:val="006E788B"/>
    <w:rsid w:val="006F098D"/>
    <w:rsid w:val="006F2AF5"/>
    <w:rsid w:val="006F2F58"/>
    <w:rsid w:val="006F320B"/>
    <w:rsid w:val="006F3210"/>
    <w:rsid w:val="006F3FCE"/>
    <w:rsid w:val="006F41A6"/>
    <w:rsid w:val="006F4211"/>
    <w:rsid w:val="006F451B"/>
    <w:rsid w:val="006F4A03"/>
    <w:rsid w:val="006F4E1E"/>
    <w:rsid w:val="006F4E96"/>
    <w:rsid w:val="006F521D"/>
    <w:rsid w:val="006F5B30"/>
    <w:rsid w:val="006F5F24"/>
    <w:rsid w:val="006F62A1"/>
    <w:rsid w:val="006F7086"/>
    <w:rsid w:val="006F7692"/>
    <w:rsid w:val="006F7871"/>
    <w:rsid w:val="006F7C0F"/>
    <w:rsid w:val="00701446"/>
    <w:rsid w:val="00701F5B"/>
    <w:rsid w:val="00702707"/>
    <w:rsid w:val="007037FB"/>
    <w:rsid w:val="00703971"/>
    <w:rsid w:val="00703F64"/>
    <w:rsid w:val="007044B1"/>
    <w:rsid w:val="00704543"/>
    <w:rsid w:val="00704BFC"/>
    <w:rsid w:val="00704E07"/>
    <w:rsid w:val="00704EE0"/>
    <w:rsid w:val="007053ED"/>
    <w:rsid w:val="0070586B"/>
    <w:rsid w:val="00705BF7"/>
    <w:rsid w:val="00705FCA"/>
    <w:rsid w:val="00705FE5"/>
    <w:rsid w:val="00706845"/>
    <w:rsid w:val="00706855"/>
    <w:rsid w:val="00706ED2"/>
    <w:rsid w:val="0070733D"/>
    <w:rsid w:val="00707589"/>
    <w:rsid w:val="00707C25"/>
    <w:rsid w:val="0071034D"/>
    <w:rsid w:val="0071095F"/>
    <w:rsid w:val="00710BDE"/>
    <w:rsid w:val="00711C64"/>
    <w:rsid w:val="00713707"/>
    <w:rsid w:val="00713810"/>
    <w:rsid w:val="00713AF7"/>
    <w:rsid w:val="00714DC7"/>
    <w:rsid w:val="007150DB"/>
    <w:rsid w:val="007154AA"/>
    <w:rsid w:val="0071584E"/>
    <w:rsid w:val="00715A2D"/>
    <w:rsid w:val="00715D3A"/>
    <w:rsid w:val="00715DAF"/>
    <w:rsid w:val="007160E1"/>
    <w:rsid w:val="00716E2B"/>
    <w:rsid w:val="007174EC"/>
    <w:rsid w:val="00717795"/>
    <w:rsid w:val="00717843"/>
    <w:rsid w:val="00717C43"/>
    <w:rsid w:val="00717D4E"/>
    <w:rsid w:val="007201A9"/>
    <w:rsid w:val="007202B4"/>
    <w:rsid w:val="00720C21"/>
    <w:rsid w:val="00721193"/>
    <w:rsid w:val="007214BE"/>
    <w:rsid w:val="00721936"/>
    <w:rsid w:val="00721D31"/>
    <w:rsid w:val="00721D5B"/>
    <w:rsid w:val="007226D3"/>
    <w:rsid w:val="00722BAC"/>
    <w:rsid w:val="00723063"/>
    <w:rsid w:val="00723639"/>
    <w:rsid w:val="00723ABE"/>
    <w:rsid w:val="007252F4"/>
    <w:rsid w:val="00725946"/>
    <w:rsid w:val="00725EF4"/>
    <w:rsid w:val="007261C0"/>
    <w:rsid w:val="00726234"/>
    <w:rsid w:val="007265E0"/>
    <w:rsid w:val="00726698"/>
    <w:rsid w:val="007267CC"/>
    <w:rsid w:val="00726C94"/>
    <w:rsid w:val="00727D5C"/>
    <w:rsid w:val="007302A5"/>
    <w:rsid w:val="00730C50"/>
    <w:rsid w:val="00731755"/>
    <w:rsid w:val="00731CF3"/>
    <w:rsid w:val="00732502"/>
    <w:rsid w:val="00733699"/>
    <w:rsid w:val="007336B1"/>
    <w:rsid w:val="00734C2F"/>
    <w:rsid w:val="00734CF7"/>
    <w:rsid w:val="0073517D"/>
    <w:rsid w:val="00736FF5"/>
    <w:rsid w:val="0073775A"/>
    <w:rsid w:val="007379F8"/>
    <w:rsid w:val="007379FC"/>
    <w:rsid w:val="00737A99"/>
    <w:rsid w:val="00737B43"/>
    <w:rsid w:val="00737BD2"/>
    <w:rsid w:val="00737F9D"/>
    <w:rsid w:val="0074077B"/>
    <w:rsid w:val="0074087E"/>
    <w:rsid w:val="00740ACD"/>
    <w:rsid w:val="00740DDF"/>
    <w:rsid w:val="0074124B"/>
    <w:rsid w:val="0074164A"/>
    <w:rsid w:val="00741EC2"/>
    <w:rsid w:val="007420BC"/>
    <w:rsid w:val="007420F2"/>
    <w:rsid w:val="00742291"/>
    <w:rsid w:val="0074292E"/>
    <w:rsid w:val="00742E16"/>
    <w:rsid w:val="00743C04"/>
    <w:rsid w:val="00743ECB"/>
    <w:rsid w:val="00744C1F"/>
    <w:rsid w:val="00744C96"/>
    <w:rsid w:val="00744E4B"/>
    <w:rsid w:val="00746017"/>
    <w:rsid w:val="00746606"/>
    <w:rsid w:val="00746757"/>
    <w:rsid w:val="00746D43"/>
    <w:rsid w:val="00746D60"/>
    <w:rsid w:val="0074746A"/>
    <w:rsid w:val="007474D0"/>
    <w:rsid w:val="007475BE"/>
    <w:rsid w:val="0075039C"/>
    <w:rsid w:val="00750B0C"/>
    <w:rsid w:val="0075101E"/>
    <w:rsid w:val="0075204F"/>
    <w:rsid w:val="00752658"/>
    <w:rsid w:val="0075318F"/>
    <w:rsid w:val="007536BD"/>
    <w:rsid w:val="0075378E"/>
    <w:rsid w:val="0075434F"/>
    <w:rsid w:val="007545E3"/>
    <w:rsid w:val="00754A3C"/>
    <w:rsid w:val="007557F2"/>
    <w:rsid w:val="00755AB8"/>
    <w:rsid w:val="00755D69"/>
    <w:rsid w:val="00755F8C"/>
    <w:rsid w:val="00756801"/>
    <w:rsid w:val="00756963"/>
    <w:rsid w:val="00756D6E"/>
    <w:rsid w:val="00757C22"/>
    <w:rsid w:val="007600AC"/>
    <w:rsid w:val="00760225"/>
    <w:rsid w:val="00760514"/>
    <w:rsid w:val="007607E7"/>
    <w:rsid w:val="00761165"/>
    <w:rsid w:val="00761285"/>
    <w:rsid w:val="0076149E"/>
    <w:rsid w:val="00761B61"/>
    <w:rsid w:val="007620FB"/>
    <w:rsid w:val="007627B4"/>
    <w:rsid w:val="00764E1C"/>
    <w:rsid w:val="00765801"/>
    <w:rsid w:val="00765891"/>
    <w:rsid w:val="00765CE8"/>
    <w:rsid w:val="00765FF7"/>
    <w:rsid w:val="00766DB9"/>
    <w:rsid w:val="00766EA6"/>
    <w:rsid w:val="007670AA"/>
    <w:rsid w:val="0077052C"/>
    <w:rsid w:val="00770A4D"/>
    <w:rsid w:val="007710B3"/>
    <w:rsid w:val="007710F7"/>
    <w:rsid w:val="00771460"/>
    <w:rsid w:val="00772FB3"/>
    <w:rsid w:val="007734E6"/>
    <w:rsid w:val="00773E62"/>
    <w:rsid w:val="00773E6F"/>
    <w:rsid w:val="00773F05"/>
    <w:rsid w:val="00773F5A"/>
    <w:rsid w:val="007745F8"/>
    <w:rsid w:val="00774C2C"/>
    <w:rsid w:val="00774D06"/>
    <w:rsid w:val="0077547E"/>
    <w:rsid w:val="007756BB"/>
    <w:rsid w:val="00775A78"/>
    <w:rsid w:val="00775A79"/>
    <w:rsid w:val="00775AD8"/>
    <w:rsid w:val="00775C8D"/>
    <w:rsid w:val="00775DB8"/>
    <w:rsid w:val="00775E55"/>
    <w:rsid w:val="007761A5"/>
    <w:rsid w:val="007761EA"/>
    <w:rsid w:val="007763F5"/>
    <w:rsid w:val="00776950"/>
    <w:rsid w:val="00777FC8"/>
    <w:rsid w:val="007801E3"/>
    <w:rsid w:val="00780D87"/>
    <w:rsid w:val="00780F9C"/>
    <w:rsid w:val="00781281"/>
    <w:rsid w:val="00782421"/>
    <w:rsid w:val="0078261D"/>
    <w:rsid w:val="00783354"/>
    <w:rsid w:val="007837EF"/>
    <w:rsid w:val="00783844"/>
    <w:rsid w:val="00783DD7"/>
    <w:rsid w:val="00784622"/>
    <w:rsid w:val="0078532D"/>
    <w:rsid w:val="00785823"/>
    <w:rsid w:val="00785940"/>
    <w:rsid w:val="0078644A"/>
    <w:rsid w:val="00786B2D"/>
    <w:rsid w:val="00790DC7"/>
    <w:rsid w:val="007910EB"/>
    <w:rsid w:val="0079141C"/>
    <w:rsid w:val="00791736"/>
    <w:rsid w:val="007917A3"/>
    <w:rsid w:val="00791AC0"/>
    <w:rsid w:val="00791C64"/>
    <w:rsid w:val="00791D66"/>
    <w:rsid w:val="0079209E"/>
    <w:rsid w:val="007920BE"/>
    <w:rsid w:val="00792272"/>
    <w:rsid w:val="0079298E"/>
    <w:rsid w:val="00793213"/>
    <w:rsid w:val="00793A80"/>
    <w:rsid w:val="00795159"/>
    <w:rsid w:val="00795226"/>
    <w:rsid w:val="00795D93"/>
    <w:rsid w:val="00795FDC"/>
    <w:rsid w:val="007966D8"/>
    <w:rsid w:val="00797920"/>
    <w:rsid w:val="007A0707"/>
    <w:rsid w:val="007A08C7"/>
    <w:rsid w:val="007A0AAC"/>
    <w:rsid w:val="007A0DE8"/>
    <w:rsid w:val="007A173E"/>
    <w:rsid w:val="007A1D62"/>
    <w:rsid w:val="007A1E44"/>
    <w:rsid w:val="007A359B"/>
    <w:rsid w:val="007A3617"/>
    <w:rsid w:val="007A3991"/>
    <w:rsid w:val="007A3DD3"/>
    <w:rsid w:val="007A3F15"/>
    <w:rsid w:val="007A42D7"/>
    <w:rsid w:val="007A438A"/>
    <w:rsid w:val="007A44DB"/>
    <w:rsid w:val="007A54B9"/>
    <w:rsid w:val="007A5755"/>
    <w:rsid w:val="007A58EA"/>
    <w:rsid w:val="007A5DA6"/>
    <w:rsid w:val="007A5F4C"/>
    <w:rsid w:val="007A639A"/>
    <w:rsid w:val="007A6AB6"/>
    <w:rsid w:val="007A7C3D"/>
    <w:rsid w:val="007B0290"/>
    <w:rsid w:val="007B078E"/>
    <w:rsid w:val="007B08F4"/>
    <w:rsid w:val="007B1A3A"/>
    <w:rsid w:val="007B2492"/>
    <w:rsid w:val="007B28BE"/>
    <w:rsid w:val="007B2D0C"/>
    <w:rsid w:val="007B3581"/>
    <w:rsid w:val="007B3DBF"/>
    <w:rsid w:val="007B43DF"/>
    <w:rsid w:val="007B4789"/>
    <w:rsid w:val="007B4956"/>
    <w:rsid w:val="007B4A65"/>
    <w:rsid w:val="007B4B58"/>
    <w:rsid w:val="007B5141"/>
    <w:rsid w:val="007B54F8"/>
    <w:rsid w:val="007B5625"/>
    <w:rsid w:val="007B5D66"/>
    <w:rsid w:val="007B5ED4"/>
    <w:rsid w:val="007B5FDF"/>
    <w:rsid w:val="007B6803"/>
    <w:rsid w:val="007B70F5"/>
    <w:rsid w:val="007B7424"/>
    <w:rsid w:val="007B7816"/>
    <w:rsid w:val="007B7CC2"/>
    <w:rsid w:val="007C0470"/>
    <w:rsid w:val="007C0474"/>
    <w:rsid w:val="007C04EA"/>
    <w:rsid w:val="007C0B2A"/>
    <w:rsid w:val="007C1287"/>
    <w:rsid w:val="007C1372"/>
    <w:rsid w:val="007C1FD8"/>
    <w:rsid w:val="007C26A0"/>
    <w:rsid w:val="007C2B6F"/>
    <w:rsid w:val="007C3352"/>
    <w:rsid w:val="007C3E42"/>
    <w:rsid w:val="007C412E"/>
    <w:rsid w:val="007C41FA"/>
    <w:rsid w:val="007C4F1C"/>
    <w:rsid w:val="007C5012"/>
    <w:rsid w:val="007C571E"/>
    <w:rsid w:val="007C5B3F"/>
    <w:rsid w:val="007C60A0"/>
    <w:rsid w:val="007C67F9"/>
    <w:rsid w:val="007C6851"/>
    <w:rsid w:val="007C6A65"/>
    <w:rsid w:val="007C6DFC"/>
    <w:rsid w:val="007C7301"/>
    <w:rsid w:val="007C73A3"/>
    <w:rsid w:val="007C7C76"/>
    <w:rsid w:val="007D044F"/>
    <w:rsid w:val="007D0B3E"/>
    <w:rsid w:val="007D0C84"/>
    <w:rsid w:val="007D1C55"/>
    <w:rsid w:val="007D23D8"/>
    <w:rsid w:val="007D28F1"/>
    <w:rsid w:val="007D2BCF"/>
    <w:rsid w:val="007D341A"/>
    <w:rsid w:val="007D34A4"/>
    <w:rsid w:val="007D3EBC"/>
    <w:rsid w:val="007D562D"/>
    <w:rsid w:val="007D5C2A"/>
    <w:rsid w:val="007D5C53"/>
    <w:rsid w:val="007D5F91"/>
    <w:rsid w:val="007D6054"/>
    <w:rsid w:val="007D68AA"/>
    <w:rsid w:val="007D6A21"/>
    <w:rsid w:val="007D6BBF"/>
    <w:rsid w:val="007D6E3E"/>
    <w:rsid w:val="007D6F14"/>
    <w:rsid w:val="007D7B95"/>
    <w:rsid w:val="007D7C9D"/>
    <w:rsid w:val="007D7DB3"/>
    <w:rsid w:val="007E03B2"/>
    <w:rsid w:val="007E0709"/>
    <w:rsid w:val="007E0B8C"/>
    <w:rsid w:val="007E0C59"/>
    <w:rsid w:val="007E0E03"/>
    <w:rsid w:val="007E174E"/>
    <w:rsid w:val="007E19BC"/>
    <w:rsid w:val="007E1ABA"/>
    <w:rsid w:val="007E21CE"/>
    <w:rsid w:val="007E23E9"/>
    <w:rsid w:val="007E285E"/>
    <w:rsid w:val="007E2AB7"/>
    <w:rsid w:val="007E2E2D"/>
    <w:rsid w:val="007E3395"/>
    <w:rsid w:val="007E348D"/>
    <w:rsid w:val="007E4052"/>
    <w:rsid w:val="007E4A07"/>
    <w:rsid w:val="007E507D"/>
    <w:rsid w:val="007E5935"/>
    <w:rsid w:val="007E5DB4"/>
    <w:rsid w:val="007E6051"/>
    <w:rsid w:val="007E6EAC"/>
    <w:rsid w:val="007E6EC5"/>
    <w:rsid w:val="007E7379"/>
    <w:rsid w:val="007F0A2D"/>
    <w:rsid w:val="007F0CD7"/>
    <w:rsid w:val="007F0F6C"/>
    <w:rsid w:val="007F1641"/>
    <w:rsid w:val="007F171A"/>
    <w:rsid w:val="007F2A0D"/>
    <w:rsid w:val="007F2BDA"/>
    <w:rsid w:val="007F2D49"/>
    <w:rsid w:val="007F2EF6"/>
    <w:rsid w:val="007F35F1"/>
    <w:rsid w:val="007F38B9"/>
    <w:rsid w:val="007F43C8"/>
    <w:rsid w:val="007F46A5"/>
    <w:rsid w:val="007F5176"/>
    <w:rsid w:val="007F5EF2"/>
    <w:rsid w:val="007F611B"/>
    <w:rsid w:val="007F68EC"/>
    <w:rsid w:val="007F6A18"/>
    <w:rsid w:val="007F7ADF"/>
    <w:rsid w:val="00800002"/>
    <w:rsid w:val="008008C0"/>
    <w:rsid w:val="008009C0"/>
    <w:rsid w:val="00800E2F"/>
    <w:rsid w:val="00801008"/>
    <w:rsid w:val="008017E2"/>
    <w:rsid w:val="00801CE8"/>
    <w:rsid w:val="00801DA1"/>
    <w:rsid w:val="00803110"/>
    <w:rsid w:val="00805717"/>
    <w:rsid w:val="008069E6"/>
    <w:rsid w:val="008073AC"/>
    <w:rsid w:val="0080779D"/>
    <w:rsid w:val="008079EF"/>
    <w:rsid w:val="00811259"/>
    <w:rsid w:val="0081150F"/>
    <w:rsid w:val="00811754"/>
    <w:rsid w:val="0081188C"/>
    <w:rsid w:val="00811E87"/>
    <w:rsid w:val="00811FD8"/>
    <w:rsid w:val="00812120"/>
    <w:rsid w:val="00812943"/>
    <w:rsid w:val="00812D2A"/>
    <w:rsid w:val="0081352F"/>
    <w:rsid w:val="008137BB"/>
    <w:rsid w:val="00813922"/>
    <w:rsid w:val="00813A47"/>
    <w:rsid w:val="00814272"/>
    <w:rsid w:val="008142FC"/>
    <w:rsid w:val="0081441F"/>
    <w:rsid w:val="00814B5A"/>
    <w:rsid w:val="008155B5"/>
    <w:rsid w:val="00815A04"/>
    <w:rsid w:val="00816B17"/>
    <w:rsid w:val="00816C55"/>
    <w:rsid w:val="00817387"/>
    <w:rsid w:val="00817824"/>
    <w:rsid w:val="0082236F"/>
    <w:rsid w:val="0082288F"/>
    <w:rsid w:val="00822EF6"/>
    <w:rsid w:val="00823003"/>
    <w:rsid w:val="00823411"/>
    <w:rsid w:val="008235D2"/>
    <w:rsid w:val="00823661"/>
    <w:rsid w:val="00823662"/>
    <w:rsid w:val="00823B57"/>
    <w:rsid w:val="00823DA8"/>
    <w:rsid w:val="00824804"/>
    <w:rsid w:val="008255BB"/>
    <w:rsid w:val="008259C3"/>
    <w:rsid w:val="00826E15"/>
    <w:rsid w:val="008300DD"/>
    <w:rsid w:val="0083057A"/>
    <w:rsid w:val="00830945"/>
    <w:rsid w:val="008315B9"/>
    <w:rsid w:val="00831A2C"/>
    <w:rsid w:val="008320F6"/>
    <w:rsid w:val="00832133"/>
    <w:rsid w:val="008322D9"/>
    <w:rsid w:val="0083272E"/>
    <w:rsid w:val="00832D05"/>
    <w:rsid w:val="00833839"/>
    <w:rsid w:val="00833959"/>
    <w:rsid w:val="00833E84"/>
    <w:rsid w:val="00834573"/>
    <w:rsid w:val="00834BAC"/>
    <w:rsid w:val="00835AF2"/>
    <w:rsid w:val="00835B28"/>
    <w:rsid w:val="00836593"/>
    <w:rsid w:val="00836B97"/>
    <w:rsid w:val="00837472"/>
    <w:rsid w:val="0084015F"/>
    <w:rsid w:val="00840560"/>
    <w:rsid w:val="00840BA5"/>
    <w:rsid w:val="0084154F"/>
    <w:rsid w:val="00841B3C"/>
    <w:rsid w:val="00841C29"/>
    <w:rsid w:val="00842958"/>
    <w:rsid w:val="00842A97"/>
    <w:rsid w:val="00842B07"/>
    <w:rsid w:val="008436FE"/>
    <w:rsid w:val="00843782"/>
    <w:rsid w:val="00843AE3"/>
    <w:rsid w:val="008442C5"/>
    <w:rsid w:val="00844744"/>
    <w:rsid w:val="00844A25"/>
    <w:rsid w:val="00844B4D"/>
    <w:rsid w:val="00844C27"/>
    <w:rsid w:val="00844CA6"/>
    <w:rsid w:val="00845212"/>
    <w:rsid w:val="00845446"/>
    <w:rsid w:val="00845576"/>
    <w:rsid w:val="00845891"/>
    <w:rsid w:val="00845BDA"/>
    <w:rsid w:val="00845D29"/>
    <w:rsid w:val="00846035"/>
    <w:rsid w:val="00846514"/>
    <w:rsid w:val="00846907"/>
    <w:rsid w:val="00850091"/>
    <w:rsid w:val="008505CF"/>
    <w:rsid w:val="00850A5E"/>
    <w:rsid w:val="00850EA8"/>
    <w:rsid w:val="008517AD"/>
    <w:rsid w:val="00851AE8"/>
    <w:rsid w:val="00852B0F"/>
    <w:rsid w:val="008535F1"/>
    <w:rsid w:val="0085376E"/>
    <w:rsid w:val="0085380B"/>
    <w:rsid w:val="0085431C"/>
    <w:rsid w:val="0085438A"/>
    <w:rsid w:val="00854623"/>
    <w:rsid w:val="00854899"/>
    <w:rsid w:val="008548EE"/>
    <w:rsid w:val="00854A02"/>
    <w:rsid w:val="00855B1B"/>
    <w:rsid w:val="00856222"/>
    <w:rsid w:val="008564A4"/>
    <w:rsid w:val="008564D8"/>
    <w:rsid w:val="008566F3"/>
    <w:rsid w:val="00856862"/>
    <w:rsid w:val="00856BA4"/>
    <w:rsid w:val="008605B3"/>
    <w:rsid w:val="00860930"/>
    <w:rsid w:val="00860C26"/>
    <w:rsid w:val="00861175"/>
    <w:rsid w:val="0086179F"/>
    <w:rsid w:val="00861843"/>
    <w:rsid w:val="0086203F"/>
    <w:rsid w:val="00862D6F"/>
    <w:rsid w:val="00863330"/>
    <w:rsid w:val="008643E6"/>
    <w:rsid w:val="008644D5"/>
    <w:rsid w:val="00864A7B"/>
    <w:rsid w:val="008651A2"/>
    <w:rsid w:val="00865497"/>
    <w:rsid w:val="00865985"/>
    <w:rsid w:val="00865F52"/>
    <w:rsid w:val="00866961"/>
    <w:rsid w:val="00866ACA"/>
    <w:rsid w:val="00867B48"/>
    <w:rsid w:val="008706B8"/>
    <w:rsid w:val="008714FB"/>
    <w:rsid w:val="00871833"/>
    <w:rsid w:val="00871853"/>
    <w:rsid w:val="00871A2E"/>
    <w:rsid w:val="00871A9F"/>
    <w:rsid w:val="00871E54"/>
    <w:rsid w:val="008720F3"/>
    <w:rsid w:val="00872991"/>
    <w:rsid w:val="00874218"/>
    <w:rsid w:val="0087473D"/>
    <w:rsid w:val="00874981"/>
    <w:rsid w:val="00874AB9"/>
    <w:rsid w:val="008751AC"/>
    <w:rsid w:val="008755F1"/>
    <w:rsid w:val="008755F8"/>
    <w:rsid w:val="008779AD"/>
    <w:rsid w:val="008804A6"/>
    <w:rsid w:val="00881029"/>
    <w:rsid w:val="008810A3"/>
    <w:rsid w:val="008819F9"/>
    <w:rsid w:val="00881AA7"/>
    <w:rsid w:val="008820FD"/>
    <w:rsid w:val="0088261D"/>
    <w:rsid w:val="0088338B"/>
    <w:rsid w:val="00883496"/>
    <w:rsid w:val="008839B3"/>
    <w:rsid w:val="00883A65"/>
    <w:rsid w:val="0088452A"/>
    <w:rsid w:val="0088479D"/>
    <w:rsid w:val="00884DB1"/>
    <w:rsid w:val="00885001"/>
    <w:rsid w:val="008864B5"/>
    <w:rsid w:val="00886D8A"/>
    <w:rsid w:val="008870AC"/>
    <w:rsid w:val="0088779F"/>
    <w:rsid w:val="0089052C"/>
    <w:rsid w:val="0089066D"/>
    <w:rsid w:val="00891391"/>
    <w:rsid w:val="00891AB0"/>
    <w:rsid w:val="00892350"/>
    <w:rsid w:val="0089240E"/>
    <w:rsid w:val="00892E71"/>
    <w:rsid w:val="00893271"/>
    <w:rsid w:val="0089350A"/>
    <w:rsid w:val="0089397A"/>
    <w:rsid w:val="00893D03"/>
    <w:rsid w:val="008940A0"/>
    <w:rsid w:val="008941EC"/>
    <w:rsid w:val="008945E9"/>
    <w:rsid w:val="00894D03"/>
    <w:rsid w:val="008954F4"/>
    <w:rsid w:val="008956CA"/>
    <w:rsid w:val="00895D04"/>
    <w:rsid w:val="008979F6"/>
    <w:rsid w:val="00897A14"/>
    <w:rsid w:val="00897C3D"/>
    <w:rsid w:val="00897D58"/>
    <w:rsid w:val="00897ECE"/>
    <w:rsid w:val="008A0131"/>
    <w:rsid w:val="008A0254"/>
    <w:rsid w:val="008A0C3A"/>
    <w:rsid w:val="008A117F"/>
    <w:rsid w:val="008A1348"/>
    <w:rsid w:val="008A1F7A"/>
    <w:rsid w:val="008A3E35"/>
    <w:rsid w:val="008A42EF"/>
    <w:rsid w:val="008A49A8"/>
    <w:rsid w:val="008A4C7A"/>
    <w:rsid w:val="008A561E"/>
    <w:rsid w:val="008A58AC"/>
    <w:rsid w:val="008A6005"/>
    <w:rsid w:val="008A64C9"/>
    <w:rsid w:val="008A6646"/>
    <w:rsid w:val="008A720E"/>
    <w:rsid w:val="008A77E8"/>
    <w:rsid w:val="008A7A96"/>
    <w:rsid w:val="008A7DA1"/>
    <w:rsid w:val="008B064F"/>
    <w:rsid w:val="008B06AB"/>
    <w:rsid w:val="008B0A40"/>
    <w:rsid w:val="008B1897"/>
    <w:rsid w:val="008B1DBB"/>
    <w:rsid w:val="008B20AA"/>
    <w:rsid w:val="008B30AD"/>
    <w:rsid w:val="008B3360"/>
    <w:rsid w:val="008B370A"/>
    <w:rsid w:val="008B40AE"/>
    <w:rsid w:val="008B40BF"/>
    <w:rsid w:val="008B4D14"/>
    <w:rsid w:val="008B525C"/>
    <w:rsid w:val="008B552F"/>
    <w:rsid w:val="008B5A91"/>
    <w:rsid w:val="008B5BDB"/>
    <w:rsid w:val="008B612B"/>
    <w:rsid w:val="008B6A28"/>
    <w:rsid w:val="008B6A54"/>
    <w:rsid w:val="008B728B"/>
    <w:rsid w:val="008B76A0"/>
    <w:rsid w:val="008B774E"/>
    <w:rsid w:val="008B7916"/>
    <w:rsid w:val="008B7AFB"/>
    <w:rsid w:val="008C0A99"/>
    <w:rsid w:val="008C24A3"/>
    <w:rsid w:val="008C27F0"/>
    <w:rsid w:val="008C2EC1"/>
    <w:rsid w:val="008C352A"/>
    <w:rsid w:val="008C3621"/>
    <w:rsid w:val="008C3E7E"/>
    <w:rsid w:val="008C506D"/>
    <w:rsid w:val="008C5355"/>
    <w:rsid w:val="008C5919"/>
    <w:rsid w:val="008C5B07"/>
    <w:rsid w:val="008C6B12"/>
    <w:rsid w:val="008C7F7E"/>
    <w:rsid w:val="008C7F88"/>
    <w:rsid w:val="008D0233"/>
    <w:rsid w:val="008D03B1"/>
    <w:rsid w:val="008D0506"/>
    <w:rsid w:val="008D0597"/>
    <w:rsid w:val="008D0A6C"/>
    <w:rsid w:val="008D17D9"/>
    <w:rsid w:val="008D1A8A"/>
    <w:rsid w:val="008D1C1C"/>
    <w:rsid w:val="008D1CF4"/>
    <w:rsid w:val="008D1D98"/>
    <w:rsid w:val="008D237B"/>
    <w:rsid w:val="008D23CB"/>
    <w:rsid w:val="008D2591"/>
    <w:rsid w:val="008D36F2"/>
    <w:rsid w:val="008D45E0"/>
    <w:rsid w:val="008D4755"/>
    <w:rsid w:val="008D48BE"/>
    <w:rsid w:val="008D4B86"/>
    <w:rsid w:val="008D506C"/>
    <w:rsid w:val="008D51CD"/>
    <w:rsid w:val="008D51D7"/>
    <w:rsid w:val="008D57A7"/>
    <w:rsid w:val="008D5931"/>
    <w:rsid w:val="008D5E67"/>
    <w:rsid w:val="008D6304"/>
    <w:rsid w:val="008D6381"/>
    <w:rsid w:val="008D663E"/>
    <w:rsid w:val="008D6F33"/>
    <w:rsid w:val="008D736B"/>
    <w:rsid w:val="008D7B7F"/>
    <w:rsid w:val="008D7F95"/>
    <w:rsid w:val="008E03FD"/>
    <w:rsid w:val="008E059A"/>
    <w:rsid w:val="008E0924"/>
    <w:rsid w:val="008E10C9"/>
    <w:rsid w:val="008E15A8"/>
    <w:rsid w:val="008E4155"/>
    <w:rsid w:val="008E4195"/>
    <w:rsid w:val="008E426F"/>
    <w:rsid w:val="008E441A"/>
    <w:rsid w:val="008E498C"/>
    <w:rsid w:val="008E51B8"/>
    <w:rsid w:val="008E58A2"/>
    <w:rsid w:val="008E5FB3"/>
    <w:rsid w:val="008E6AF8"/>
    <w:rsid w:val="008E6B41"/>
    <w:rsid w:val="008E6D3F"/>
    <w:rsid w:val="008E71E2"/>
    <w:rsid w:val="008F0A3E"/>
    <w:rsid w:val="008F1825"/>
    <w:rsid w:val="008F184E"/>
    <w:rsid w:val="008F1C74"/>
    <w:rsid w:val="008F228C"/>
    <w:rsid w:val="008F2E5E"/>
    <w:rsid w:val="008F3F09"/>
    <w:rsid w:val="008F4ACA"/>
    <w:rsid w:val="008F539F"/>
    <w:rsid w:val="008F55BB"/>
    <w:rsid w:val="008F5669"/>
    <w:rsid w:val="008F5D85"/>
    <w:rsid w:val="008F5ED0"/>
    <w:rsid w:val="008F69F7"/>
    <w:rsid w:val="008F701F"/>
    <w:rsid w:val="00900CCE"/>
    <w:rsid w:val="00900EAE"/>
    <w:rsid w:val="009011F6"/>
    <w:rsid w:val="0090193E"/>
    <w:rsid w:val="00901D9A"/>
    <w:rsid w:val="00902B4B"/>
    <w:rsid w:val="009033A3"/>
    <w:rsid w:val="009035A1"/>
    <w:rsid w:val="00903948"/>
    <w:rsid w:val="00903DB6"/>
    <w:rsid w:val="00903E53"/>
    <w:rsid w:val="0090418C"/>
    <w:rsid w:val="009044E0"/>
    <w:rsid w:val="00905171"/>
    <w:rsid w:val="0090580E"/>
    <w:rsid w:val="009061C8"/>
    <w:rsid w:val="009069BC"/>
    <w:rsid w:val="0090799A"/>
    <w:rsid w:val="00907EC4"/>
    <w:rsid w:val="009100DE"/>
    <w:rsid w:val="00910BB2"/>
    <w:rsid w:val="009110A9"/>
    <w:rsid w:val="00911192"/>
    <w:rsid w:val="00911BA6"/>
    <w:rsid w:val="00912723"/>
    <w:rsid w:val="009127BB"/>
    <w:rsid w:val="00913A44"/>
    <w:rsid w:val="00913A4E"/>
    <w:rsid w:val="00913BD2"/>
    <w:rsid w:val="00913CEF"/>
    <w:rsid w:val="00913D71"/>
    <w:rsid w:val="00914CC8"/>
    <w:rsid w:val="00914EF7"/>
    <w:rsid w:val="009153D3"/>
    <w:rsid w:val="00915C6B"/>
    <w:rsid w:val="009161FE"/>
    <w:rsid w:val="009163F6"/>
    <w:rsid w:val="00916408"/>
    <w:rsid w:val="00916FED"/>
    <w:rsid w:val="00917408"/>
    <w:rsid w:val="009174A5"/>
    <w:rsid w:val="0092109F"/>
    <w:rsid w:val="009213DE"/>
    <w:rsid w:val="00921A66"/>
    <w:rsid w:val="00922984"/>
    <w:rsid w:val="00922A27"/>
    <w:rsid w:val="009236AC"/>
    <w:rsid w:val="00924EB5"/>
    <w:rsid w:val="009250F0"/>
    <w:rsid w:val="00925298"/>
    <w:rsid w:val="0092547E"/>
    <w:rsid w:val="00925E8C"/>
    <w:rsid w:val="0092613D"/>
    <w:rsid w:val="00926473"/>
    <w:rsid w:val="0092746F"/>
    <w:rsid w:val="009277AC"/>
    <w:rsid w:val="009309BF"/>
    <w:rsid w:val="00930D4C"/>
    <w:rsid w:val="009317C3"/>
    <w:rsid w:val="00931872"/>
    <w:rsid w:val="00931893"/>
    <w:rsid w:val="00931B7F"/>
    <w:rsid w:val="00931BDF"/>
    <w:rsid w:val="00931C38"/>
    <w:rsid w:val="00931F34"/>
    <w:rsid w:val="00932089"/>
    <w:rsid w:val="0093269E"/>
    <w:rsid w:val="00932851"/>
    <w:rsid w:val="00933695"/>
    <w:rsid w:val="00933822"/>
    <w:rsid w:val="0093388C"/>
    <w:rsid w:val="009338B5"/>
    <w:rsid w:val="009338EF"/>
    <w:rsid w:val="00933AA8"/>
    <w:rsid w:val="0093449E"/>
    <w:rsid w:val="0093494B"/>
    <w:rsid w:val="00934B6D"/>
    <w:rsid w:val="00934B90"/>
    <w:rsid w:val="00934CE8"/>
    <w:rsid w:val="00934EDD"/>
    <w:rsid w:val="00935376"/>
    <w:rsid w:val="00935696"/>
    <w:rsid w:val="009357CF"/>
    <w:rsid w:val="0093581E"/>
    <w:rsid w:val="00935F9B"/>
    <w:rsid w:val="009366FA"/>
    <w:rsid w:val="0093747B"/>
    <w:rsid w:val="00937868"/>
    <w:rsid w:val="009404F2"/>
    <w:rsid w:val="00940A89"/>
    <w:rsid w:val="00940A95"/>
    <w:rsid w:val="00940B69"/>
    <w:rsid w:val="00940D96"/>
    <w:rsid w:val="00940E66"/>
    <w:rsid w:val="00940EE1"/>
    <w:rsid w:val="0094141B"/>
    <w:rsid w:val="00942106"/>
    <w:rsid w:val="00942A81"/>
    <w:rsid w:val="009436F9"/>
    <w:rsid w:val="0094406A"/>
    <w:rsid w:val="00944560"/>
    <w:rsid w:val="00944E72"/>
    <w:rsid w:val="0094517B"/>
    <w:rsid w:val="00945749"/>
    <w:rsid w:val="00946105"/>
    <w:rsid w:val="00946A85"/>
    <w:rsid w:val="00947246"/>
    <w:rsid w:val="009478C0"/>
    <w:rsid w:val="00947CDD"/>
    <w:rsid w:val="009500B2"/>
    <w:rsid w:val="00950E84"/>
    <w:rsid w:val="00951672"/>
    <w:rsid w:val="00951BCC"/>
    <w:rsid w:val="00951E10"/>
    <w:rsid w:val="00951F8A"/>
    <w:rsid w:val="009520CB"/>
    <w:rsid w:val="0095305F"/>
    <w:rsid w:val="0095306D"/>
    <w:rsid w:val="0095362C"/>
    <w:rsid w:val="0095476A"/>
    <w:rsid w:val="0095526C"/>
    <w:rsid w:val="00955620"/>
    <w:rsid w:val="009559EB"/>
    <w:rsid w:val="00956422"/>
    <w:rsid w:val="0095674A"/>
    <w:rsid w:val="00956DED"/>
    <w:rsid w:val="0095754A"/>
    <w:rsid w:val="00957E38"/>
    <w:rsid w:val="00957F5D"/>
    <w:rsid w:val="00961256"/>
    <w:rsid w:val="00961683"/>
    <w:rsid w:val="0096176A"/>
    <w:rsid w:val="00961ACF"/>
    <w:rsid w:val="00962E93"/>
    <w:rsid w:val="0096354B"/>
    <w:rsid w:val="00963CCF"/>
    <w:rsid w:val="0096463F"/>
    <w:rsid w:val="0096496E"/>
    <w:rsid w:val="00964B54"/>
    <w:rsid w:val="009650CC"/>
    <w:rsid w:val="0096512F"/>
    <w:rsid w:val="00966AA8"/>
    <w:rsid w:val="00966C99"/>
    <w:rsid w:val="009670CC"/>
    <w:rsid w:val="00967D00"/>
    <w:rsid w:val="00970141"/>
    <w:rsid w:val="0097036C"/>
    <w:rsid w:val="00970976"/>
    <w:rsid w:val="00970E6B"/>
    <w:rsid w:val="00971048"/>
    <w:rsid w:val="009720B3"/>
    <w:rsid w:val="00972340"/>
    <w:rsid w:val="00972902"/>
    <w:rsid w:val="00972E70"/>
    <w:rsid w:val="00973954"/>
    <w:rsid w:val="0097493C"/>
    <w:rsid w:val="00974B8F"/>
    <w:rsid w:val="009752F3"/>
    <w:rsid w:val="009753B7"/>
    <w:rsid w:val="0097554E"/>
    <w:rsid w:val="00975BA8"/>
    <w:rsid w:val="00975BAE"/>
    <w:rsid w:val="009769E1"/>
    <w:rsid w:val="00976F36"/>
    <w:rsid w:val="009778D6"/>
    <w:rsid w:val="00977DEF"/>
    <w:rsid w:val="00977F32"/>
    <w:rsid w:val="00980A12"/>
    <w:rsid w:val="00980CD0"/>
    <w:rsid w:val="00980CFF"/>
    <w:rsid w:val="00980F09"/>
    <w:rsid w:val="00981904"/>
    <w:rsid w:val="00981E52"/>
    <w:rsid w:val="00982135"/>
    <w:rsid w:val="009824CA"/>
    <w:rsid w:val="00982541"/>
    <w:rsid w:val="009831BD"/>
    <w:rsid w:val="00983661"/>
    <w:rsid w:val="00984406"/>
    <w:rsid w:val="0098443B"/>
    <w:rsid w:val="00985373"/>
    <w:rsid w:val="00985FB0"/>
    <w:rsid w:val="00986989"/>
    <w:rsid w:val="00986A3F"/>
    <w:rsid w:val="00987D3B"/>
    <w:rsid w:val="00990BBB"/>
    <w:rsid w:val="00991325"/>
    <w:rsid w:val="009914FB"/>
    <w:rsid w:val="0099199F"/>
    <w:rsid w:val="009926CE"/>
    <w:rsid w:val="00992DBC"/>
    <w:rsid w:val="0099428A"/>
    <w:rsid w:val="0099444C"/>
    <w:rsid w:val="00994977"/>
    <w:rsid w:val="00994B65"/>
    <w:rsid w:val="00994D7A"/>
    <w:rsid w:val="0099516D"/>
    <w:rsid w:val="0099547B"/>
    <w:rsid w:val="00995AEE"/>
    <w:rsid w:val="0099655F"/>
    <w:rsid w:val="00996E95"/>
    <w:rsid w:val="00996FC1"/>
    <w:rsid w:val="0099714C"/>
    <w:rsid w:val="0099718B"/>
    <w:rsid w:val="00997B55"/>
    <w:rsid w:val="00997ECC"/>
    <w:rsid w:val="009A0200"/>
    <w:rsid w:val="009A041F"/>
    <w:rsid w:val="009A09CC"/>
    <w:rsid w:val="009A0A88"/>
    <w:rsid w:val="009A0E99"/>
    <w:rsid w:val="009A12BB"/>
    <w:rsid w:val="009A1DA6"/>
    <w:rsid w:val="009A2B24"/>
    <w:rsid w:val="009A2F40"/>
    <w:rsid w:val="009A2F65"/>
    <w:rsid w:val="009A35B9"/>
    <w:rsid w:val="009A3697"/>
    <w:rsid w:val="009A3881"/>
    <w:rsid w:val="009A38A4"/>
    <w:rsid w:val="009A38C7"/>
    <w:rsid w:val="009A394B"/>
    <w:rsid w:val="009A4919"/>
    <w:rsid w:val="009A4C19"/>
    <w:rsid w:val="009A5109"/>
    <w:rsid w:val="009A5219"/>
    <w:rsid w:val="009A5657"/>
    <w:rsid w:val="009A571F"/>
    <w:rsid w:val="009A63F8"/>
    <w:rsid w:val="009A66F4"/>
    <w:rsid w:val="009A69A1"/>
    <w:rsid w:val="009B013B"/>
    <w:rsid w:val="009B02A4"/>
    <w:rsid w:val="009B0756"/>
    <w:rsid w:val="009B0D27"/>
    <w:rsid w:val="009B1321"/>
    <w:rsid w:val="009B1557"/>
    <w:rsid w:val="009B21CA"/>
    <w:rsid w:val="009B27CC"/>
    <w:rsid w:val="009B3667"/>
    <w:rsid w:val="009B428C"/>
    <w:rsid w:val="009B45C4"/>
    <w:rsid w:val="009B4C9F"/>
    <w:rsid w:val="009B6137"/>
    <w:rsid w:val="009B6A61"/>
    <w:rsid w:val="009B6C1B"/>
    <w:rsid w:val="009B6DBB"/>
    <w:rsid w:val="009B6E9D"/>
    <w:rsid w:val="009B7F43"/>
    <w:rsid w:val="009C016C"/>
    <w:rsid w:val="009C0EE8"/>
    <w:rsid w:val="009C1213"/>
    <w:rsid w:val="009C1999"/>
    <w:rsid w:val="009C2145"/>
    <w:rsid w:val="009C229A"/>
    <w:rsid w:val="009C2A75"/>
    <w:rsid w:val="009C36F2"/>
    <w:rsid w:val="009C4323"/>
    <w:rsid w:val="009C46F4"/>
    <w:rsid w:val="009C5269"/>
    <w:rsid w:val="009C5581"/>
    <w:rsid w:val="009C55C9"/>
    <w:rsid w:val="009C5611"/>
    <w:rsid w:val="009C56E9"/>
    <w:rsid w:val="009C5C2C"/>
    <w:rsid w:val="009C7BF1"/>
    <w:rsid w:val="009D00DB"/>
    <w:rsid w:val="009D0116"/>
    <w:rsid w:val="009D074E"/>
    <w:rsid w:val="009D0A94"/>
    <w:rsid w:val="009D0C2E"/>
    <w:rsid w:val="009D1C86"/>
    <w:rsid w:val="009D2375"/>
    <w:rsid w:val="009D23C2"/>
    <w:rsid w:val="009D26B9"/>
    <w:rsid w:val="009D288F"/>
    <w:rsid w:val="009D3834"/>
    <w:rsid w:val="009D3F73"/>
    <w:rsid w:val="009D4052"/>
    <w:rsid w:val="009D4358"/>
    <w:rsid w:val="009D49F2"/>
    <w:rsid w:val="009D550C"/>
    <w:rsid w:val="009D6741"/>
    <w:rsid w:val="009D707B"/>
    <w:rsid w:val="009D7A6E"/>
    <w:rsid w:val="009E02A7"/>
    <w:rsid w:val="009E0D67"/>
    <w:rsid w:val="009E0E6F"/>
    <w:rsid w:val="009E10AD"/>
    <w:rsid w:val="009E18EF"/>
    <w:rsid w:val="009E1A80"/>
    <w:rsid w:val="009E208B"/>
    <w:rsid w:val="009E282A"/>
    <w:rsid w:val="009E2BE5"/>
    <w:rsid w:val="009E30B9"/>
    <w:rsid w:val="009E38A3"/>
    <w:rsid w:val="009E38E7"/>
    <w:rsid w:val="009E3FE1"/>
    <w:rsid w:val="009E4433"/>
    <w:rsid w:val="009E4C30"/>
    <w:rsid w:val="009E5E7A"/>
    <w:rsid w:val="009E6274"/>
    <w:rsid w:val="009E6E51"/>
    <w:rsid w:val="009E7264"/>
    <w:rsid w:val="009E7F79"/>
    <w:rsid w:val="009F065E"/>
    <w:rsid w:val="009F0E1C"/>
    <w:rsid w:val="009F1364"/>
    <w:rsid w:val="009F1A08"/>
    <w:rsid w:val="009F21D4"/>
    <w:rsid w:val="009F21E0"/>
    <w:rsid w:val="009F22B1"/>
    <w:rsid w:val="009F2680"/>
    <w:rsid w:val="009F26B9"/>
    <w:rsid w:val="009F6D43"/>
    <w:rsid w:val="009F7A9E"/>
    <w:rsid w:val="00A003D7"/>
    <w:rsid w:val="00A01205"/>
    <w:rsid w:val="00A016B6"/>
    <w:rsid w:val="00A019BB"/>
    <w:rsid w:val="00A01EDC"/>
    <w:rsid w:val="00A02056"/>
    <w:rsid w:val="00A02625"/>
    <w:rsid w:val="00A0287E"/>
    <w:rsid w:val="00A02F78"/>
    <w:rsid w:val="00A03DCB"/>
    <w:rsid w:val="00A04AEF"/>
    <w:rsid w:val="00A050C2"/>
    <w:rsid w:val="00A05120"/>
    <w:rsid w:val="00A055BC"/>
    <w:rsid w:val="00A05BEF"/>
    <w:rsid w:val="00A06477"/>
    <w:rsid w:val="00A06692"/>
    <w:rsid w:val="00A06947"/>
    <w:rsid w:val="00A06F8D"/>
    <w:rsid w:val="00A0765E"/>
    <w:rsid w:val="00A0784D"/>
    <w:rsid w:val="00A07C58"/>
    <w:rsid w:val="00A07F77"/>
    <w:rsid w:val="00A10478"/>
    <w:rsid w:val="00A10676"/>
    <w:rsid w:val="00A10A72"/>
    <w:rsid w:val="00A10D7D"/>
    <w:rsid w:val="00A10DFE"/>
    <w:rsid w:val="00A11425"/>
    <w:rsid w:val="00A12A70"/>
    <w:rsid w:val="00A12F84"/>
    <w:rsid w:val="00A14BAD"/>
    <w:rsid w:val="00A14D06"/>
    <w:rsid w:val="00A157CE"/>
    <w:rsid w:val="00A15B5C"/>
    <w:rsid w:val="00A160D9"/>
    <w:rsid w:val="00A16449"/>
    <w:rsid w:val="00A16611"/>
    <w:rsid w:val="00A16C14"/>
    <w:rsid w:val="00A17123"/>
    <w:rsid w:val="00A176C5"/>
    <w:rsid w:val="00A17818"/>
    <w:rsid w:val="00A1799C"/>
    <w:rsid w:val="00A205E9"/>
    <w:rsid w:val="00A20CB0"/>
    <w:rsid w:val="00A217DA"/>
    <w:rsid w:val="00A22C7D"/>
    <w:rsid w:val="00A22E99"/>
    <w:rsid w:val="00A232DE"/>
    <w:rsid w:val="00A24328"/>
    <w:rsid w:val="00A24BF8"/>
    <w:rsid w:val="00A256C0"/>
    <w:rsid w:val="00A25765"/>
    <w:rsid w:val="00A25AE9"/>
    <w:rsid w:val="00A25FFE"/>
    <w:rsid w:val="00A26008"/>
    <w:rsid w:val="00A26425"/>
    <w:rsid w:val="00A26ABC"/>
    <w:rsid w:val="00A3113B"/>
    <w:rsid w:val="00A32E33"/>
    <w:rsid w:val="00A33361"/>
    <w:rsid w:val="00A33680"/>
    <w:rsid w:val="00A3471A"/>
    <w:rsid w:val="00A347B4"/>
    <w:rsid w:val="00A34DDE"/>
    <w:rsid w:val="00A352ED"/>
    <w:rsid w:val="00A3559A"/>
    <w:rsid w:val="00A362EA"/>
    <w:rsid w:val="00A36D21"/>
    <w:rsid w:val="00A3750E"/>
    <w:rsid w:val="00A37C98"/>
    <w:rsid w:val="00A40923"/>
    <w:rsid w:val="00A4153C"/>
    <w:rsid w:val="00A41BCD"/>
    <w:rsid w:val="00A423D2"/>
    <w:rsid w:val="00A423EA"/>
    <w:rsid w:val="00A42D2F"/>
    <w:rsid w:val="00A42D8F"/>
    <w:rsid w:val="00A4318B"/>
    <w:rsid w:val="00A433E4"/>
    <w:rsid w:val="00A44568"/>
    <w:rsid w:val="00A44FE3"/>
    <w:rsid w:val="00A451BB"/>
    <w:rsid w:val="00A45E9D"/>
    <w:rsid w:val="00A4620B"/>
    <w:rsid w:val="00A47BE1"/>
    <w:rsid w:val="00A500D4"/>
    <w:rsid w:val="00A51293"/>
    <w:rsid w:val="00A513DC"/>
    <w:rsid w:val="00A51408"/>
    <w:rsid w:val="00A51870"/>
    <w:rsid w:val="00A51EDE"/>
    <w:rsid w:val="00A522B7"/>
    <w:rsid w:val="00A52F8A"/>
    <w:rsid w:val="00A5324C"/>
    <w:rsid w:val="00A55053"/>
    <w:rsid w:val="00A551CC"/>
    <w:rsid w:val="00A5568F"/>
    <w:rsid w:val="00A5579C"/>
    <w:rsid w:val="00A55A16"/>
    <w:rsid w:val="00A560A0"/>
    <w:rsid w:val="00A5656A"/>
    <w:rsid w:val="00A57111"/>
    <w:rsid w:val="00A571D6"/>
    <w:rsid w:val="00A57629"/>
    <w:rsid w:val="00A579B9"/>
    <w:rsid w:val="00A57CC9"/>
    <w:rsid w:val="00A6025F"/>
    <w:rsid w:val="00A61784"/>
    <w:rsid w:val="00A618BA"/>
    <w:rsid w:val="00A62CAB"/>
    <w:rsid w:val="00A63A76"/>
    <w:rsid w:val="00A644EC"/>
    <w:rsid w:val="00A649B0"/>
    <w:rsid w:val="00A64F3A"/>
    <w:rsid w:val="00A65044"/>
    <w:rsid w:val="00A65542"/>
    <w:rsid w:val="00A6587B"/>
    <w:rsid w:val="00A65DCD"/>
    <w:rsid w:val="00A661E1"/>
    <w:rsid w:val="00A6673F"/>
    <w:rsid w:val="00A67978"/>
    <w:rsid w:val="00A71186"/>
    <w:rsid w:val="00A717BB"/>
    <w:rsid w:val="00A71B7C"/>
    <w:rsid w:val="00A727CE"/>
    <w:rsid w:val="00A728EE"/>
    <w:rsid w:val="00A72942"/>
    <w:rsid w:val="00A72AA9"/>
    <w:rsid w:val="00A72C5E"/>
    <w:rsid w:val="00A73122"/>
    <w:rsid w:val="00A73E0F"/>
    <w:rsid w:val="00A7418B"/>
    <w:rsid w:val="00A74BAF"/>
    <w:rsid w:val="00A74F37"/>
    <w:rsid w:val="00A7689A"/>
    <w:rsid w:val="00A76C25"/>
    <w:rsid w:val="00A76E38"/>
    <w:rsid w:val="00A77DD6"/>
    <w:rsid w:val="00A77F9E"/>
    <w:rsid w:val="00A8060E"/>
    <w:rsid w:val="00A807B7"/>
    <w:rsid w:val="00A80DE8"/>
    <w:rsid w:val="00A8170C"/>
    <w:rsid w:val="00A8334F"/>
    <w:rsid w:val="00A83F29"/>
    <w:rsid w:val="00A83F85"/>
    <w:rsid w:val="00A84284"/>
    <w:rsid w:val="00A84319"/>
    <w:rsid w:val="00A84BC1"/>
    <w:rsid w:val="00A84BF8"/>
    <w:rsid w:val="00A84DCE"/>
    <w:rsid w:val="00A85AEE"/>
    <w:rsid w:val="00A86145"/>
    <w:rsid w:val="00A86218"/>
    <w:rsid w:val="00A86DE3"/>
    <w:rsid w:val="00A870B4"/>
    <w:rsid w:val="00A87738"/>
    <w:rsid w:val="00A87FBC"/>
    <w:rsid w:val="00A900FF"/>
    <w:rsid w:val="00A90516"/>
    <w:rsid w:val="00A9079B"/>
    <w:rsid w:val="00A90C9D"/>
    <w:rsid w:val="00A90CF8"/>
    <w:rsid w:val="00A915B8"/>
    <w:rsid w:val="00A91C66"/>
    <w:rsid w:val="00A926C1"/>
    <w:rsid w:val="00A92934"/>
    <w:rsid w:val="00A92BE8"/>
    <w:rsid w:val="00A937FA"/>
    <w:rsid w:val="00A942F4"/>
    <w:rsid w:val="00A944C8"/>
    <w:rsid w:val="00A95F13"/>
    <w:rsid w:val="00A96219"/>
    <w:rsid w:val="00A96600"/>
    <w:rsid w:val="00A96A83"/>
    <w:rsid w:val="00A96B58"/>
    <w:rsid w:val="00A96CF9"/>
    <w:rsid w:val="00A96E25"/>
    <w:rsid w:val="00AA007C"/>
    <w:rsid w:val="00AA0393"/>
    <w:rsid w:val="00AA03CA"/>
    <w:rsid w:val="00AA0455"/>
    <w:rsid w:val="00AA08E0"/>
    <w:rsid w:val="00AA0D38"/>
    <w:rsid w:val="00AA16DE"/>
    <w:rsid w:val="00AA213F"/>
    <w:rsid w:val="00AA2729"/>
    <w:rsid w:val="00AA3A75"/>
    <w:rsid w:val="00AA4D9A"/>
    <w:rsid w:val="00AA4E8C"/>
    <w:rsid w:val="00AA5FB8"/>
    <w:rsid w:val="00AA6063"/>
    <w:rsid w:val="00AA6700"/>
    <w:rsid w:val="00AA697C"/>
    <w:rsid w:val="00AA6D2F"/>
    <w:rsid w:val="00AA75BE"/>
    <w:rsid w:val="00AA76D8"/>
    <w:rsid w:val="00AA78D7"/>
    <w:rsid w:val="00AB0474"/>
    <w:rsid w:val="00AB0B58"/>
    <w:rsid w:val="00AB0FCA"/>
    <w:rsid w:val="00AB1671"/>
    <w:rsid w:val="00AB1FAA"/>
    <w:rsid w:val="00AB32A0"/>
    <w:rsid w:val="00AB3945"/>
    <w:rsid w:val="00AB414E"/>
    <w:rsid w:val="00AB4898"/>
    <w:rsid w:val="00AB4920"/>
    <w:rsid w:val="00AB51D3"/>
    <w:rsid w:val="00AB53D5"/>
    <w:rsid w:val="00AB5A2F"/>
    <w:rsid w:val="00AB5F0F"/>
    <w:rsid w:val="00AB627F"/>
    <w:rsid w:val="00AB6C9A"/>
    <w:rsid w:val="00AB7824"/>
    <w:rsid w:val="00AC14D1"/>
    <w:rsid w:val="00AC1581"/>
    <w:rsid w:val="00AC23C5"/>
    <w:rsid w:val="00AC2609"/>
    <w:rsid w:val="00AC27A6"/>
    <w:rsid w:val="00AC2E4B"/>
    <w:rsid w:val="00AC2F39"/>
    <w:rsid w:val="00AC4E81"/>
    <w:rsid w:val="00AC526B"/>
    <w:rsid w:val="00AC5971"/>
    <w:rsid w:val="00AC5C93"/>
    <w:rsid w:val="00AC5E17"/>
    <w:rsid w:val="00AC613A"/>
    <w:rsid w:val="00AC64F9"/>
    <w:rsid w:val="00AC665B"/>
    <w:rsid w:val="00AC66DF"/>
    <w:rsid w:val="00AC6AF3"/>
    <w:rsid w:val="00AC6B02"/>
    <w:rsid w:val="00AC7529"/>
    <w:rsid w:val="00AC766C"/>
    <w:rsid w:val="00AC7873"/>
    <w:rsid w:val="00AC7B83"/>
    <w:rsid w:val="00AC7F30"/>
    <w:rsid w:val="00AC7F68"/>
    <w:rsid w:val="00AD09BA"/>
    <w:rsid w:val="00AD109B"/>
    <w:rsid w:val="00AD1A4E"/>
    <w:rsid w:val="00AD1C72"/>
    <w:rsid w:val="00AD2970"/>
    <w:rsid w:val="00AD2C07"/>
    <w:rsid w:val="00AD2C15"/>
    <w:rsid w:val="00AD2E0D"/>
    <w:rsid w:val="00AD3545"/>
    <w:rsid w:val="00AD3BA4"/>
    <w:rsid w:val="00AD3E54"/>
    <w:rsid w:val="00AD450C"/>
    <w:rsid w:val="00AD46BF"/>
    <w:rsid w:val="00AD52FA"/>
    <w:rsid w:val="00AD5CB3"/>
    <w:rsid w:val="00AD5E96"/>
    <w:rsid w:val="00AD6144"/>
    <w:rsid w:val="00AD6273"/>
    <w:rsid w:val="00AD635C"/>
    <w:rsid w:val="00AD6E00"/>
    <w:rsid w:val="00AD6E2D"/>
    <w:rsid w:val="00AD7164"/>
    <w:rsid w:val="00AD71AB"/>
    <w:rsid w:val="00AD7E0B"/>
    <w:rsid w:val="00AE1303"/>
    <w:rsid w:val="00AE1C3F"/>
    <w:rsid w:val="00AE214F"/>
    <w:rsid w:val="00AE258F"/>
    <w:rsid w:val="00AE2B84"/>
    <w:rsid w:val="00AE30D1"/>
    <w:rsid w:val="00AE3428"/>
    <w:rsid w:val="00AE34F1"/>
    <w:rsid w:val="00AE36D3"/>
    <w:rsid w:val="00AE3AB2"/>
    <w:rsid w:val="00AE468E"/>
    <w:rsid w:val="00AE47E8"/>
    <w:rsid w:val="00AE496A"/>
    <w:rsid w:val="00AE4C2F"/>
    <w:rsid w:val="00AE5098"/>
    <w:rsid w:val="00AE59EA"/>
    <w:rsid w:val="00AE5E9C"/>
    <w:rsid w:val="00AE5FC0"/>
    <w:rsid w:val="00AE60EC"/>
    <w:rsid w:val="00AE6250"/>
    <w:rsid w:val="00AE64CF"/>
    <w:rsid w:val="00AE6638"/>
    <w:rsid w:val="00AF037F"/>
    <w:rsid w:val="00AF0C1C"/>
    <w:rsid w:val="00AF0DE8"/>
    <w:rsid w:val="00AF1F8A"/>
    <w:rsid w:val="00AF261D"/>
    <w:rsid w:val="00AF279C"/>
    <w:rsid w:val="00AF30A2"/>
    <w:rsid w:val="00AF36CD"/>
    <w:rsid w:val="00AF3816"/>
    <w:rsid w:val="00AF3C25"/>
    <w:rsid w:val="00AF3E6D"/>
    <w:rsid w:val="00AF3ECF"/>
    <w:rsid w:val="00AF403D"/>
    <w:rsid w:val="00AF4ACF"/>
    <w:rsid w:val="00AF50D5"/>
    <w:rsid w:val="00AF51ED"/>
    <w:rsid w:val="00AF5589"/>
    <w:rsid w:val="00AF5A27"/>
    <w:rsid w:val="00AF5AE3"/>
    <w:rsid w:val="00AF69FA"/>
    <w:rsid w:val="00AF6B49"/>
    <w:rsid w:val="00B000E2"/>
    <w:rsid w:val="00B00634"/>
    <w:rsid w:val="00B00AF3"/>
    <w:rsid w:val="00B01063"/>
    <w:rsid w:val="00B012B5"/>
    <w:rsid w:val="00B01A04"/>
    <w:rsid w:val="00B025AF"/>
    <w:rsid w:val="00B026AD"/>
    <w:rsid w:val="00B02E82"/>
    <w:rsid w:val="00B0369A"/>
    <w:rsid w:val="00B03914"/>
    <w:rsid w:val="00B041E1"/>
    <w:rsid w:val="00B04206"/>
    <w:rsid w:val="00B0427E"/>
    <w:rsid w:val="00B053F8"/>
    <w:rsid w:val="00B0565F"/>
    <w:rsid w:val="00B05732"/>
    <w:rsid w:val="00B0594F"/>
    <w:rsid w:val="00B05D79"/>
    <w:rsid w:val="00B06A1E"/>
    <w:rsid w:val="00B06A7E"/>
    <w:rsid w:val="00B076D2"/>
    <w:rsid w:val="00B103BE"/>
    <w:rsid w:val="00B10441"/>
    <w:rsid w:val="00B111E4"/>
    <w:rsid w:val="00B11228"/>
    <w:rsid w:val="00B11234"/>
    <w:rsid w:val="00B11E31"/>
    <w:rsid w:val="00B12166"/>
    <w:rsid w:val="00B1224E"/>
    <w:rsid w:val="00B1258E"/>
    <w:rsid w:val="00B1267F"/>
    <w:rsid w:val="00B12831"/>
    <w:rsid w:val="00B134D3"/>
    <w:rsid w:val="00B1362E"/>
    <w:rsid w:val="00B13BB1"/>
    <w:rsid w:val="00B1470C"/>
    <w:rsid w:val="00B14C96"/>
    <w:rsid w:val="00B15113"/>
    <w:rsid w:val="00B15203"/>
    <w:rsid w:val="00B1562E"/>
    <w:rsid w:val="00B15C0E"/>
    <w:rsid w:val="00B1686C"/>
    <w:rsid w:val="00B16CA1"/>
    <w:rsid w:val="00B170D2"/>
    <w:rsid w:val="00B17560"/>
    <w:rsid w:val="00B207A6"/>
    <w:rsid w:val="00B20A09"/>
    <w:rsid w:val="00B20ADF"/>
    <w:rsid w:val="00B2205C"/>
    <w:rsid w:val="00B22180"/>
    <w:rsid w:val="00B22790"/>
    <w:rsid w:val="00B23188"/>
    <w:rsid w:val="00B234AD"/>
    <w:rsid w:val="00B23739"/>
    <w:rsid w:val="00B238A4"/>
    <w:rsid w:val="00B239B7"/>
    <w:rsid w:val="00B24114"/>
    <w:rsid w:val="00B24477"/>
    <w:rsid w:val="00B24838"/>
    <w:rsid w:val="00B24B9B"/>
    <w:rsid w:val="00B2531B"/>
    <w:rsid w:val="00B25F81"/>
    <w:rsid w:val="00B262C2"/>
    <w:rsid w:val="00B262DB"/>
    <w:rsid w:val="00B264A8"/>
    <w:rsid w:val="00B2664C"/>
    <w:rsid w:val="00B26819"/>
    <w:rsid w:val="00B273E4"/>
    <w:rsid w:val="00B279F2"/>
    <w:rsid w:val="00B27DAF"/>
    <w:rsid w:val="00B301B4"/>
    <w:rsid w:val="00B30877"/>
    <w:rsid w:val="00B30C35"/>
    <w:rsid w:val="00B32C8F"/>
    <w:rsid w:val="00B33768"/>
    <w:rsid w:val="00B344FE"/>
    <w:rsid w:val="00B34817"/>
    <w:rsid w:val="00B34EED"/>
    <w:rsid w:val="00B35157"/>
    <w:rsid w:val="00B3549A"/>
    <w:rsid w:val="00B35815"/>
    <w:rsid w:val="00B3581E"/>
    <w:rsid w:val="00B3593B"/>
    <w:rsid w:val="00B35E53"/>
    <w:rsid w:val="00B36211"/>
    <w:rsid w:val="00B364CB"/>
    <w:rsid w:val="00B3743D"/>
    <w:rsid w:val="00B401BE"/>
    <w:rsid w:val="00B404B6"/>
    <w:rsid w:val="00B4088C"/>
    <w:rsid w:val="00B40F37"/>
    <w:rsid w:val="00B41CB1"/>
    <w:rsid w:val="00B41E80"/>
    <w:rsid w:val="00B41FC0"/>
    <w:rsid w:val="00B4255A"/>
    <w:rsid w:val="00B42921"/>
    <w:rsid w:val="00B42CF2"/>
    <w:rsid w:val="00B43936"/>
    <w:rsid w:val="00B43FA1"/>
    <w:rsid w:val="00B4483C"/>
    <w:rsid w:val="00B4493E"/>
    <w:rsid w:val="00B44CC9"/>
    <w:rsid w:val="00B4608A"/>
    <w:rsid w:val="00B46673"/>
    <w:rsid w:val="00B466A4"/>
    <w:rsid w:val="00B46A72"/>
    <w:rsid w:val="00B47136"/>
    <w:rsid w:val="00B475A3"/>
    <w:rsid w:val="00B4782B"/>
    <w:rsid w:val="00B47D53"/>
    <w:rsid w:val="00B50765"/>
    <w:rsid w:val="00B5204A"/>
    <w:rsid w:val="00B525B6"/>
    <w:rsid w:val="00B526AE"/>
    <w:rsid w:val="00B52724"/>
    <w:rsid w:val="00B5289C"/>
    <w:rsid w:val="00B52BC6"/>
    <w:rsid w:val="00B52C56"/>
    <w:rsid w:val="00B53104"/>
    <w:rsid w:val="00B53B48"/>
    <w:rsid w:val="00B5427F"/>
    <w:rsid w:val="00B549B1"/>
    <w:rsid w:val="00B54D05"/>
    <w:rsid w:val="00B55D69"/>
    <w:rsid w:val="00B5636C"/>
    <w:rsid w:val="00B577BB"/>
    <w:rsid w:val="00B57F30"/>
    <w:rsid w:val="00B6038F"/>
    <w:rsid w:val="00B60B2E"/>
    <w:rsid w:val="00B60C4B"/>
    <w:rsid w:val="00B60D90"/>
    <w:rsid w:val="00B60E5D"/>
    <w:rsid w:val="00B60FEB"/>
    <w:rsid w:val="00B62411"/>
    <w:rsid w:val="00B6265B"/>
    <w:rsid w:val="00B62A84"/>
    <w:rsid w:val="00B62D95"/>
    <w:rsid w:val="00B6391B"/>
    <w:rsid w:val="00B63D33"/>
    <w:rsid w:val="00B6426E"/>
    <w:rsid w:val="00B644A3"/>
    <w:rsid w:val="00B649E3"/>
    <w:rsid w:val="00B64A32"/>
    <w:rsid w:val="00B65668"/>
    <w:rsid w:val="00B65A9B"/>
    <w:rsid w:val="00B65AF6"/>
    <w:rsid w:val="00B66262"/>
    <w:rsid w:val="00B6671F"/>
    <w:rsid w:val="00B66A42"/>
    <w:rsid w:val="00B66BA1"/>
    <w:rsid w:val="00B670B6"/>
    <w:rsid w:val="00B671D3"/>
    <w:rsid w:val="00B6782D"/>
    <w:rsid w:val="00B67942"/>
    <w:rsid w:val="00B70591"/>
    <w:rsid w:val="00B706A3"/>
    <w:rsid w:val="00B70874"/>
    <w:rsid w:val="00B70D7E"/>
    <w:rsid w:val="00B710F6"/>
    <w:rsid w:val="00B71AD2"/>
    <w:rsid w:val="00B71DFC"/>
    <w:rsid w:val="00B7336E"/>
    <w:rsid w:val="00B74291"/>
    <w:rsid w:val="00B74992"/>
    <w:rsid w:val="00B74AFC"/>
    <w:rsid w:val="00B74BB9"/>
    <w:rsid w:val="00B75F1E"/>
    <w:rsid w:val="00B76239"/>
    <w:rsid w:val="00B765C3"/>
    <w:rsid w:val="00B76A14"/>
    <w:rsid w:val="00B76B91"/>
    <w:rsid w:val="00B7762D"/>
    <w:rsid w:val="00B776E1"/>
    <w:rsid w:val="00B77A11"/>
    <w:rsid w:val="00B77B51"/>
    <w:rsid w:val="00B77E1E"/>
    <w:rsid w:val="00B77E48"/>
    <w:rsid w:val="00B77E8D"/>
    <w:rsid w:val="00B805A4"/>
    <w:rsid w:val="00B80B0A"/>
    <w:rsid w:val="00B816F5"/>
    <w:rsid w:val="00B81CE1"/>
    <w:rsid w:val="00B81CFD"/>
    <w:rsid w:val="00B81E9E"/>
    <w:rsid w:val="00B82CFF"/>
    <w:rsid w:val="00B8329D"/>
    <w:rsid w:val="00B8369B"/>
    <w:rsid w:val="00B83BE6"/>
    <w:rsid w:val="00B84675"/>
    <w:rsid w:val="00B85A85"/>
    <w:rsid w:val="00B85D57"/>
    <w:rsid w:val="00B85F9E"/>
    <w:rsid w:val="00B866F4"/>
    <w:rsid w:val="00B868CD"/>
    <w:rsid w:val="00B869B2"/>
    <w:rsid w:val="00B86FE3"/>
    <w:rsid w:val="00B87174"/>
    <w:rsid w:val="00B872A4"/>
    <w:rsid w:val="00B903FC"/>
    <w:rsid w:val="00B90A3D"/>
    <w:rsid w:val="00B90D31"/>
    <w:rsid w:val="00B90E58"/>
    <w:rsid w:val="00B90FF4"/>
    <w:rsid w:val="00B918E6"/>
    <w:rsid w:val="00B91A07"/>
    <w:rsid w:val="00B926A2"/>
    <w:rsid w:val="00B926B3"/>
    <w:rsid w:val="00B9292A"/>
    <w:rsid w:val="00B9302C"/>
    <w:rsid w:val="00B93F06"/>
    <w:rsid w:val="00B93F97"/>
    <w:rsid w:val="00B9414E"/>
    <w:rsid w:val="00B94ECF"/>
    <w:rsid w:val="00B94FE6"/>
    <w:rsid w:val="00B953E5"/>
    <w:rsid w:val="00B955C3"/>
    <w:rsid w:val="00B95A82"/>
    <w:rsid w:val="00B95DAE"/>
    <w:rsid w:val="00B97067"/>
    <w:rsid w:val="00B97896"/>
    <w:rsid w:val="00B9793D"/>
    <w:rsid w:val="00BA019F"/>
    <w:rsid w:val="00BA0876"/>
    <w:rsid w:val="00BA0C2B"/>
    <w:rsid w:val="00BA11D3"/>
    <w:rsid w:val="00BA1FFB"/>
    <w:rsid w:val="00BA2028"/>
    <w:rsid w:val="00BA29E3"/>
    <w:rsid w:val="00BA2AE2"/>
    <w:rsid w:val="00BA3074"/>
    <w:rsid w:val="00BA3925"/>
    <w:rsid w:val="00BA4437"/>
    <w:rsid w:val="00BA4802"/>
    <w:rsid w:val="00BA4C01"/>
    <w:rsid w:val="00BA4E69"/>
    <w:rsid w:val="00BA585D"/>
    <w:rsid w:val="00BA6584"/>
    <w:rsid w:val="00BA7840"/>
    <w:rsid w:val="00BA790C"/>
    <w:rsid w:val="00BA7949"/>
    <w:rsid w:val="00BB0F93"/>
    <w:rsid w:val="00BB23A5"/>
    <w:rsid w:val="00BB312D"/>
    <w:rsid w:val="00BB3511"/>
    <w:rsid w:val="00BB4111"/>
    <w:rsid w:val="00BB42C5"/>
    <w:rsid w:val="00BB4350"/>
    <w:rsid w:val="00BB43C3"/>
    <w:rsid w:val="00BB4ADF"/>
    <w:rsid w:val="00BB52EF"/>
    <w:rsid w:val="00BB534D"/>
    <w:rsid w:val="00BB5490"/>
    <w:rsid w:val="00BB657D"/>
    <w:rsid w:val="00BB6AD5"/>
    <w:rsid w:val="00BB79F8"/>
    <w:rsid w:val="00BB7E79"/>
    <w:rsid w:val="00BC00D7"/>
    <w:rsid w:val="00BC0D69"/>
    <w:rsid w:val="00BC167D"/>
    <w:rsid w:val="00BC16AE"/>
    <w:rsid w:val="00BC1847"/>
    <w:rsid w:val="00BC25A3"/>
    <w:rsid w:val="00BC25C3"/>
    <w:rsid w:val="00BC28B7"/>
    <w:rsid w:val="00BC2972"/>
    <w:rsid w:val="00BC43CB"/>
    <w:rsid w:val="00BC47AC"/>
    <w:rsid w:val="00BC48EB"/>
    <w:rsid w:val="00BC49A7"/>
    <w:rsid w:val="00BC515F"/>
    <w:rsid w:val="00BC5845"/>
    <w:rsid w:val="00BC58C0"/>
    <w:rsid w:val="00BC63E7"/>
    <w:rsid w:val="00BC6481"/>
    <w:rsid w:val="00BC7D43"/>
    <w:rsid w:val="00BD05AF"/>
    <w:rsid w:val="00BD0AC6"/>
    <w:rsid w:val="00BD112D"/>
    <w:rsid w:val="00BD1309"/>
    <w:rsid w:val="00BD2835"/>
    <w:rsid w:val="00BD2955"/>
    <w:rsid w:val="00BD2E9A"/>
    <w:rsid w:val="00BD3821"/>
    <w:rsid w:val="00BD3F33"/>
    <w:rsid w:val="00BD450A"/>
    <w:rsid w:val="00BD4825"/>
    <w:rsid w:val="00BD5A8F"/>
    <w:rsid w:val="00BD5D4C"/>
    <w:rsid w:val="00BD5D4D"/>
    <w:rsid w:val="00BD5FBD"/>
    <w:rsid w:val="00BD6ADF"/>
    <w:rsid w:val="00BD7026"/>
    <w:rsid w:val="00BD73F4"/>
    <w:rsid w:val="00BD745B"/>
    <w:rsid w:val="00BE006F"/>
    <w:rsid w:val="00BE0609"/>
    <w:rsid w:val="00BE08B4"/>
    <w:rsid w:val="00BE0E3C"/>
    <w:rsid w:val="00BE0FBC"/>
    <w:rsid w:val="00BE11B6"/>
    <w:rsid w:val="00BE1573"/>
    <w:rsid w:val="00BE24C0"/>
    <w:rsid w:val="00BE25E9"/>
    <w:rsid w:val="00BE2EAB"/>
    <w:rsid w:val="00BE3178"/>
    <w:rsid w:val="00BE3EF1"/>
    <w:rsid w:val="00BE4BD1"/>
    <w:rsid w:val="00BE507B"/>
    <w:rsid w:val="00BE5355"/>
    <w:rsid w:val="00BE54C4"/>
    <w:rsid w:val="00BE61BB"/>
    <w:rsid w:val="00BE622E"/>
    <w:rsid w:val="00BE6A5D"/>
    <w:rsid w:val="00BF0053"/>
    <w:rsid w:val="00BF2555"/>
    <w:rsid w:val="00BF2827"/>
    <w:rsid w:val="00BF2A66"/>
    <w:rsid w:val="00BF2B99"/>
    <w:rsid w:val="00BF30F8"/>
    <w:rsid w:val="00BF3929"/>
    <w:rsid w:val="00BF40F6"/>
    <w:rsid w:val="00BF45BC"/>
    <w:rsid w:val="00BF4870"/>
    <w:rsid w:val="00BF48DC"/>
    <w:rsid w:val="00BF4B9E"/>
    <w:rsid w:val="00BF56B0"/>
    <w:rsid w:val="00BF6B7B"/>
    <w:rsid w:val="00BF78FA"/>
    <w:rsid w:val="00BF7FEB"/>
    <w:rsid w:val="00C0030F"/>
    <w:rsid w:val="00C00920"/>
    <w:rsid w:val="00C01B49"/>
    <w:rsid w:val="00C0227C"/>
    <w:rsid w:val="00C029D1"/>
    <w:rsid w:val="00C02A2F"/>
    <w:rsid w:val="00C02F08"/>
    <w:rsid w:val="00C04016"/>
    <w:rsid w:val="00C04E44"/>
    <w:rsid w:val="00C06457"/>
    <w:rsid w:val="00C066DE"/>
    <w:rsid w:val="00C069BD"/>
    <w:rsid w:val="00C07037"/>
    <w:rsid w:val="00C07450"/>
    <w:rsid w:val="00C07804"/>
    <w:rsid w:val="00C07AE4"/>
    <w:rsid w:val="00C07CF2"/>
    <w:rsid w:val="00C102FB"/>
    <w:rsid w:val="00C1061F"/>
    <w:rsid w:val="00C1119E"/>
    <w:rsid w:val="00C11B9A"/>
    <w:rsid w:val="00C11DBB"/>
    <w:rsid w:val="00C11E1A"/>
    <w:rsid w:val="00C1233A"/>
    <w:rsid w:val="00C129EB"/>
    <w:rsid w:val="00C12ADA"/>
    <w:rsid w:val="00C1308D"/>
    <w:rsid w:val="00C136D7"/>
    <w:rsid w:val="00C13934"/>
    <w:rsid w:val="00C1461D"/>
    <w:rsid w:val="00C14C0C"/>
    <w:rsid w:val="00C151AF"/>
    <w:rsid w:val="00C153E0"/>
    <w:rsid w:val="00C15D7D"/>
    <w:rsid w:val="00C15E4C"/>
    <w:rsid w:val="00C15EDA"/>
    <w:rsid w:val="00C163A4"/>
    <w:rsid w:val="00C16429"/>
    <w:rsid w:val="00C17072"/>
    <w:rsid w:val="00C17DF8"/>
    <w:rsid w:val="00C209DA"/>
    <w:rsid w:val="00C2139A"/>
    <w:rsid w:val="00C21740"/>
    <w:rsid w:val="00C22D77"/>
    <w:rsid w:val="00C22E40"/>
    <w:rsid w:val="00C23105"/>
    <w:rsid w:val="00C23F20"/>
    <w:rsid w:val="00C24A1C"/>
    <w:rsid w:val="00C24CE1"/>
    <w:rsid w:val="00C25B4B"/>
    <w:rsid w:val="00C26362"/>
    <w:rsid w:val="00C2793B"/>
    <w:rsid w:val="00C27AC8"/>
    <w:rsid w:val="00C27DE5"/>
    <w:rsid w:val="00C3014E"/>
    <w:rsid w:val="00C3020E"/>
    <w:rsid w:val="00C30BD3"/>
    <w:rsid w:val="00C310AA"/>
    <w:rsid w:val="00C31196"/>
    <w:rsid w:val="00C31200"/>
    <w:rsid w:val="00C318B1"/>
    <w:rsid w:val="00C32229"/>
    <w:rsid w:val="00C326B5"/>
    <w:rsid w:val="00C33F5D"/>
    <w:rsid w:val="00C33FA8"/>
    <w:rsid w:val="00C341FB"/>
    <w:rsid w:val="00C3487B"/>
    <w:rsid w:val="00C34C6B"/>
    <w:rsid w:val="00C37056"/>
    <w:rsid w:val="00C372C5"/>
    <w:rsid w:val="00C372CA"/>
    <w:rsid w:val="00C40E09"/>
    <w:rsid w:val="00C4197E"/>
    <w:rsid w:val="00C41B03"/>
    <w:rsid w:val="00C41B1E"/>
    <w:rsid w:val="00C41C0F"/>
    <w:rsid w:val="00C42C16"/>
    <w:rsid w:val="00C43355"/>
    <w:rsid w:val="00C43BBB"/>
    <w:rsid w:val="00C44362"/>
    <w:rsid w:val="00C44A99"/>
    <w:rsid w:val="00C454A6"/>
    <w:rsid w:val="00C458AC"/>
    <w:rsid w:val="00C45D7C"/>
    <w:rsid w:val="00C466EA"/>
    <w:rsid w:val="00C47A75"/>
    <w:rsid w:val="00C47AA2"/>
    <w:rsid w:val="00C47B2F"/>
    <w:rsid w:val="00C47BD2"/>
    <w:rsid w:val="00C47F24"/>
    <w:rsid w:val="00C50120"/>
    <w:rsid w:val="00C50E41"/>
    <w:rsid w:val="00C5146F"/>
    <w:rsid w:val="00C51D19"/>
    <w:rsid w:val="00C51E06"/>
    <w:rsid w:val="00C51FBD"/>
    <w:rsid w:val="00C5209C"/>
    <w:rsid w:val="00C5219E"/>
    <w:rsid w:val="00C5256D"/>
    <w:rsid w:val="00C52709"/>
    <w:rsid w:val="00C52896"/>
    <w:rsid w:val="00C538C5"/>
    <w:rsid w:val="00C54844"/>
    <w:rsid w:val="00C54B8A"/>
    <w:rsid w:val="00C54BE3"/>
    <w:rsid w:val="00C552E0"/>
    <w:rsid w:val="00C55528"/>
    <w:rsid w:val="00C55624"/>
    <w:rsid w:val="00C5590B"/>
    <w:rsid w:val="00C5590E"/>
    <w:rsid w:val="00C56A87"/>
    <w:rsid w:val="00C57896"/>
    <w:rsid w:val="00C57953"/>
    <w:rsid w:val="00C603E6"/>
    <w:rsid w:val="00C611D0"/>
    <w:rsid w:val="00C614C0"/>
    <w:rsid w:val="00C627F9"/>
    <w:rsid w:val="00C63222"/>
    <w:rsid w:val="00C63365"/>
    <w:rsid w:val="00C633A1"/>
    <w:rsid w:val="00C63688"/>
    <w:rsid w:val="00C63845"/>
    <w:rsid w:val="00C63E21"/>
    <w:rsid w:val="00C64673"/>
    <w:rsid w:val="00C64AFB"/>
    <w:rsid w:val="00C65456"/>
    <w:rsid w:val="00C65708"/>
    <w:rsid w:val="00C65F9D"/>
    <w:rsid w:val="00C67976"/>
    <w:rsid w:val="00C67AEC"/>
    <w:rsid w:val="00C67B6E"/>
    <w:rsid w:val="00C67B75"/>
    <w:rsid w:val="00C702D0"/>
    <w:rsid w:val="00C70F6A"/>
    <w:rsid w:val="00C71638"/>
    <w:rsid w:val="00C717AA"/>
    <w:rsid w:val="00C7199B"/>
    <w:rsid w:val="00C72C2D"/>
    <w:rsid w:val="00C72EDB"/>
    <w:rsid w:val="00C7301C"/>
    <w:rsid w:val="00C7407F"/>
    <w:rsid w:val="00C747E6"/>
    <w:rsid w:val="00C749CB"/>
    <w:rsid w:val="00C74E5B"/>
    <w:rsid w:val="00C74FC4"/>
    <w:rsid w:val="00C757BD"/>
    <w:rsid w:val="00C76F1F"/>
    <w:rsid w:val="00C776BA"/>
    <w:rsid w:val="00C77907"/>
    <w:rsid w:val="00C7794D"/>
    <w:rsid w:val="00C77D4C"/>
    <w:rsid w:val="00C77EDE"/>
    <w:rsid w:val="00C801B0"/>
    <w:rsid w:val="00C80A66"/>
    <w:rsid w:val="00C815E2"/>
    <w:rsid w:val="00C81814"/>
    <w:rsid w:val="00C81AAD"/>
    <w:rsid w:val="00C83825"/>
    <w:rsid w:val="00C83F14"/>
    <w:rsid w:val="00C8405C"/>
    <w:rsid w:val="00C8520B"/>
    <w:rsid w:val="00C85278"/>
    <w:rsid w:val="00C8697D"/>
    <w:rsid w:val="00C87247"/>
    <w:rsid w:val="00C87632"/>
    <w:rsid w:val="00C877C3"/>
    <w:rsid w:val="00C90467"/>
    <w:rsid w:val="00C90D24"/>
    <w:rsid w:val="00C91644"/>
    <w:rsid w:val="00C918B5"/>
    <w:rsid w:val="00C91DDB"/>
    <w:rsid w:val="00C91E32"/>
    <w:rsid w:val="00C91F37"/>
    <w:rsid w:val="00C92021"/>
    <w:rsid w:val="00C92150"/>
    <w:rsid w:val="00C924BE"/>
    <w:rsid w:val="00C92690"/>
    <w:rsid w:val="00C929F6"/>
    <w:rsid w:val="00C92B40"/>
    <w:rsid w:val="00C93D76"/>
    <w:rsid w:val="00C941A2"/>
    <w:rsid w:val="00C94433"/>
    <w:rsid w:val="00C94EC6"/>
    <w:rsid w:val="00C95A68"/>
    <w:rsid w:val="00C95C89"/>
    <w:rsid w:val="00C95F7F"/>
    <w:rsid w:val="00C9735D"/>
    <w:rsid w:val="00C9757D"/>
    <w:rsid w:val="00C976D3"/>
    <w:rsid w:val="00C976D8"/>
    <w:rsid w:val="00C9788C"/>
    <w:rsid w:val="00CA07AF"/>
    <w:rsid w:val="00CA0B29"/>
    <w:rsid w:val="00CA0BC7"/>
    <w:rsid w:val="00CA11F1"/>
    <w:rsid w:val="00CA1816"/>
    <w:rsid w:val="00CA1BBB"/>
    <w:rsid w:val="00CA1E6B"/>
    <w:rsid w:val="00CA274C"/>
    <w:rsid w:val="00CA2AF9"/>
    <w:rsid w:val="00CA2D39"/>
    <w:rsid w:val="00CA43F9"/>
    <w:rsid w:val="00CA4663"/>
    <w:rsid w:val="00CA46B3"/>
    <w:rsid w:val="00CA4EDF"/>
    <w:rsid w:val="00CA57E9"/>
    <w:rsid w:val="00CA5DC0"/>
    <w:rsid w:val="00CA6144"/>
    <w:rsid w:val="00CA6890"/>
    <w:rsid w:val="00CA6E83"/>
    <w:rsid w:val="00CA7669"/>
    <w:rsid w:val="00CA7EF4"/>
    <w:rsid w:val="00CB00A6"/>
    <w:rsid w:val="00CB0C5B"/>
    <w:rsid w:val="00CB1CDA"/>
    <w:rsid w:val="00CB238D"/>
    <w:rsid w:val="00CB3A76"/>
    <w:rsid w:val="00CB4613"/>
    <w:rsid w:val="00CB46A9"/>
    <w:rsid w:val="00CB4AAB"/>
    <w:rsid w:val="00CB4BC8"/>
    <w:rsid w:val="00CB4F4F"/>
    <w:rsid w:val="00CB6D59"/>
    <w:rsid w:val="00CB75CC"/>
    <w:rsid w:val="00CC0511"/>
    <w:rsid w:val="00CC073E"/>
    <w:rsid w:val="00CC09CB"/>
    <w:rsid w:val="00CC0C5F"/>
    <w:rsid w:val="00CC0D72"/>
    <w:rsid w:val="00CC1AE2"/>
    <w:rsid w:val="00CC25EC"/>
    <w:rsid w:val="00CC375E"/>
    <w:rsid w:val="00CC38A0"/>
    <w:rsid w:val="00CC46C4"/>
    <w:rsid w:val="00CC476A"/>
    <w:rsid w:val="00CC4C59"/>
    <w:rsid w:val="00CC4E7B"/>
    <w:rsid w:val="00CC62DA"/>
    <w:rsid w:val="00CC64B5"/>
    <w:rsid w:val="00CC6906"/>
    <w:rsid w:val="00CC6DE6"/>
    <w:rsid w:val="00CC79FD"/>
    <w:rsid w:val="00CD0438"/>
    <w:rsid w:val="00CD1942"/>
    <w:rsid w:val="00CD227A"/>
    <w:rsid w:val="00CD2541"/>
    <w:rsid w:val="00CD2849"/>
    <w:rsid w:val="00CD2D8B"/>
    <w:rsid w:val="00CD30FD"/>
    <w:rsid w:val="00CD3BE2"/>
    <w:rsid w:val="00CD4290"/>
    <w:rsid w:val="00CD5615"/>
    <w:rsid w:val="00CD57A3"/>
    <w:rsid w:val="00CD5DBE"/>
    <w:rsid w:val="00CD73E9"/>
    <w:rsid w:val="00CE19C3"/>
    <w:rsid w:val="00CE2C34"/>
    <w:rsid w:val="00CE2DF6"/>
    <w:rsid w:val="00CE395A"/>
    <w:rsid w:val="00CE3A30"/>
    <w:rsid w:val="00CE3E3E"/>
    <w:rsid w:val="00CE3F6E"/>
    <w:rsid w:val="00CE50B6"/>
    <w:rsid w:val="00CE53E5"/>
    <w:rsid w:val="00CE5525"/>
    <w:rsid w:val="00CE60B5"/>
    <w:rsid w:val="00CE70C1"/>
    <w:rsid w:val="00CE78E3"/>
    <w:rsid w:val="00CE79D1"/>
    <w:rsid w:val="00CE7A45"/>
    <w:rsid w:val="00CF00C0"/>
    <w:rsid w:val="00CF062B"/>
    <w:rsid w:val="00CF0DF4"/>
    <w:rsid w:val="00CF0E7E"/>
    <w:rsid w:val="00CF1424"/>
    <w:rsid w:val="00CF1D11"/>
    <w:rsid w:val="00CF1F7C"/>
    <w:rsid w:val="00CF269E"/>
    <w:rsid w:val="00CF2777"/>
    <w:rsid w:val="00CF2896"/>
    <w:rsid w:val="00CF2935"/>
    <w:rsid w:val="00CF2BC4"/>
    <w:rsid w:val="00CF3408"/>
    <w:rsid w:val="00CF368D"/>
    <w:rsid w:val="00CF3B81"/>
    <w:rsid w:val="00CF4069"/>
    <w:rsid w:val="00CF43B8"/>
    <w:rsid w:val="00CF483B"/>
    <w:rsid w:val="00CF55DE"/>
    <w:rsid w:val="00CF5E92"/>
    <w:rsid w:val="00CF6388"/>
    <w:rsid w:val="00CF69EB"/>
    <w:rsid w:val="00CF6E5B"/>
    <w:rsid w:val="00CF7248"/>
    <w:rsid w:val="00CF7863"/>
    <w:rsid w:val="00D006CD"/>
    <w:rsid w:val="00D006E4"/>
    <w:rsid w:val="00D00BA2"/>
    <w:rsid w:val="00D00BDB"/>
    <w:rsid w:val="00D01FC1"/>
    <w:rsid w:val="00D02106"/>
    <w:rsid w:val="00D02EC4"/>
    <w:rsid w:val="00D02FD9"/>
    <w:rsid w:val="00D035D2"/>
    <w:rsid w:val="00D035EA"/>
    <w:rsid w:val="00D0373B"/>
    <w:rsid w:val="00D03E5D"/>
    <w:rsid w:val="00D0403F"/>
    <w:rsid w:val="00D041D1"/>
    <w:rsid w:val="00D05180"/>
    <w:rsid w:val="00D05361"/>
    <w:rsid w:val="00D05706"/>
    <w:rsid w:val="00D06147"/>
    <w:rsid w:val="00D06574"/>
    <w:rsid w:val="00D06745"/>
    <w:rsid w:val="00D075AB"/>
    <w:rsid w:val="00D07D23"/>
    <w:rsid w:val="00D10A91"/>
    <w:rsid w:val="00D117EC"/>
    <w:rsid w:val="00D11B50"/>
    <w:rsid w:val="00D13806"/>
    <w:rsid w:val="00D138CE"/>
    <w:rsid w:val="00D139CE"/>
    <w:rsid w:val="00D14125"/>
    <w:rsid w:val="00D142E1"/>
    <w:rsid w:val="00D149BA"/>
    <w:rsid w:val="00D14BB4"/>
    <w:rsid w:val="00D14EF8"/>
    <w:rsid w:val="00D15E70"/>
    <w:rsid w:val="00D16C23"/>
    <w:rsid w:val="00D16F23"/>
    <w:rsid w:val="00D1791C"/>
    <w:rsid w:val="00D17BE6"/>
    <w:rsid w:val="00D17C8D"/>
    <w:rsid w:val="00D17D2B"/>
    <w:rsid w:val="00D2052D"/>
    <w:rsid w:val="00D2111F"/>
    <w:rsid w:val="00D2209A"/>
    <w:rsid w:val="00D22180"/>
    <w:rsid w:val="00D22B1B"/>
    <w:rsid w:val="00D22D5E"/>
    <w:rsid w:val="00D22F9A"/>
    <w:rsid w:val="00D24097"/>
    <w:rsid w:val="00D24788"/>
    <w:rsid w:val="00D24E9F"/>
    <w:rsid w:val="00D25716"/>
    <w:rsid w:val="00D258C8"/>
    <w:rsid w:val="00D25B34"/>
    <w:rsid w:val="00D25B3C"/>
    <w:rsid w:val="00D25BE3"/>
    <w:rsid w:val="00D25E54"/>
    <w:rsid w:val="00D2654C"/>
    <w:rsid w:val="00D265A0"/>
    <w:rsid w:val="00D268CC"/>
    <w:rsid w:val="00D26CF1"/>
    <w:rsid w:val="00D27114"/>
    <w:rsid w:val="00D3006A"/>
    <w:rsid w:val="00D30A41"/>
    <w:rsid w:val="00D30E61"/>
    <w:rsid w:val="00D30F97"/>
    <w:rsid w:val="00D30FA1"/>
    <w:rsid w:val="00D31695"/>
    <w:rsid w:val="00D321B3"/>
    <w:rsid w:val="00D32740"/>
    <w:rsid w:val="00D32D4D"/>
    <w:rsid w:val="00D32F7F"/>
    <w:rsid w:val="00D337E6"/>
    <w:rsid w:val="00D33BF3"/>
    <w:rsid w:val="00D3430C"/>
    <w:rsid w:val="00D34750"/>
    <w:rsid w:val="00D34F01"/>
    <w:rsid w:val="00D356DE"/>
    <w:rsid w:val="00D356E1"/>
    <w:rsid w:val="00D35E58"/>
    <w:rsid w:val="00D36390"/>
    <w:rsid w:val="00D36888"/>
    <w:rsid w:val="00D36E59"/>
    <w:rsid w:val="00D36F05"/>
    <w:rsid w:val="00D36F2E"/>
    <w:rsid w:val="00D371F6"/>
    <w:rsid w:val="00D375A3"/>
    <w:rsid w:val="00D376F0"/>
    <w:rsid w:val="00D37C70"/>
    <w:rsid w:val="00D37CDA"/>
    <w:rsid w:val="00D400D4"/>
    <w:rsid w:val="00D40570"/>
    <w:rsid w:val="00D40DF1"/>
    <w:rsid w:val="00D40DF6"/>
    <w:rsid w:val="00D414C9"/>
    <w:rsid w:val="00D41B4E"/>
    <w:rsid w:val="00D42B78"/>
    <w:rsid w:val="00D42D75"/>
    <w:rsid w:val="00D43B35"/>
    <w:rsid w:val="00D440C4"/>
    <w:rsid w:val="00D448C7"/>
    <w:rsid w:val="00D44DC3"/>
    <w:rsid w:val="00D45550"/>
    <w:rsid w:val="00D4580B"/>
    <w:rsid w:val="00D45C54"/>
    <w:rsid w:val="00D4617A"/>
    <w:rsid w:val="00D46236"/>
    <w:rsid w:val="00D46C9B"/>
    <w:rsid w:val="00D471CF"/>
    <w:rsid w:val="00D50024"/>
    <w:rsid w:val="00D50443"/>
    <w:rsid w:val="00D51163"/>
    <w:rsid w:val="00D512E3"/>
    <w:rsid w:val="00D51347"/>
    <w:rsid w:val="00D51B92"/>
    <w:rsid w:val="00D520EC"/>
    <w:rsid w:val="00D52797"/>
    <w:rsid w:val="00D52F8F"/>
    <w:rsid w:val="00D544E4"/>
    <w:rsid w:val="00D5524F"/>
    <w:rsid w:val="00D5528C"/>
    <w:rsid w:val="00D554FB"/>
    <w:rsid w:val="00D5570F"/>
    <w:rsid w:val="00D56043"/>
    <w:rsid w:val="00D5609B"/>
    <w:rsid w:val="00D56219"/>
    <w:rsid w:val="00D5621A"/>
    <w:rsid w:val="00D56449"/>
    <w:rsid w:val="00D565CC"/>
    <w:rsid w:val="00D567DD"/>
    <w:rsid w:val="00D56BA5"/>
    <w:rsid w:val="00D57105"/>
    <w:rsid w:val="00D57790"/>
    <w:rsid w:val="00D60406"/>
    <w:rsid w:val="00D6053E"/>
    <w:rsid w:val="00D607DB"/>
    <w:rsid w:val="00D60E66"/>
    <w:rsid w:val="00D6201B"/>
    <w:rsid w:val="00D620BD"/>
    <w:rsid w:val="00D620CC"/>
    <w:rsid w:val="00D62E1B"/>
    <w:rsid w:val="00D64F30"/>
    <w:rsid w:val="00D65187"/>
    <w:rsid w:val="00D65230"/>
    <w:rsid w:val="00D657EF"/>
    <w:rsid w:val="00D664DC"/>
    <w:rsid w:val="00D665F1"/>
    <w:rsid w:val="00D66996"/>
    <w:rsid w:val="00D66ED5"/>
    <w:rsid w:val="00D67FD8"/>
    <w:rsid w:val="00D71251"/>
    <w:rsid w:val="00D71470"/>
    <w:rsid w:val="00D719F0"/>
    <w:rsid w:val="00D71B5B"/>
    <w:rsid w:val="00D72447"/>
    <w:rsid w:val="00D72A3D"/>
    <w:rsid w:val="00D72AE2"/>
    <w:rsid w:val="00D72C2F"/>
    <w:rsid w:val="00D730C2"/>
    <w:rsid w:val="00D74048"/>
    <w:rsid w:val="00D748DC"/>
    <w:rsid w:val="00D759C0"/>
    <w:rsid w:val="00D75AE4"/>
    <w:rsid w:val="00D76F23"/>
    <w:rsid w:val="00D778C5"/>
    <w:rsid w:val="00D77A2B"/>
    <w:rsid w:val="00D77B71"/>
    <w:rsid w:val="00D77D62"/>
    <w:rsid w:val="00D809D6"/>
    <w:rsid w:val="00D816C5"/>
    <w:rsid w:val="00D8184D"/>
    <w:rsid w:val="00D819C6"/>
    <w:rsid w:val="00D81BEA"/>
    <w:rsid w:val="00D81CB6"/>
    <w:rsid w:val="00D81F66"/>
    <w:rsid w:val="00D8348C"/>
    <w:rsid w:val="00D836B0"/>
    <w:rsid w:val="00D837E6"/>
    <w:rsid w:val="00D845F6"/>
    <w:rsid w:val="00D8493C"/>
    <w:rsid w:val="00D851D3"/>
    <w:rsid w:val="00D85229"/>
    <w:rsid w:val="00D85895"/>
    <w:rsid w:val="00D85A84"/>
    <w:rsid w:val="00D867E8"/>
    <w:rsid w:val="00D86C57"/>
    <w:rsid w:val="00D87D68"/>
    <w:rsid w:val="00D919A1"/>
    <w:rsid w:val="00D92680"/>
    <w:rsid w:val="00D92B15"/>
    <w:rsid w:val="00D931C3"/>
    <w:rsid w:val="00D93808"/>
    <w:rsid w:val="00D938A9"/>
    <w:rsid w:val="00D938E6"/>
    <w:rsid w:val="00D93A07"/>
    <w:rsid w:val="00D93C1B"/>
    <w:rsid w:val="00D93FEE"/>
    <w:rsid w:val="00D940D9"/>
    <w:rsid w:val="00D9428F"/>
    <w:rsid w:val="00D94A71"/>
    <w:rsid w:val="00D95A30"/>
    <w:rsid w:val="00DA0562"/>
    <w:rsid w:val="00DA0653"/>
    <w:rsid w:val="00DA0B56"/>
    <w:rsid w:val="00DA0E0C"/>
    <w:rsid w:val="00DA118D"/>
    <w:rsid w:val="00DA1447"/>
    <w:rsid w:val="00DA27F7"/>
    <w:rsid w:val="00DA2AC1"/>
    <w:rsid w:val="00DA371B"/>
    <w:rsid w:val="00DA45C1"/>
    <w:rsid w:val="00DA4B0E"/>
    <w:rsid w:val="00DA505B"/>
    <w:rsid w:val="00DA5224"/>
    <w:rsid w:val="00DA5585"/>
    <w:rsid w:val="00DA60B6"/>
    <w:rsid w:val="00DA6BEF"/>
    <w:rsid w:val="00DA70E7"/>
    <w:rsid w:val="00DA74B3"/>
    <w:rsid w:val="00DA75DB"/>
    <w:rsid w:val="00DA76B9"/>
    <w:rsid w:val="00DA7A09"/>
    <w:rsid w:val="00DA7CB3"/>
    <w:rsid w:val="00DA7E71"/>
    <w:rsid w:val="00DB01C9"/>
    <w:rsid w:val="00DB0722"/>
    <w:rsid w:val="00DB183B"/>
    <w:rsid w:val="00DB20F7"/>
    <w:rsid w:val="00DB2832"/>
    <w:rsid w:val="00DB2D05"/>
    <w:rsid w:val="00DB2DFD"/>
    <w:rsid w:val="00DB35B8"/>
    <w:rsid w:val="00DB3D27"/>
    <w:rsid w:val="00DB3FAA"/>
    <w:rsid w:val="00DB4174"/>
    <w:rsid w:val="00DB4ACF"/>
    <w:rsid w:val="00DB50AF"/>
    <w:rsid w:val="00DB5417"/>
    <w:rsid w:val="00DB5D08"/>
    <w:rsid w:val="00DB68C4"/>
    <w:rsid w:val="00DB698C"/>
    <w:rsid w:val="00DB6A12"/>
    <w:rsid w:val="00DB6B15"/>
    <w:rsid w:val="00DB7234"/>
    <w:rsid w:val="00DB7519"/>
    <w:rsid w:val="00DC030C"/>
    <w:rsid w:val="00DC0B48"/>
    <w:rsid w:val="00DC0E0E"/>
    <w:rsid w:val="00DC2239"/>
    <w:rsid w:val="00DC2848"/>
    <w:rsid w:val="00DC2D84"/>
    <w:rsid w:val="00DC2F8F"/>
    <w:rsid w:val="00DC3990"/>
    <w:rsid w:val="00DC4492"/>
    <w:rsid w:val="00DC5010"/>
    <w:rsid w:val="00DC53FB"/>
    <w:rsid w:val="00DC5A16"/>
    <w:rsid w:val="00DC6BD5"/>
    <w:rsid w:val="00DC6CBB"/>
    <w:rsid w:val="00DC6E4D"/>
    <w:rsid w:val="00DC7144"/>
    <w:rsid w:val="00DC74D5"/>
    <w:rsid w:val="00DC7E61"/>
    <w:rsid w:val="00DD031E"/>
    <w:rsid w:val="00DD14E6"/>
    <w:rsid w:val="00DD1DC0"/>
    <w:rsid w:val="00DD1E23"/>
    <w:rsid w:val="00DD1E91"/>
    <w:rsid w:val="00DD2643"/>
    <w:rsid w:val="00DD3A1E"/>
    <w:rsid w:val="00DD3B01"/>
    <w:rsid w:val="00DD3BA6"/>
    <w:rsid w:val="00DD3CD9"/>
    <w:rsid w:val="00DD42E1"/>
    <w:rsid w:val="00DD485A"/>
    <w:rsid w:val="00DD4912"/>
    <w:rsid w:val="00DD5CCA"/>
    <w:rsid w:val="00DD5FD2"/>
    <w:rsid w:val="00DD6EC4"/>
    <w:rsid w:val="00DD7A2E"/>
    <w:rsid w:val="00DE0A57"/>
    <w:rsid w:val="00DE0EB7"/>
    <w:rsid w:val="00DE0EBD"/>
    <w:rsid w:val="00DE0F1F"/>
    <w:rsid w:val="00DE26E0"/>
    <w:rsid w:val="00DE28D8"/>
    <w:rsid w:val="00DE32D8"/>
    <w:rsid w:val="00DE353A"/>
    <w:rsid w:val="00DE445C"/>
    <w:rsid w:val="00DE4DD5"/>
    <w:rsid w:val="00DE555B"/>
    <w:rsid w:val="00DE5D5C"/>
    <w:rsid w:val="00DE6313"/>
    <w:rsid w:val="00DE6AFE"/>
    <w:rsid w:val="00DE730B"/>
    <w:rsid w:val="00DE79F4"/>
    <w:rsid w:val="00DE7E91"/>
    <w:rsid w:val="00DE7EB1"/>
    <w:rsid w:val="00DF18C6"/>
    <w:rsid w:val="00DF1A85"/>
    <w:rsid w:val="00DF1B6E"/>
    <w:rsid w:val="00DF1CBA"/>
    <w:rsid w:val="00DF2223"/>
    <w:rsid w:val="00DF277A"/>
    <w:rsid w:val="00DF2D92"/>
    <w:rsid w:val="00DF3A69"/>
    <w:rsid w:val="00DF3B0B"/>
    <w:rsid w:val="00DF5838"/>
    <w:rsid w:val="00DF663B"/>
    <w:rsid w:val="00DF663C"/>
    <w:rsid w:val="00DF6971"/>
    <w:rsid w:val="00DF6B5B"/>
    <w:rsid w:val="00DF6D6F"/>
    <w:rsid w:val="00DF6E10"/>
    <w:rsid w:val="00DF7359"/>
    <w:rsid w:val="00DF7826"/>
    <w:rsid w:val="00DF787A"/>
    <w:rsid w:val="00DF788E"/>
    <w:rsid w:val="00DF7CF7"/>
    <w:rsid w:val="00DF7DCC"/>
    <w:rsid w:val="00E005F0"/>
    <w:rsid w:val="00E00809"/>
    <w:rsid w:val="00E01040"/>
    <w:rsid w:val="00E01999"/>
    <w:rsid w:val="00E01CED"/>
    <w:rsid w:val="00E02B13"/>
    <w:rsid w:val="00E02E69"/>
    <w:rsid w:val="00E02F36"/>
    <w:rsid w:val="00E03181"/>
    <w:rsid w:val="00E0339C"/>
    <w:rsid w:val="00E03418"/>
    <w:rsid w:val="00E0351A"/>
    <w:rsid w:val="00E043A9"/>
    <w:rsid w:val="00E04582"/>
    <w:rsid w:val="00E053D1"/>
    <w:rsid w:val="00E05458"/>
    <w:rsid w:val="00E056C3"/>
    <w:rsid w:val="00E0594C"/>
    <w:rsid w:val="00E06974"/>
    <w:rsid w:val="00E06A96"/>
    <w:rsid w:val="00E06D8E"/>
    <w:rsid w:val="00E07278"/>
    <w:rsid w:val="00E0776C"/>
    <w:rsid w:val="00E07B74"/>
    <w:rsid w:val="00E07CE8"/>
    <w:rsid w:val="00E07E6C"/>
    <w:rsid w:val="00E100DD"/>
    <w:rsid w:val="00E10CA6"/>
    <w:rsid w:val="00E10CEA"/>
    <w:rsid w:val="00E10D3C"/>
    <w:rsid w:val="00E118CB"/>
    <w:rsid w:val="00E11CE2"/>
    <w:rsid w:val="00E123B6"/>
    <w:rsid w:val="00E126CE"/>
    <w:rsid w:val="00E1280C"/>
    <w:rsid w:val="00E12FCE"/>
    <w:rsid w:val="00E131FA"/>
    <w:rsid w:val="00E1398C"/>
    <w:rsid w:val="00E14172"/>
    <w:rsid w:val="00E14522"/>
    <w:rsid w:val="00E16829"/>
    <w:rsid w:val="00E16DB4"/>
    <w:rsid w:val="00E16ED2"/>
    <w:rsid w:val="00E1715B"/>
    <w:rsid w:val="00E17306"/>
    <w:rsid w:val="00E17781"/>
    <w:rsid w:val="00E17A65"/>
    <w:rsid w:val="00E17E71"/>
    <w:rsid w:val="00E224F2"/>
    <w:rsid w:val="00E22A0D"/>
    <w:rsid w:val="00E2389E"/>
    <w:rsid w:val="00E238EE"/>
    <w:rsid w:val="00E2475F"/>
    <w:rsid w:val="00E25058"/>
    <w:rsid w:val="00E252B8"/>
    <w:rsid w:val="00E25D5C"/>
    <w:rsid w:val="00E25E8E"/>
    <w:rsid w:val="00E261E4"/>
    <w:rsid w:val="00E264E4"/>
    <w:rsid w:val="00E266C3"/>
    <w:rsid w:val="00E269B7"/>
    <w:rsid w:val="00E26FE8"/>
    <w:rsid w:val="00E27E75"/>
    <w:rsid w:val="00E31130"/>
    <w:rsid w:val="00E3126F"/>
    <w:rsid w:val="00E32484"/>
    <w:rsid w:val="00E331AD"/>
    <w:rsid w:val="00E33EF4"/>
    <w:rsid w:val="00E348FB"/>
    <w:rsid w:val="00E34C2F"/>
    <w:rsid w:val="00E3534B"/>
    <w:rsid w:val="00E361CC"/>
    <w:rsid w:val="00E37AD9"/>
    <w:rsid w:val="00E4135E"/>
    <w:rsid w:val="00E41AC5"/>
    <w:rsid w:val="00E42206"/>
    <w:rsid w:val="00E429F0"/>
    <w:rsid w:val="00E42B1E"/>
    <w:rsid w:val="00E42FAE"/>
    <w:rsid w:val="00E4316E"/>
    <w:rsid w:val="00E431A4"/>
    <w:rsid w:val="00E434FE"/>
    <w:rsid w:val="00E44BF8"/>
    <w:rsid w:val="00E4508D"/>
    <w:rsid w:val="00E450E5"/>
    <w:rsid w:val="00E45996"/>
    <w:rsid w:val="00E45B74"/>
    <w:rsid w:val="00E45F09"/>
    <w:rsid w:val="00E4606C"/>
    <w:rsid w:val="00E46084"/>
    <w:rsid w:val="00E462B5"/>
    <w:rsid w:val="00E468A9"/>
    <w:rsid w:val="00E47248"/>
    <w:rsid w:val="00E476C4"/>
    <w:rsid w:val="00E477A8"/>
    <w:rsid w:val="00E477EC"/>
    <w:rsid w:val="00E4788A"/>
    <w:rsid w:val="00E478EA"/>
    <w:rsid w:val="00E47931"/>
    <w:rsid w:val="00E502DF"/>
    <w:rsid w:val="00E5038A"/>
    <w:rsid w:val="00E5061F"/>
    <w:rsid w:val="00E52E06"/>
    <w:rsid w:val="00E52E36"/>
    <w:rsid w:val="00E53BDC"/>
    <w:rsid w:val="00E55005"/>
    <w:rsid w:val="00E56265"/>
    <w:rsid w:val="00E56462"/>
    <w:rsid w:val="00E564A5"/>
    <w:rsid w:val="00E575C7"/>
    <w:rsid w:val="00E60387"/>
    <w:rsid w:val="00E60D2D"/>
    <w:rsid w:val="00E61687"/>
    <w:rsid w:val="00E61F0D"/>
    <w:rsid w:val="00E63308"/>
    <w:rsid w:val="00E63868"/>
    <w:rsid w:val="00E63EF2"/>
    <w:rsid w:val="00E6471F"/>
    <w:rsid w:val="00E64B47"/>
    <w:rsid w:val="00E64E50"/>
    <w:rsid w:val="00E659D4"/>
    <w:rsid w:val="00E65A9C"/>
    <w:rsid w:val="00E6619C"/>
    <w:rsid w:val="00E66286"/>
    <w:rsid w:val="00E666F7"/>
    <w:rsid w:val="00E669CC"/>
    <w:rsid w:val="00E66A2F"/>
    <w:rsid w:val="00E66A9C"/>
    <w:rsid w:val="00E66C01"/>
    <w:rsid w:val="00E67459"/>
    <w:rsid w:val="00E678B8"/>
    <w:rsid w:val="00E7039B"/>
    <w:rsid w:val="00E70904"/>
    <w:rsid w:val="00E70E3E"/>
    <w:rsid w:val="00E70E76"/>
    <w:rsid w:val="00E70EFC"/>
    <w:rsid w:val="00E71592"/>
    <w:rsid w:val="00E718AF"/>
    <w:rsid w:val="00E71C12"/>
    <w:rsid w:val="00E7212D"/>
    <w:rsid w:val="00E72294"/>
    <w:rsid w:val="00E725F8"/>
    <w:rsid w:val="00E728F5"/>
    <w:rsid w:val="00E72C2F"/>
    <w:rsid w:val="00E72DC4"/>
    <w:rsid w:val="00E733AC"/>
    <w:rsid w:val="00E7423D"/>
    <w:rsid w:val="00E74372"/>
    <w:rsid w:val="00E74408"/>
    <w:rsid w:val="00E751D6"/>
    <w:rsid w:val="00E754DE"/>
    <w:rsid w:val="00E75B8A"/>
    <w:rsid w:val="00E76946"/>
    <w:rsid w:val="00E76BB3"/>
    <w:rsid w:val="00E7741D"/>
    <w:rsid w:val="00E779AF"/>
    <w:rsid w:val="00E807FF"/>
    <w:rsid w:val="00E80901"/>
    <w:rsid w:val="00E8096D"/>
    <w:rsid w:val="00E80D4C"/>
    <w:rsid w:val="00E8136C"/>
    <w:rsid w:val="00E81517"/>
    <w:rsid w:val="00E81718"/>
    <w:rsid w:val="00E8182C"/>
    <w:rsid w:val="00E81FE3"/>
    <w:rsid w:val="00E828AD"/>
    <w:rsid w:val="00E82DEB"/>
    <w:rsid w:val="00E82F4C"/>
    <w:rsid w:val="00E8307C"/>
    <w:rsid w:val="00E831BB"/>
    <w:rsid w:val="00E83545"/>
    <w:rsid w:val="00E839E5"/>
    <w:rsid w:val="00E83C64"/>
    <w:rsid w:val="00E83DFB"/>
    <w:rsid w:val="00E843CB"/>
    <w:rsid w:val="00E844CD"/>
    <w:rsid w:val="00E86313"/>
    <w:rsid w:val="00E86A71"/>
    <w:rsid w:val="00E86DCC"/>
    <w:rsid w:val="00E87339"/>
    <w:rsid w:val="00E87875"/>
    <w:rsid w:val="00E87D31"/>
    <w:rsid w:val="00E907C2"/>
    <w:rsid w:val="00E908A9"/>
    <w:rsid w:val="00E90963"/>
    <w:rsid w:val="00E9156C"/>
    <w:rsid w:val="00E91EAE"/>
    <w:rsid w:val="00E93560"/>
    <w:rsid w:val="00E93571"/>
    <w:rsid w:val="00E936FE"/>
    <w:rsid w:val="00E960C2"/>
    <w:rsid w:val="00E96302"/>
    <w:rsid w:val="00E96998"/>
    <w:rsid w:val="00E96FFB"/>
    <w:rsid w:val="00E9707C"/>
    <w:rsid w:val="00E971C9"/>
    <w:rsid w:val="00E974C8"/>
    <w:rsid w:val="00E97510"/>
    <w:rsid w:val="00EA01C7"/>
    <w:rsid w:val="00EA04E9"/>
    <w:rsid w:val="00EA0FD9"/>
    <w:rsid w:val="00EA108A"/>
    <w:rsid w:val="00EA1CD6"/>
    <w:rsid w:val="00EA1E9B"/>
    <w:rsid w:val="00EA2CB1"/>
    <w:rsid w:val="00EA3131"/>
    <w:rsid w:val="00EA3158"/>
    <w:rsid w:val="00EA3B4D"/>
    <w:rsid w:val="00EA422F"/>
    <w:rsid w:val="00EA47B8"/>
    <w:rsid w:val="00EA5054"/>
    <w:rsid w:val="00EA57A7"/>
    <w:rsid w:val="00EA57EB"/>
    <w:rsid w:val="00EA606D"/>
    <w:rsid w:val="00EA61D6"/>
    <w:rsid w:val="00EB0090"/>
    <w:rsid w:val="00EB0362"/>
    <w:rsid w:val="00EB03D3"/>
    <w:rsid w:val="00EB0625"/>
    <w:rsid w:val="00EB13DE"/>
    <w:rsid w:val="00EB14F3"/>
    <w:rsid w:val="00EB1729"/>
    <w:rsid w:val="00EB172E"/>
    <w:rsid w:val="00EB197D"/>
    <w:rsid w:val="00EB1A61"/>
    <w:rsid w:val="00EB1CA4"/>
    <w:rsid w:val="00EB2160"/>
    <w:rsid w:val="00EB3354"/>
    <w:rsid w:val="00EB3F38"/>
    <w:rsid w:val="00EB4377"/>
    <w:rsid w:val="00EB4658"/>
    <w:rsid w:val="00EB4A1C"/>
    <w:rsid w:val="00EB4B86"/>
    <w:rsid w:val="00EB5393"/>
    <w:rsid w:val="00EB5D2C"/>
    <w:rsid w:val="00EB5F11"/>
    <w:rsid w:val="00EB6266"/>
    <w:rsid w:val="00EB62D7"/>
    <w:rsid w:val="00EB7197"/>
    <w:rsid w:val="00EB756A"/>
    <w:rsid w:val="00EB7860"/>
    <w:rsid w:val="00EC000C"/>
    <w:rsid w:val="00EC096E"/>
    <w:rsid w:val="00EC183F"/>
    <w:rsid w:val="00EC1A5A"/>
    <w:rsid w:val="00EC2612"/>
    <w:rsid w:val="00EC2CE1"/>
    <w:rsid w:val="00EC4019"/>
    <w:rsid w:val="00EC4559"/>
    <w:rsid w:val="00EC48B9"/>
    <w:rsid w:val="00EC4CF5"/>
    <w:rsid w:val="00EC5949"/>
    <w:rsid w:val="00EC6C52"/>
    <w:rsid w:val="00EC7085"/>
    <w:rsid w:val="00EC7447"/>
    <w:rsid w:val="00ED016A"/>
    <w:rsid w:val="00ED092B"/>
    <w:rsid w:val="00ED0A95"/>
    <w:rsid w:val="00ED1362"/>
    <w:rsid w:val="00ED21A4"/>
    <w:rsid w:val="00ED2511"/>
    <w:rsid w:val="00ED2FCE"/>
    <w:rsid w:val="00ED35DC"/>
    <w:rsid w:val="00ED44CF"/>
    <w:rsid w:val="00ED5108"/>
    <w:rsid w:val="00ED53C3"/>
    <w:rsid w:val="00ED543E"/>
    <w:rsid w:val="00ED552C"/>
    <w:rsid w:val="00ED5AB0"/>
    <w:rsid w:val="00ED5CAA"/>
    <w:rsid w:val="00ED5EFA"/>
    <w:rsid w:val="00ED6B04"/>
    <w:rsid w:val="00ED7757"/>
    <w:rsid w:val="00EE010B"/>
    <w:rsid w:val="00EE045E"/>
    <w:rsid w:val="00EE0EEA"/>
    <w:rsid w:val="00EE0FC7"/>
    <w:rsid w:val="00EE132D"/>
    <w:rsid w:val="00EE13BB"/>
    <w:rsid w:val="00EE1BDC"/>
    <w:rsid w:val="00EE1FFD"/>
    <w:rsid w:val="00EE2811"/>
    <w:rsid w:val="00EE3725"/>
    <w:rsid w:val="00EE5CD5"/>
    <w:rsid w:val="00EE702D"/>
    <w:rsid w:val="00EE7205"/>
    <w:rsid w:val="00EE7C67"/>
    <w:rsid w:val="00EF0691"/>
    <w:rsid w:val="00EF0A4A"/>
    <w:rsid w:val="00EF0B10"/>
    <w:rsid w:val="00EF125F"/>
    <w:rsid w:val="00EF17DF"/>
    <w:rsid w:val="00EF2648"/>
    <w:rsid w:val="00EF4436"/>
    <w:rsid w:val="00EF58B0"/>
    <w:rsid w:val="00EF600A"/>
    <w:rsid w:val="00EF6261"/>
    <w:rsid w:val="00EF6A11"/>
    <w:rsid w:val="00EF6EE8"/>
    <w:rsid w:val="00EF6FE1"/>
    <w:rsid w:val="00EF7031"/>
    <w:rsid w:val="00EF7113"/>
    <w:rsid w:val="00EF7717"/>
    <w:rsid w:val="00EF7B57"/>
    <w:rsid w:val="00F0026A"/>
    <w:rsid w:val="00F00D9A"/>
    <w:rsid w:val="00F01BBD"/>
    <w:rsid w:val="00F01CCD"/>
    <w:rsid w:val="00F024E7"/>
    <w:rsid w:val="00F03BB7"/>
    <w:rsid w:val="00F03C67"/>
    <w:rsid w:val="00F04917"/>
    <w:rsid w:val="00F04CBB"/>
    <w:rsid w:val="00F04E93"/>
    <w:rsid w:val="00F0565F"/>
    <w:rsid w:val="00F0598D"/>
    <w:rsid w:val="00F05ADF"/>
    <w:rsid w:val="00F06DDF"/>
    <w:rsid w:val="00F07055"/>
    <w:rsid w:val="00F07B97"/>
    <w:rsid w:val="00F07F84"/>
    <w:rsid w:val="00F102E0"/>
    <w:rsid w:val="00F105EC"/>
    <w:rsid w:val="00F10773"/>
    <w:rsid w:val="00F10C1E"/>
    <w:rsid w:val="00F10CD6"/>
    <w:rsid w:val="00F10F60"/>
    <w:rsid w:val="00F11785"/>
    <w:rsid w:val="00F1199F"/>
    <w:rsid w:val="00F11B45"/>
    <w:rsid w:val="00F11E0B"/>
    <w:rsid w:val="00F12655"/>
    <w:rsid w:val="00F12800"/>
    <w:rsid w:val="00F12A10"/>
    <w:rsid w:val="00F13176"/>
    <w:rsid w:val="00F13A59"/>
    <w:rsid w:val="00F14165"/>
    <w:rsid w:val="00F149D9"/>
    <w:rsid w:val="00F151EA"/>
    <w:rsid w:val="00F15427"/>
    <w:rsid w:val="00F159E0"/>
    <w:rsid w:val="00F15A26"/>
    <w:rsid w:val="00F1642F"/>
    <w:rsid w:val="00F167B7"/>
    <w:rsid w:val="00F16835"/>
    <w:rsid w:val="00F16F20"/>
    <w:rsid w:val="00F17688"/>
    <w:rsid w:val="00F17703"/>
    <w:rsid w:val="00F179D1"/>
    <w:rsid w:val="00F214CB"/>
    <w:rsid w:val="00F218CD"/>
    <w:rsid w:val="00F21BAE"/>
    <w:rsid w:val="00F21DD8"/>
    <w:rsid w:val="00F22FEB"/>
    <w:rsid w:val="00F232B3"/>
    <w:rsid w:val="00F23929"/>
    <w:rsid w:val="00F23AEC"/>
    <w:rsid w:val="00F23CD9"/>
    <w:rsid w:val="00F249CC"/>
    <w:rsid w:val="00F24C9A"/>
    <w:rsid w:val="00F26BC4"/>
    <w:rsid w:val="00F27364"/>
    <w:rsid w:val="00F27831"/>
    <w:rsid w:val="00F27EA0"/>
    <w:rsid w:val="00F305E9"/>
    <w:rsid w:val="00F30D1E"/>
    <w:rsid w:val="00F327BE"/>
    <w:rsid w:val="00F32F09"/>
    <w:rsid w:val="00F32F5C"/>
    <w:rsid w:val="00F33743"/>
    <w:rsid w:val="00F3392A"/>
    <w:rsid w:val="00F33E68"/>
    <w:rsid w:val="00F33E6C"/>
    <w:rsid w:val="00F349CB"/>
    <w:rsid w:val="00F34AAB"/>
    <w:rsid w:val="00F35458"/>
    <w:rsid w:val="00F359C7"/>
    <w:rsid w:val="00F36F29"/>
    <w:rsid w:val="00F37509"/>
    <w:rsid w:val="00F37DA4"/>
    <w:rsid w:val="00F40970"/>
    <w:rsid w:val="00F40A32"/>
    <w:rsid w:val="00F40B6F"/>
    <w:rsid w:val="00F4186A"/>
    <w:rsid w:val="00F41A3F"/>
    <w:rsid w:val="00F41DD6"/>
    <w:rsid w:val="00F42D6C"/>
    <w:rsid w:val="00F433C9"/>
    <w:rsid w:val="00F434C7"/>
    <w:rsid w:val="00F43A04"/>
    <w:rsid w:val="00F448BF"/>
    <w:rsid w:val="00F44B95"/>
    <w:rsid w:val="00F44E05"/>
    <w:rsid w:val="00F4522D"/>
    <w:rsid w:val="00F452B7"/>
    <w:rsid w:val="00F458C9"/>
    <w:rsid w:val="00F45D50"/>
    <w:rsid w:val="00F45D6B"/>
    <w:rsid w:val="00F4631D"/>
    <w:rsid w:val="00F46AF1"/>
    <w:rsid w:val="00F46F10"/>
    <w:rsid w:val="00F473A3"/>
    <w:rsid w:val="00F47B09"/>
    <w:rsid w:val="00F500BE"/>
    <w:rsid w:val="00F50198"/>
    <w:rsid w:val="00F51C94"/>
    <w:rsid w:val="00F52264"/>
    <w:rsid w:val="00F523BF"/>
    <w:rsid w:val="00F52583"/>
    <w:rsid w:val="00F529E9"/>
    <w:rsid w:val="00F52C11"/>
    <w:rsid w:val="00F5379E"/>
    <w:rsid w:val="00F547D5"/>
    <w:rsid w:val="00F552E4"/>
    <w:rsid w:val="00F5642C"/>
    <w:rsid w:val="00F5690F"/>
    <w:rsid w:val="00F5692D"/>
    <w:rsid w:val="00F56DD2"/>
    <w:rsid w:val="00F56DF3"/>
    <w:rsid w:val="00F5755E"/>
    <w:rsid w:val="00F578F7"/>
    <w:rsid w:val="00F57E9F"/>
    <w:rsid w:val="00F60C30"/>
    <w:rsid w:val="00F6172A"/>
    <w:rsid w:val="00F6173E"/>
    <w:rsid w:val="00F61FA0"/>
    <w:rsid w:val="00F62F0E"/>
    <w:rsid w:val="00F631A0"/>
    <w:rsid w:val="00F63C45"/>
    <w:rsid w:val="00F64E38"/>
    <w:rsid w:val="00F6500B"/>
    <w:rsid w:val="00F65A80"/>
    <w:rsid w:val="00F65AF7"/>
    <w:rsid w:val="00F66D4D"/>
    <w:rsid w:val="00F66F1F"/>
    <w:rsid w:val="00F70651"/>
    <w:rsid w:val="00F706D1"/>
    <w:rsid w:val="00F709E3"/>
    <w:rsid w:val="00F712EA"/>
    <w:rsid w:val="00F715E3"/>
    <w:rsid w:val="00F717A7"/>
    <w:rsid w:val="00F71C32"/>
    <w:rsid w:val="00F71C4D"/>
    <w:rsid w:val="00F71FB6"/>
    <w:rsid w:val="00F7265B"/>
    <w:rsid w:val="00F730FB"/>
    <w:rsid w:val="00F731DF"/>
    <w:rsid w:val="00F736B5"/>
    <w:rsid w:val="00F73D4F"/>
    <w:rsid w:val="00F74282"/>
    <w:rsid w:val="00F74289"/>
    <w:rsid w:val="00F7469A"/>
    <w:rsid w:val="00F74BDC"/>
    <w:rsid w:val="00F74EEF"/>
    <w:rsid w:val="00F75028"/>
    <w:rsid w:val="00F754B7"/>
    <w:rsid w:val="00F75977"/>
    <w:rsid w:val="00F75CDF"/>
    <w:rsid w:val="00F76020"/>
    <w:rsid w:val="00F76E13"/>
    <w:rsid w:val="00F76EC9"/>
    <w:rsid w:val="00F772A1"/>
    <w:rsid w:val="00F80186"/>
    <w:rsid w:val="00F8022E"/>
    <w:rsid w:val="00F80275"/>
    <w:rsid w:val="00F80852"/>
    <w:rsid w:val="00F808CA"/>
    <w:rsid w:val="00F82350"/>
    <w:rsid w:val="00F825A0"/>
    <w:rsid w:val="00F826AE"/>
    <w:rsid w:val="00F82924"/>
    <w:rsid w:val="00F82AFA"/>
    <w:rsid w:val="00F83C12"/>
    <w:rsid w:val="00F83DF9"/>
    <w:rsid w:val="00F844E4"/>
    <w:rsid w:val="00F847D3"/>
    <w:rsid w:val="00F857F5"/>
    <w:rsid w:val="00F861B0"/>
    <w:rsid w:val="00F86242"/>
    <w:rsid w:val="00F86A54"/>
    <w:rsid w:val="00F87128"/>
    <w:rsid w:val="00F877FF"/>
    <w:rsid w:val="00F87C75"/>
    <w:rsid w:val="00F87E6A"/>
    <w:rsid w:val="00F87FEF"/>
    <w:rsid w:val="00F9013C"/>
    <w:rsid w:val="00F904AA"/>
    <w:rsid w:val="00F91C34"/>
    <w:rsid w:val="00F93675"/>
    <w:rsid w:val="00F93B5C"/>
    <w:rsid w:val="00F94084"/>
    <w:rsid w:val="00F94717"/>
    <w:rsid w:val="00F952C8"/>
    <w:rsid w:val="00F95C20"/>
    <w:rsid w:val="00F96597"/>
    <w:rsid w:val="00F965B7"/>
    <w:rsid w:val="00F96601"/>
    <w:rsid w:val="00F9661D"/>
    <w:rsid w:val="00F96679"/>
    <w:rsid w:val="00F96711"/>
    <w:rsid w:val="00F96B63"/>
    <w:rsid w:val="00F96FD3"/>
    <w:rsid w:val="00F97081"/>
    <w:rsid w:val="00F97232"/>
    <w:rsid w:val="00F97275"/>
    <w:rsid w:val="00F97914"/>
    <w:rsid w:val="00F97E10"/>
    <w:rsid w:val="00F97F12"/>
    <w:rsid w:val="00FA054B"/>
    <w:rsid w:val="00FA0A4C"/>
    <w:rsid w:val="00FA10F4"/>
    <w:rsid w:val="00FA116F"/>
    <w:rsid w:val="00FA1308"/>
    <w:rsid w:val="00FA28CA"/>
    <w:rsid w:val="00FA3557"/>
    <w:rsid w:val="00FA3BEA"/>
    <w:rsid w:val="00FA3C55"/>
    <w:rsid w:val="00FA40AE"/>
    <w:rsid w:val="00FA528C"/>
    <w:rsid w:val="00FA550B"/>
    <w:rsid w:val="00FA56CF"/>
    <w:rsid w:val="00FA59A0"/>
    <w:rsid w:val="00FA5D99"/>
    <w:rsid w:val="00FA6245"/>
    <w:rsid w:val="00FA62BD"/>
    <w:rsid w:val="00FA68F4"/>
    <w:rsid w:val="00FA6B91"/>
    <w:rsid w:val="00FA6C29"/>
    <w:rsid w:val="00FA7181"/>
    <w:rsid w:val="00FA71E1"/>
    <w:rsid w:val="00FA75FE"/>
    <w:rsid w:val="00FB0057"/>
    <w:rsid w:val="00FB028F"/>
    <w:rsid w:val="00FB02CF"/>
    <w:rsid w:val="00FB056D"/>
    <w:rsid w:val="00FB0798"/>
    <w:rsid w:val="00FB07E4"/>
    <w:rsid w:val="00FB07F5"/>
    <w:rsid w:val="00FB0961"/>
    <w:rsid w:val="00FB1B59"/>
    <w:rsid w:val="00FB2766"/>
    <w:rsid w:val="00FB28E0"/>
    <w:rsid w:val="00FB2CBF"/>
    <w:rsid w:val="00FB2FF6"/>
    <w:rsid w:val="00FB3362"/>
    <w:rsid w:val="00FB3862"/>
    <w:rsid w:val="00FB3C2D"/>
    <w:rsid w:val="00FB3F0A"/>
    <w:rsid w:val="00FB48F4"/>
    <w:rsid w:val="00FB4AAE"/>
    <w:rsid w:val="00FB50FA"/>
    <w:rsid w:val="00FB547C"/>
    <w:rsid w:val="00FB610A"/>
    <w:rsid w:val="00FB66C4"/>
    <w:rsid w:val="00FB6838"/>
    <w:rsid w:val="00FB6C42"/>
    <w:rsid w:val="00FB7789"/>
    <w:rsid w:val="00FB7C9D"/>
    <w:rsid w:val="00FC09D8"/>
    <w:rsid w:val="00FC0E31"/>
    <w:rsid w:val="00FC12F1"/>
    <w:rsid w:val="00FC1AB8"/>
    <w:rsid w:val="00FC1C48"/>
    <w:rsid w:val="00FC1C68"/>
    <w:rsid w:val="00FC213F"/>
    <w:rsid w:val="00FC21AF"/>
    <w:rsid w:val="00FC2FC6"/>
    <w:rsid w:val="00FC3097"/>
    <w:rsid w:val="00FC5860"/>
    <w:rsid w:val="00FC716A"/>
    <w:rsid w:val="00FD133B"/>
    <w:rsid w:val="00FD1CB4"/>
    <w:rsid w:val="00FD22F7"/>
    <w:rsid w:val="00FD2C35"/>
    <w:rsid w:val="00FD2D70"/>
    <w:rsid w:val="00FD358D"/>
    <w:rsid w:val="00FD35F3"/>
    <w:rsid w:val="00FD4C08"/>
    <w:rsid w:val="00FD56BE"/>
    <w:rsid w:val="00FD600F"/>
    <w:rsid w:val="00FD77A9"/>
    <w:rsid w:val="00FE02BC"/>
    <w:rsid w:val="00FE0F77"/>
    <w:rsid w:val="00FE1859"/>
    <w:rsid w:val="00FE19E1"/>
    <w:rsid w:val="00FE1BFE"/>
    <w:rsid w:val="00FE23AF"/>
    <w:rsid w:val="00FE28B2"/>
    <w:rsid w:val="00FE2A9A"/>
    <w:rsid w:val="00FE2AD8"/>
    <w:rsid w:val="00FE2B03"/>
    <w:rsid w:val="00FE2C5B"/>
    <w:rsid w:val="00FE2FF1"/>
    <w:rsid w:val="00FE40A3"/>
    <w:rsid w:val="00FE4224"/>
    <w:rsid w:val="00FE4AA4"/>
    <w:rsid w:val="00FE4F34"/>
    <w:rsid w:val="00FE5292"/>
    <w:rsid w:val="00FE542B"/>
    <w:rsid w:val="00FE5C32"/>
    <w:rsid w:val="00FE6263"/>
    <w:rsid w:val="00FE6443"/>
    <w:rsid w:val="00FE66D4"/>
    <w:rsid w:val="00FE6AE7"/>
    <w:rsid w:val="00FE6D7D"/>
    <w:rsid w:val="00FF0405"/>
    <w:rsid w:val="00FF144D"/>
    <w:rsid w:val="00FF14E3"/>
    <w:rsid w:val="00FF3229"/>
    <w:rsid w:val="00FF3AE5"/>
    <w:rsid w:val="00FF4719"/>
    <w:rsid w:val="00FF4848"/>
    <w:rsid w:val="00FF59DB"/>
    <w:rsid w:val="00FF5BCD"/>
    <w:rsid w:val="00FF6130"/>
    <w:rsid w:val="00FF6633"/>
    <w:rsid w:val="00FF676A"/>
    <w:rsid w:val="00FF6B78"/>
    <w:rsid w:val="00FF6E51"/>
    <w:rsid w:val="00FF70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009E5"/>
  <w15:docId w15:val="{0537B600-A4FA-42A6-B513-9FB9F8624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3113B"/>
    <w:rPr>
      <w:rFonts w:ascii="Arial" w:hAnsi="Arial"/>
      <w:color w:val="000000"/>
      <w:sz w:val="22"/>
      <w:lang w:val="en-GB"/>
    </w:rPr>
  </w:style>
  <w:style w:type="paragraph" w:styleId="Heading1">
    <w:name w:val="heading 1"/>
    <w:basedOn w:val="Normal"/>
    <w:next w:val="Normal"/>
    <w:link w:val="Heading1Char"/>
    <w:uiPriority w:val="9"/>
    <w:qFormat/>
    <w:rsid w:val="00A86DE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218CD"/>
    <w:pPr>
      <w:keepNext/>
      <w:keepLines/>
      <w:widowControl/>
      <w:spacing w:before="240" w:after="120" w:line="259" w:lineRule="auto"/>
      <w:outlineLvl w:val="1"/>
    </w:pPr>
    <w:rPr>
      <w:rFonts w:asciiTheme="majorHAnsi" w:eastAsiaTheme="majorEastAsia" w:hAnsiTheme="majorHAnsi" w:cstheme="majorBidi"/>
      <w:color w:val="365F91" w:themeColor="accent1" w:themeShade="BF"/>
      <w:sz w:val="26"/>
      <w:szCs w:val="26"/>
      <w:lang w:bidi="ar-SA"/>
    </w:rPr>
  </w:style>
  <w:style w:type="paragraph" w:styleId="Heading3">
    <w:name w:val="heading 3"/>
    <w:basedOn w:val="Normal"/>
    <w:next w:val="Normal"/>
    <w:link w:val="Heading3Char"/>
    <w:uiPriority w:val="9"/>
    <w:semiHidden/>
    <w:unhideWhenUsed/>
    <w:qFormat/>
    <w:rsid w:val="0077547E"/>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5E21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1"/>
    <w:rPr>
      <w:rFonts w:ascii="Arial" w:eastAsia="Arial" w:hAnsi="Arial" w:cs="Arial"/>
      <w:b w:val="0"/>
      <w:bCs w:val="0"/>
      <w:i w:val="0"/>
      <w:iCs w:val="0"/>
      <w:smallCaps w:val="0"/>
      <w:strike w:val="0"/>
      <w:sz w:val="15"/>
      <w:szCs w:val="15"/>
      <w:u w:val="none"/>
    </w:rPr>
  </w:style>
  <w:style w:type="character" w:customStyle="1" w:styleId="Footnote0">
    <w:name w:val="Footnote"/>
    <w:basedOn w:val="Footnote"/>
    <w:rPr>
      <w:rFonts w:ascii="Arial" w:eastAsia="Arial" w:hAnsi="Arial" w:cs="Arial"/>
      <w:b w:val="0"/>
      <w:bCs w:val="0"/>
      <w:i w:val="0"/>
      <w:iCs w:val="0"/>
      <w:smallCaps w:val="0"/>
      <w:strike w:val="0"/>
      <w:color w:val="0000FF"/>
      <w:spacing w:val="0"/>
      <w:w w:val="100"/>
      <w:position w:val="0"/>
      <w:sz w:val="15"/>
      <w:szCs w:val="15"/>
      <w:u w:val="single"/>
      <w:lang w:val="en-US" w:eastAsia="en-US" w:bidi="en-US"/>
    </w:rPr>
  </w:style>
  <w:style w:type="character" w:customStyle="1" w:styleId="Footnote2">
    <w:name w:val="Footnote2"/>
    <w:basedOn w:val="Footnote"/>
    <w:rPr>
      <w:rFonts w:ascii="Arial" w:eastAsia="Arial" w:hAnsi="Arial" w:cs="Arial"/>
      <w:b w:val="0"/>
      <w:bCs w:val="0"/>
      <w:i w:val="0"/>
      <w:iCs w:val="0"/>
      <w:smallCaps w:val="0"/>
      <w:strike w:val="0"/>
      <w:color w:val="0000FF"/>
      <w:spacing w:val="0"/>
      <w:w w:val="100"/>
      <w:position w:val="0"/>
      <w:sz w:val="15"/>
      <w:szCs w:val="15"/>
      <w:u w:val="none"/>
      <w:lang w:val="en-US" w:eastAsia="en-US" w:bidi="en-US"/>
    </w:rPr>
  </w:style>
  <w:style w:type="character" w:customStyle="1" w:styleId="Footnote20">
    <w:name w:val="Footnote (2)_"/>
    <w:basedOn w:val="DefaultParagraphFont"/>
    <w:link w:val="Footnote21"/>
    <w:rPr>
      <w:rFonts w:ascii="Arial" w:eastAsia="Arial" w:hAnsi="Arial" w:cs="Arial"/>
      <w:b w:val="0"/>
      <w:bCs w:val="0"/>
      <w:i/>
      <w:iCs/>
      <w:smallCaps w:val="0"/>
      <w:strike w:val="0"/>
      <w:sz w:val="18"/>
      <w:szCs w:val="18"/>
      <w:u w:val="none"/>
    </w:rPr>
  </w:style>
  <w:style w:type="character" w:customStyle="1" w:styleId="Bodytext3">
    <w:name w:val="Body text (3)_"/>
    <w:basedOn w:val="DefaultParagraphFont"/>
    <w:link w:val="Bodytext30"/>
    <w:rPr>
      <w:rFonts w:ascii="Arial" w:eastAsia="Arial" w:hAnsi="Arial" w:cs="Arial"/>
      <w:b/>
      <w:bCs/>
      <w:i w:val="0"/>
      <w:iCs w:val="0"/>
      <w:smallCaps w:val="0"/>
      <w:strike w:val="0"/>
      <w:sz w:val="20"/>
      <w:szCs w:val="20"/>
      <w:u w:val="none"/>
    </w:rPr>
  </w:style>
  <w:style w:type="character" w:customStyle="1" w:styleId="Headerorfooter">
    <w:name w:val="Header or footer_"/>
    <w:basedOn w:val="DefaultParagraphFont"/>
    <w:link w:val="Headerorfooter1"/>
    <w:rPr>
      <w:rFonts w:ascii="Arial" w:eastAsia="Arial" w:hAnsi="Arial" w:cs="Arial"/>
      <w:b w:val="0"/>
      <w:bCs w:val="0"/>
      <w:i w:val="0"/>
      <w:iCs w:val="0"/>
      <w:smallCaps w:val="0"/>
      <w:strike w:val="0"/>
      <w:sz w:val="20"/>
      <w:szCs w:val="20"/>
      <w:u w:val="none"/>
    </w:rPr>
  </w:style>
  <w:style w:type="character" w:customStyle="1" w:styleId="Headerorfooter0">
    <w:name w:val="Header or footer"/>
    <w:basedOn w:val="Headerorfooter"/>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Bodytext4">
    <w:name w:val="Body text (4)_"/>
    <w:basedOn w:val="DefaultParagraphFont"/>
    <w:link w:val="Bodytext40"/>
    <w:rPr>
      <w:rFonts w:ascii="Arial" w:eastAsia="Arial" w:hAnsi="Arial" w:cs="Arial"/>
      <w:b/>
      <w:bCs/>
      <w:i w:val="0"/>
      <w:iCs w:val="0"/>
      <w:smallCaps w:val="0"/>
      <w:strike w:val="0"/>
      <w:sz w:val="30"/>
      <w:szCs w:val="30"/>
      <w:u w:val="none"/>
    </w:rPr>
  </w:style>
  <w:style w:type="character" w:customStyle="1" w:styleId="Bodytext5">
    <w:name w:val="Body text (5)_"/>
    <w:basedOn w:val="DefaultParagraphFont"/>
    <w:link w:val="Bodytext50"/>
    <w:rPr>
      <w:rFonts w:ascii="Arial" w:eastAsia="Arial" w:hAnsi="Arial" w:cs="Arial"/>
      <w:b/>
      <w:bCs/>
      <w:i/>
      <w:iCs/>
      <w:smallCaps w:val="0"/>
      <w:strike w:val="0"/>
      <w:sz w:val="26"/>
      <w:szCs w:val="26"/>
      <w:u w:val="none"/>
    </w:rPr>
  </w:style>
  <w:style w:type="character" w:customStyle="1" w:styleId="Bodytext6">
    <w:name w:val="Body text (6)_"/>
    <w:basedOn w:val="DefaultParagraphFont"/>
    <w:link w:val="Bodytext60"/>
    <w:rPr>
      <w:rFonts w:ascii="Arial" w:eastAsia="Arial" w:hAnsi="Arial" w:cs="Arial"/>
      <w:b/>
      <w:bCs/>
      <w:i w:val="0"/>
      <w:iCs w:val="0"/>
      <w:smallCaps w:val="0"/>
      <w:strike w:val="0"/>
      <w:sz w:val="48"/>
      <w:szCs w:val="48"/>
      <w:u w:val="none"/>
    </w:rPr>
  </w:style>
  <w:style w:type="character" w:customStyle="1" w:styleId="Bodytext7">
    <w:name w:val="Body text (7)_"/>
    <w:basedOn w:val="DefaultParagraphFont"/>
    <w:link w:val="Bodytext70"/>
    <w:rPr>
      <w:rFonts w:ascii="Arial" w:eastAsia="Arial" w:hAnsi="Arial" w:cs="Arial"/>
      <w:b/>
      <w:bCs/>
      <w:i/>
      <w:iCs/>
      <w:smallCaps w:val="0"/>
      <w:strike w:val="0"/>
      <w:sz w:val="21"/>
      <w:szCs w:val="21"/>
      <w:u w:val="none"/>
    </w:rPr>
  </w:style>
  <w:style w:type="character" w:customStyle="1" w:styleId="Heading10">
    <w:name w:val="Heading #1_"/>
    <w:basedOn w:val="DefaultParagraphFont"/>
    <w:link w:val="Heading11"/>
    <w:rPr>
      <w:rFonts w:ascii="Arial" w:eastAsia="Arial" w:hAnsi="Arial" w:cs="Arial"/>
      <w:b/>
      <w:bCs/>
      <w:i w:val="0"/>
      <w:iCs w:val="0"/>
      <w:smallCaps w:val="0"/>
      <w:strike w:val="0"/>
      <w:sz w:val="32"/>
      <w:szCs w:val="32"/>
      <w:u w:val="none"/>
    </w:rPr>
  </w:style>
  <w:style w:type="character" w:customStyle="1" w:styleId="MAWPHeading">
    <w:name w:val="MAWP Heading"/>
    <w:basedOn w:val="Heading10"/>
    <w:rPr>
      <w:rFonts w:ascii="Arial" w:eastAsia="Arial" w:hAnsi="Arial" w:cs="Arial"/>
      <w:b/>
      <w:bCs/>
      <w:i w:val="0"/>
      <w:iCs w:val="0"/>
      <w:smallCaps w:val="0"/>
      <w:strike w:val="0"/>
      <w:color w:val="365F91"/>
      <w:spacing w:val="0"/>
      <w:w w:val="100"/>
      <w:position w:val="0"/>
      <w:sz w:val="32"/>
      <w:szCs w:val="32"/>
      <w:u w:val="none"/>
      <w:lang w:val="fr-FR" w:eastAsia="fr-FR" w:bidi="fr-FR"/>
    </w:rPr>
  </w:style>
  <w:style w:type="character" w:customStyle="1" w:styleId="TOC1Char">
    <w:name w:val="TOC 1 Char"/>
    <w:basedOn w:val="DefaultParagraphFont"/>
    <w:link w:val="TOC1"/>
    <w:uiPriority w:val="39"/>
    <w:rsid w:val="008E4155"/>
    <w:rPr>
      <w:rFonts w:ascii="Arial" w:eastAsia="Arial" w:hAnsi="Arial" w:cs="Arial"/>
      <w:color w:val="000000"/>
      <w:sz w:val="21"/>
      <w:szCs w:val="21"/>
      <w:shd w:val="clear" w:color="auto" w:fill="FFFFFF"/>
    </w:rPr>
  </w:style>
  <w:style w:type="character" w:customStyle="1" w:styleId="MAWP-BodytextChar">
    <w:name w:val="MAWP-Body text Char"/>
    <w:basedOn w:val="DefaultParagraphFont"/>
    <w:link w:val="MAWP-Bodytext"/>
    <w:rsid w:val="000A238B"/>
    <w:rPr>
      <w:rFonts w:ascii="Arial" w:eastAsia="Arial" w:hAnsi="Arial" w:cs="Arial"/>
      <w:color w:val="000000"/>
      <w:sz w:val="22"/>
      <w:szCs w:val="32"/>
      <w:lang w:val="en-GB" w:eastAsia="en-GB"/>
    </w:rPr>
  </w:style>
  <w:style w:type="character" w:customStyle="1" w:styleId="Bodytext2">
    <w:name w:val="Body text (2)"/>
    <w:basedOn w:val="MAWP-BodytextChar"/>
    <w:rPr>
      <w:rFonts w:ascii="Arial" w:eastAsia="Arial" w:hAnsi="Arial" w:cs="Arial"/>
      <w:b w:val="0"/>
      <w:bCs w:val="0"/>
      <w:i w:val="0"/>
      <w:iCs w:val="0"/>
      <w:smallCaps w:val="0"/>
      <w:strike w:val="0"/>
      <w:color w:val="0000FF"/>
      <w:spacing w:val="0"/>
      <w:w w:val="100"/>
      <w:position w:val="0"/>
      <w:sz w:val="19"/>
      <w:szCs w:val="19"/>
      <w:u w:val="single"/>
      <w:lang w:val="en-US" w:eastAsia="en-US" w:bidi="en-US"/>
    </w:rPr>
  </w:style>
  <w:style w:type="character" w:customStyle="1" w:styleId="Bodytext8">
    <w:name w:val="Body text (8)_"/>
    <w:basedOn w:val="DefaultParagraphFont"/>
    <w:link w:val="Bodytext80"/>
    <w:rPr>
      <w:rFonts w:ascii="Arial" w:eastAsia="Arial" w:hAnsi="Arial" w:cs="Arial"/>
      <w:b/>
      <w:bCs/>
      <w:i w:val="0"/>
      <w:iCs w:val="0"/>
      <w:smallCaps w:val="0"/>
      <w:strike w:val="0"/>
      <w:sz w:val="22"/>
      <w:szCs w:val="22"/>
      <w:u w:val="none"/>
    </w:rPr>
  </w:style>
  <w:style w:type="character" w:customStyle="1" w:styleId="Bodytext255pt">
    <w:name w:val="Body text (2) + 5.5 pt"/>
    <w:basedOn w:val="MAWP-BodytextChar"/>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Heading30">
    <w:name w:val="Heading #3_"/>
    <w:basedOn w:val="DefaultParagraphFont"/>
    <w:link w:val="Heading31"/>
    <w:rPr>
      <w:rFonts w:ascii="Arial" w:eastAsia="Arial" w:hAnsi="Arial" w:cs="Arial"/>
      <w:b/>
      <w:bCs/>
      <w:i w:val="0"/>
      <w:iCs w:val="0"/>
      <w:smallCaps w:val="0"/>
      <w:strike w:val="0"/>
      <w:sz w:val="20"/>
      <w:szCs w:val="20"/>
      <w:u w:val="none"/>
    </w:rPr>
  </w:style>
  <w:style w:type="character" w:customStyle="1" w:styleId="Bodytext23">
    <w:name w:val="Body text (2)3"/>
    <w:basedOn w:val="MAWP-BodytextChar"/>
    <w:rPr>
      <w:rFonts w:ascii="Arial" w:eastAsia="Arial" w:hAnsi="Arial" w:cs="Arial"/>
      <w:b w:val="0"/>
      <w:bCs w:val="0"/>
      <w:i w:val="0"/>
      <w:iCs w:val="0"/>
      <w:smallCaps w:val="0"/>
      <w:strike w:val="0"/>
      <w:color w:val="000000"/>
      <w:spacing w:val="0"/>
      <w:w w:val="100"/>
      <w:position w:val="0"/>
      <w:sz w:val="19"/>
      <w:szCs w:val="19"/>
      <w:u w:val="single"/>
      <w:lang w:val="en-US" w:eastAsia="en-US" w:bidi="en-US"/>
    </w:rPr>
  </w:style>
  <w:style w:type="character" w:customStyle="1" w:styleId="Bodytext9">
    <w:name w:val="Body text (9)_"/>
    <w:basedOn w:val="DefaultParagraphFont"/>
    <w:link w:val="Bodytext90"/>
    <w:rPr>
      <w:rFonts w:ascii="Arial" w:eastAsia="Arial" w:hAnsi="Arial" w:cs="Arial"/>
      <w:b/>
      <w:bCs/>
      <w:i w:val="0"/>
      <w:iCs w:val="0"/>
      <w:smallCaps w:val="0"/>
      <w:strike w:val="0"/>
      <w:sz w:val="19"/>
      <w:szCs w:val="19"/>
      <w:u w:val="none"/>
    </w:rPr>
  </w:style>
  <w:style w:type="character" w:customStyle="1" w:styleId="Bodytext2Bold">
    <w:name w:val="Body text (2) + Bold"/>
    <w:basedOn w:val="MAWP-BodytextChar"/>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Heading32">
    <w:name w:val="Heading #3 (2)_"/>
    <w:basedOn w:val="DefaultParagraphFont"/>
    <w:link w:val="Heading321"/>
    <w:rPr>
      <w:rFonts w:ascii="Arial" w:eastAsia="Arial" w:hAnsi="Arial" w:cs="Arial"/>
      <w:b/>
      <w:bCs/>
      <w:i w:val="0"/>
      <w:iCs w:val="0"/>
      <w:smallCaps w:val="0"/>
      <w:strike w:val="0"/>
      <w:sz w:val="19"/>
      <w:szCs w:val="19"/>
      <w:u w:val="none"/>
    </w:rPr>
  </w:style>
  <w:style w:type="character" w:customStyle="1" w:styleId="Heading20">
    <w:name w:val="Heading #2_"/>
    <w:basedOn w:val="DefaultParagraphFont"/>
    <w:link w:val="Heading21"/>
    <w:rPr>
      <w:rFonts w:ascii="Arial" w:eastAsia="Arial" w:hAnsi="Arial" w:cs="Arial"/>
      <w:b/>
      <w:bCs/>
      <w:i w:val="0"/>
      <w:iCs w:val="0"/>
      <w:smallCaps w:val="0"/>
      <w:strike w:val="0"/>
      <w:sz w:val="22"/>
      <w:szCs w:val="22"/>
      <w:u w:val="none"/>
    </w:rPr>
  </w:style>
  <w:style w:type="character" w:customStyle="1" w:styleId="Bodytext10">
    <w:name w:val="Body text (10)_"/>
    <w:basedOn w:val="DefaultParagraphFont"/>
    <w:link w:val="Bodytext100"/>
    <w:rPr>
      <w:rFonts w:ascii="Arial" w:eastAsia="Arial" w:hAnsi="Arial" w:cs="Arial"/>
      <w:b w:val="0"/>
      <w:bCs w:val="0"/>
      <w:i/>
      <w:iCs/>
      <w:smallCaps w:val="0"/>
      <w:strike w:val="0"/>
      <w:sz w:val="19"/>
      <w:szCs w:val="19"/>
      <w:u w:val="none"/>
    </w:rPr>
  </w:style>
  <w:style w:type="character" w:customStyle="1" w:styleId="Bodytext10NotItalic">
    <w:name w:val="Body text (10) + Not Italic"/>
    <w:basedOn w:val="Bodytext10"/>
    <w:rPr>
      <w:rFonts w:ascii="Arial" w:eastAsia="Arial" w:hAnsi="Arial" w:cs="Arial"/>
      <w:b w:val="0"/>
      <w:bCs w:val="0"/>
      <w:i/>
      <w:iCs/>
      <w:smallCaps w:val="0"/>
      <w:strike w:val="0"/>
      <w:color w:val="000000"/>
      <w:spacing w:val="0"/>
      <w:w w:val="100"/>
      <w:position w:val="0"/>
      <w:sz w:val="19"/>
      <w:szCs w:val="19"/>
      <w:u w:val="none"/>
      <w:lang w:val="en-US" w:eastAsia="en-US" w:bidi="en-US"/>
    </w:rPr>
  </w:style>
  <w:style w:type="character" w:customStyle="1" w:styleId="Bodytext27ptBold">
    <w:name w:val="Body text (2) + 7 pt.Bold"/>
    <w:basedOn w:val="MAWP-BodytextChar"/>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Bodytext275pt">
    <w:name w:val="Body text (2) + 7.5 pt"/>
    <w:basedOn w:val="MAWP-BodytextChar"/>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Bodytext10NotItalic1">
    <w:name w:val="Body text (10) + Not Italic1"/>
    <w:basedOn w:val="Bodytext10"/>
    <w:rPr>
      <w:rFonts w:ascii="Arial" w:eastAsia="Arial" w:hAnsi="Arial" w:cs="Arial"/>
      <w:b w:val="0"/>
      <w:bCs w:val="0"/>
      <w:i/>
      <w:iCs/>
      <w:smallCaps w:val="0"/>
      <w:strike w:val="0"/>
      <w:color w:val="000000"/>
      <w:spacing w:val="0"/>
      <w:w w:val="100"/>
      <w:position w:val="0"/>
      <w:sz w:val="19"/>
      <w:szCs w:val="19"/>
      <w:u w:val="single"/>
      <w:lang w:val="en-US" w:eastAsia="en-US" w:bidi="en-US"/>
    </w:rPr>
  </w:style>
  <w:style w:type="character" w:customStyle="1" w:styleId="Bodytext10BoldNotItalic">
    <w:name w:val="Body text (10) + Bold.Not Italic"/>
    <w:basedOn w:val="Bodytext10"/>
    <w:rPr>
      <w:rFonts w:ascii="Arial" w:eastAsia="Arial" w:hAnsi="Arial" w:cs="Arial"/>
      <w:b/>
      <w:bCs/>
      <w:i/>
      <w:iCs/>
      <w:smallCaps w:val="0"/>
      <w:strike w:val="0"/>
      <w:color w:val="000000"/>
      <w:spacing w:val="0"/>
      <w:w w:val="100"/>
      <w:position w:val="0"/>
      <w:sz w:val="19"/>
      <w:szCs w:val="19"/>
      <w:u w:val="single"/>
      <w:lang w:val="en-US" w:eastAsia="en-US" w:bidi="en-US"/>
    </w:rPr>
  </w:style>
  <w:style w:type="character" w:customStyle="1" w:styleId="Bodytext2Bold1">
    <w:name w:val="Body text (2) + Bold1"/>
    <w:basedOn w:val="MAWP-BodytextChar"/>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Tablecaption">
    <w:name w:val="Table caption_"/>
    <w:basedOn w:val="DefaultParagraphFont"/>
    <w:link w:val="Tablecaption0"/>
    <w:rPr>
      <w:rFonts w:ascii="Arial" w:eastAsia="Arial" w:hAnsi="Arial" w:cs="Arial"/>
      <w:b w:val="0"/>
      <w:bCs w:val="0"/>
      <w:i/>
      <w:iCs/>
      <w:smallCaps w:val="0"/>
      <w:strike w:val="0"/>
      <w:sz w:val="19"/>
      <w:szCs w:val="19"/>
      <w:u w:val="none"/>
    </w:rPr>
  </w:style>
  <w:style w:type="character" w:customStyle="1" w:styleId="Bodytext22">
    <w:name w:val="Body text (2)2"/>
    <w:basedOn w:val="MAWP-BodytextChar"/>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Bodytext11">
    <w:name w:val="Body text (11)_"/>
    <w:basedOn w:val="DefaultParagraphFont"/>
    <w:link w:val="Bodytext111"/>
    <w:rPr>
      <w:rFonts w:ascii="Arial" w:eastAsia="Arial" w:hAnsi="Arial" w:cs="Arial"/>
      <w:b w:val="0"/>
      <w:bCs w:val="0"/>
      <w:i/>
      <w:iCs/>
      <w:smallCaps w:val="0"/>
      <w:strike w:val="0"/>
      <w:sz w:val="18"/>
      <w:szCs w:val="18"/>
      <w:u w:val="none"/>
    </w:rPr>
  </w:style>
  <w:style w:type="character" w:customStyle="1" w:styleId="Bodytext110">
    <w:name w:val="Body text (11)"/>
    <w:basedOn w:val="Bodytext11"/>
    <w:rPr>
      <w:rFonts w:ascii="Arial" w:eastAsia="Arial" w:hAnsi="Arial" w:cs="Arial"/>
      <w:b w:val="0"/>
      <w:bCs w:val="0"/>
      <w:i/>
      <w:iCs/>
      <w:smallCaps w:val="0"/>
      <w:strike w:val="0"/>
      <w:color w:val="929292"/>
      <w:spacing w:val="0"/>
      <w:w w:val="100"/>
      <w:position w:val="0"/>
      <w:sz w:val="18"/>
      <w:szCs w:val="18"/>
      <w:u w:val="none"/>
      <w:lang w:val="en-US" w:eastAsia="en-US" w:bidi="en-US"/>
    </w:rPr>
  </w:style>
  <w:style w:type="character" w:customStyle="1" w:styleId="Headerorfooter95ptBold1">
    <w:name w:val="Header or footer + 9.5 pt.Bold1"/>
    <w:basedOn w:val="Headerorfooter"/>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Headerorfooter95ptItalic">
    <w:name w:val="Header or footer + 9.5 pt.Italic"/>
    <w:basedOn w:val="Headerorfooter"/>
    <w:rPr>
      <w:rFonts w:ascii="Arial" w:eastAsia="Arial" w:hAnsi="Arial" w:cs="Arial"/>
      <w:b w:val="0"/>
      <w:bCs w:val="0"/>
      <w:i/>
      <w:iCs/>
      <w:smallCaps w:val="0"/>
      <w:strike w:val="0"/>
      <w:color w:val="000000"/>
      <w:spacing w:val="0"/>
      <w:w w:val="100"/>
      <w:position w:val="0"/>
      <w:sz w:val="19"/>
      <w:szCs w:val="19"/>
      <w:u w:val="none"/>
      <w:lang w:val="en-US" w:eastAsia="en-US" w:bidi="en-US"/>
    </w:rPr>
  </w:style>
  <w:style w:type="character" w:customStyle="1" w:styleId="Bodytext25pt">
    <w:name w:val="Body text (2) + 5 pt"/>
    <w:basedOn w:val="MAWP-BodytextChar"/>
    <w:rPr>
      <w:rFonts w:ascii="Arial" w:eastAsia="Arial" w:hAnsi="Arial" w:cs="Arial"/>
      <w:b w:val="0"/>
      <w:bCs w:val="0"/>
      <w:i w:val="0"/>
      <w:iCs w:val="0"/>
      <w:smallCaps w:val="0"/>
      <w:strike w:val="0"/>
      <w:color w:val="000000"/>
      <w:spacing w:val="0"/>
      <w:w w:val="100"/>
      <w:position w:val="0"/>
      <w:sz w:val="10"/>
      <w:szCs w:val="10"/>
      <w:u w:val="none"/>
      <w:lang w:val="en-US" w:eastAsia="en-US" w:bidi="en-US"/>
    </w:rPr>
  </w:style>
  <w:style w:type="character" w:customStyle="1" w:styleId="Headerorfooter2">
    <w:name w:val="Header or footer2"/>
    <w:basedOn w:val="Headerorfooter"/>
    <w:rPr>
      <w:rFonts w:ascii="Arial" w:eastAsia="Arial" w:hAnsi="Arial" w:cs="Arial"/>
      <w:b w:val="0"/>
      <w:bCs w:val="0"/>
      <w:i w:val="0"/>
      <w:iCs w:val="0"/>
      <w:smallCaps w:val="0"/>
      <w:strike w:val="0"/>
      <w:color w:val="000000"/>
      <w:spacing w:val="0"/>
      <w:w w:val="100"/>
      <w:position w:val="0"/>
      <w:sz w:val="20"/>
      <w:szCs w:val="20"/>
      <w:u w:val="single"/>
      <w:lang w:val="en-US" w:eastAsia="en-US" w:bidi="en-US"/>
    </w:rPr>
  </w:style>
  <w:style w:type="character" w:customStyle="1" w:styleId="Headerorfooter95ptBold">
    <w:name w:val="Header or footer + 9.5 pt.Bold"/>
    <w:basedOn w:val="Headerorfooter"/>
    <w:rPr>
      <w:rFonts w:ascii="Arial" w:eastAsia="Arial" w:hAnsi="Arial" w:cs="Arial"/>
      <w:b/>
      <w:bCs/>
      <w:i w:val="0"/>
      <w:iCs w:val="0"/>
      <w:smallCaps w:val="0"/>
      <w:strike w:val="0"/>
      <w:color w:val="000000"/>
      <w:spacing w:val="0"/>
      <w:w w:val="100"/>
      <w:position w:val="0"/>
      <w:sz w:val="19"/>
      <w:szCs w:val="19"/>
      <w:u w:val="single"/>
      <w:lang w:val="en-US" w:eastAsia="en-US" w:bidi="en-US"/>
    </w:rPr>
  </w:style>
  <w:style w:type="character" w:customStyle="1" w:styleId="Bodytext2Italic">
    <w:name w:val="Body text (2) + Italic"/>
    <w:basedOn w:val="MAWP-BodytextChar"/>
    <w:rPr>
      <w:rFonts w:ascii="Arial" w:eastAsia="Arial" w:hAnsi="Arial" w:cs="Arial"/>
      <w:b w:val="0"/>
      <w:bCs w:val="0"/>
      <w:i/>
      <w:iCs/>
      <w:smallCaps w:val="0"/>
      <w:strike w:val="0"/>
      <w:color w:val="000000"/>
      <w:spacing w:val="0"/>
      <w:w w:val="100"/>
      <w:position w:val="0"/>
      <w:sz w:val="19"/>
      <w:szCs w:val="19"/>
      <w:u w:val="none"/>
      <w:lang w:val="en-US" w:eastAsia="en-US" w:bidi="en-US"/>
    </w:rPr>
  </w:style>
  <w:style w:type="character" w:customStyle="1" w:styleId="Bodytext112">
    <w:name w:val="Body text (11)2"/>
    <w:basedOn w:val="Bodytext11"/>
    <w:rPr>
      <w:rFonts w:ascii="Arial" w:eastAsia="Arial" w:hAnsi="Arial" w:cs="Arial"/>
      <w:b w:val="0"/>
      <w:bCs w:val="0"/>
      <w:i/>
      <w:iCs/>
      <w:smallCaps w:val="0"/>
      <w:strike w:val="0"/>
      <w:color w:val="000000"/>
      <w:spacing w:val="0"/>
      <w:w w:val="100"/>
      <w:position w:val="0"/>
      <w:sz w:val="18"/>
      <w:szCs w:val="18"/>
      <w:u w:val="single"/>
      <w:lang w:val="en-US" w:eastAsia="en-US" w:bidi="en-US"/>
    </w:rPr>
  </w:style>
  <w:style w:type="character" w:customStyle="1" w:styleId="Headerorfooter12ptBold">
    <w:name w:val="Header or footer + 12 pt.Bold"/>
    <w:basedOn w:val="Headerorfooter"/>
    <w:rPr>
      <w:rFonts w:ascii="Arial" w:eastAsia="Arial" w:hAnsi="Arial" w:cs="Arial"/>
      <w:b/>
      <w:bCs/>
      <w:i w:val="0"/>
      <w:iCs w:val="0"/>
      <w:smallCaps w:val="0"/>
      <w:strike w:val="0"/>
      <w:color w:val="000000"/>
      <w:spacing w:val="0"/>
      <w:w w:val="100"/>
      <w:position w:val="0"/>
      <w:sz w:val="24"/>
      <w:szCs w:val="24"/>
      <w:u w:val="none"/>
      <w:lang w:val="en-US" w:eastAsia="en-US" w:bidi="en-US"/>
    </w:rPr>
  </w:style>
  <w:style w:type="character" w:customStyle="1" w:styleId="Tablecaption2">
    <w:name w:val="Table caption (2)_"/>
    <w:basedOn w:val="DefaultParagraphFont"/>
    <w:link w:val="Tablecaption21"/>
    <w:rPr>
      <w:rFonts w:ascii="Arial" w:eastAsia="Arial" w:hAnsi="Arial" w:cs="Arial"/>
      <w:b w:val="0"/>
      <w:bCs w:val="0"/>
      <w:i w:val="0"/>
      <w:iCs w:val="0"/>
      <w:smallCaps w:val="0"/>
      <w:strike w:val="0"/>
      <w:sz w:val="19"/>
      <w:szCs w:val="19"/>
      <w:u w:val="none"/>
    </w:rPr>
  </w:style>
  <w:style w:type="character" w:customStyle="1" w:styleId="Tablecaption20">
    <w:name w:val="Table caption (2)"/>
    <w:basedOn w:val="Tablecaption2"/>
    <w:rPr>
      <w:rFonts w:ascii="Arial" w:eastAsia="Arial" w:hAnsi="Arial" w:cs="Arial"/>
      <w:b w:val="0"/>
      <w:bCs w:val="0"/>
      <w:i w:val="0"/>
      <w:iCs w:val="0"/>
      <w:smallCaps w:val="0"/>
      <w:strike w:val="0"/>
      <w:color w:val="000000"/>
      <w:spacing w:val="0"/>
      <w:w w:val="100"/>
      <w:position w:val="0"/>
      <w:sz w:val="19"/>
      <w:szCs w:val="19"/>
      <w:u w:val="single"/>
      <w:lang w:val="en-US" w:eastAsia="en-US" w:bidi="en-US"/>
    </w:rPr>
  </w:style>
  <w:style w:type="character" w:customStyle="1" w:styleId="Tablecaption2Bold">
    <w:name w:val="Table caption (2) + Bold"/>
    <w:basedOn w:val="Tablecaption2"/>
    <w:rPr>
      <w:rFonts w:ascii="Arial" w:eastAsia="Arial" w:hAnsi="Arial" w:cs="Arial"/>
      <w:b/>
      <w:bCs/>
      <w:i w:val="0"/>
      <w:iCs w:val="0"/>
      <w:smallCaps w:val="0"/>
      <w:strike w:val="0"/>
      <w:color w:val="000000"/>
      <w:spacing w:val="0"/>
      <w:w w:val="100"/>
      <w:position w:val="0"/>
      <w:sz w:val="19"/>
      <w:szCs w:val="19"/>
      <w:u w:val="single"/>
      <w:lang w:val="en-US" w:eastAsia="en-US" w:bidi="en-US"/>
    </w:rPr>
  </w:style>
  <w:style w:type="character" w:customStyle="1" w:styleId="Tablecaption3">
    <w:name w:val="Table caption (3)_"/>
    <w:basedOn w:val="DefaultParagraphFont"/>
    <w:link w:val="Tablecaption30"/>
    <w:rPr>
      <w:rFonts w:ascii="Arial" w:eastAsia="Arial" w:hAnsi="Arial" w:cs="Arial"/>
      <w:b w:val="0"/>
      <w:bCs w:val="0"/>
      <w:i/>
      <w:iCs/>
      <w:smallCaps w:val="0"/>
      <w:strike w:val="0"/>
      <w:sz w:val="18"/>
      <w:szCs w:val="18"/>
      <w:u w:val="none"/>
    </w:rPr>
  </w:style>
  <w:style w:type="character" w:customStyle="1" w:styleId="Tablecaption2Bold1">
    <w:name w:val="Table caption (2) + Bold1"/>
    <w:basedOn w:val="Tablecaption2"/>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Tablecaption4">
    <w:name w:val="Table caption (4)_"/>
    <w:basedOn w:val="DefaultParagraphFont"/>
    <w:link w:val="Tablecaption41"/>
    <w:rPr>
      <w:rFonts w:ascii="Arial" w:eastAsia="Arial" w:hAnsi="Arial" w:cs="Arial"/>
      <w:b/>
      <w:bCs/>
      <w:i w:val="0"/>
      <w:iCs w:val="0"/>
      <w:smallCaps w:val="0"/>
      <w:strike w:val="0"/>
      <w:sz w:val="19"/>
      <w:szCs w:val="19"/>
      <w:u w:val="none"/>
    </w:rPr>
  </w:style>
  <w:style w:type="character" w:customStyle="1" w:styleId="Tablecaption40">
    <w:name w:val="Table caption (4)"/>
    <w:basedOn w:val="Tablecaption4"/>
    <w:rPr>
      <w:rFonts w:ascii="Arial" w:eastAsia="Arial" w:hAnsi="Arial" w:cs="Arial"/>
      <w:b/>
      <w:bCs/>
      <w:i w:val="0"/>
      <w:iCs w:val="0"/>
      <w:smallCaps w:val="0"/>
      <w:strike w:val="0"/>
      <w:color w:val="000000"/>
      <w:spacing w:val="0"/>
      <w:w w:val="100"/>
      <w:position w:val="0"/>
      <w:sz w:val="19"/>
      <w:szCs w:val="19"/>
      <w:u w:val="single"/>
      <w:lang w:val="en-US" w:eastAsia="en-US" w:bidi="en-US"/>
    </w:rPr>
  </w:style>
  <w:style w:type="character" w:customStyle="1" w:styleId="Heading320">
    <w:name w:val="Heading #3 (2)"/>
    <w:basedOn w:val="Heading32"/>
    <w:rPr>
      <w:rFonts w:ascii="Arial" w:eastAsia="Arial" w:hAnsi="Arial" w:cs="Arial"/>
      <w:b/>
      <w:bCs/>
      <w:i w:val="0"/>
      <w:iCs w:val="0"/>
      <w:smallCaps w:val="0"/>
      <w:strike w:val="0"/>
      <w:color w:val="000000"/>
      <w:spacing w:val="0"/>
      <w:w w:val="100"/>
      <w:position w:val="0"/>
      <w:sz w:val="19"/>
      <w:szCs w:val="19"/>
      <w:u w:val="single"/>
      <w:lang w:val="en-US" w:eastAsia="en-US" w:bidi="en-US"/>
    </w:rPr>
  </w:style>
  <w:style w:type="character" w:customStyle="1" w:styleId="Tablecaption4NotBold">
    <w:name w:val="Table caption (4) + Not Bold"/>
    <w:basedOn w:val="Tablecaption4"/>
    <w:rPr>
      <w:rFonts w:ascii="Arial" w:eastAsia="Arial" w:hAnsi="Arial" w:cs="Arial"/>
      <w:b/>
      <w:bCs/>
      <w:i w:val="0"/>
      <w:iCs w:val="0"/>
      <w:smallCaps w:val="0"/>
      <w:strike w:val="0"/>
      <w:color w:val="000000"/>
      <w:spacing w:val="0"/>
      <w:w w:val="100"/>
      <w:position w:val="0"/>
      <w:sz w:val="19"/>
      <w:szCs w:val="19"/>
      <w:u w:val="single"/>
      <w:lang w:val="en-US" w:eastAsia="en-US" w:bidi="en-US"/>
    </w:rPr>
  </w:style>
  <w:style w:type="paragraph" w:customStyle="1" w:styleId="Footnote1">
    <w:name w:val="Footnote1"/>
    <w:basedOn w:val="Normal"/>
    <w:link w:val="Footnote"/>
    <w:pPr>
      <w:shd w:val="clear" w:color="auto" w:fill="FFFFFF"/>
      <w:spacing w:line="168" w:lineRule="exact"/>
      <w:jc w:val="both"/>
    </w:pPr>
    <w:rPr>
      <w:rFonts w:eastAsia="Arial" w:cs="Arial"/>
      <w:sz w:val="15"/>
      <w:szCs w:val="15"/>
    </w:rPr>
  </w:style>
  <w:style w:type="paragraph" w:customStyle="1" w:styleId="Footnote21">
    <w:name w:val="Footnote (2)"/>
    <w:basedOn w:val="Normal"/>
    <w:link w:val="Footnote20"/>
    <w:pPr>
      <w:shd w:val="clear" w:color="auto" w:fill="FFFFFF"/>
      <w:spacing w:line="278" w:lineRule="exact"/>
      <w:jc w:val="both"/>
    </w:pPr>
    <w:rPr>
      <w:rFonts w:eastAsia="Arial" w:cs="Arial"/>
      <w:i/>
      <w:iCs/>
      <w:sz w:val="18"/>
      <w:szCs w:val="18"/>
    </w:rPr>
  </w:style>
  <w:style w:type="paragraph" w:customStyle="1" w:styleId="Bodytext30">
    <w:name w:val="Body text (3)"/>
    <w:basedOn w:val="Normal"/>
    <w:link w:val="Bodytext3"/>
    <w:pPr>
      <w:shd w:val="clear" w:color="auto" w:fill="FFFFFF"/>
      <w:spacing w:after="2460" w:line="224" w:lineRule="exact"/>
      <w:jc w:val="center"/>
    </w:pPr>
    <w:rPr>
      <w:rFonts w:eastAsia="Arial" w:cs="Arial"/>
      <w:b/>
      <w:bCs/>
      <w:sz w:val="20"/>
      <w:szCs w:val="20"/>
    </w:rPr>
  </w:style>
  <w:style w:type="paragraph" w:customStyle="1" w:styleId="Headerorfooter1">
    <w:name w:val="Header or footer1"/>
    <w:basedOn w:val="Normal"/>
    <w:link w:val="Headerorfooter"/>
    <w:pPr>
      <w:shd w:val="clear" w:color="auto" w:fill="FFFFFF"/>
      <w:spacing w:line="224" w:lineRule="exact"/>
    </w:pPr>
    <w:rPr>
      <w:rFonts w:eastAsia="Arial" w:cs="Arial"/>
      <w:sz w:val="20"/>
      <w:szCs w:val="20"/>
    </w:rPr>
  </w:style>
  <w:style w:type="paragraph" w:customStyle="1" w:styleId="Bodytext40">
    <w:name w:val="Body text (4)"/>
    <w:basedOn w:val="Normal"/>
    <w:link w:val="Bodytext4"/>
    <w:pPr>
      <w:shd w:val="clear" w:color="auto" w:fill="FFFFFF"/>
      <w:spacing w:before="2460" w:after="200" w:line="334" w:lineRule="exact"/>
    </w:pPr>
    <w:rPr>
      <w:rFonts w:eastAsia="Arial" w:cs="Arial"/>
      <w:b/>
      <w:bCs/>
      <w:sz w:val="30"/>
      <w:szCs w:val="30"/>
    </w:rPr>
  </w:style>
  <w:style w:type="paragraph" w:customStyle="1" w:styleId="Bodytext50">
    <w:name w:val="Body text (5)"/>
    <w:basedOn w:val="Normal"/>
    <w:link w:val="Bodytext5"/>
    <w:pPr>
      <w:shd w:val="clear" w:color="auto" w:fill="FFFFFF"/>
      <w:spacing w:before="2620" w:after="320" w:line="290" w:lineRule="exact"/>
      <w:jc w:val="center"/>
    </w:pPr>
    <w:rPr>
      <w:rFonts w:eastAsia="Arial" w:cs="Arial"/>
      <w:b/>
      <w:bCs/>
      <w:i/>
      <w:iCs/>
      <w:sz w:val="26"/>
      <w:szCs w:val="26"/>
    </w:rPr>
  </w:style>
  <w:style w:type="paragraph" w:customStyle="1" w:styleId="Bodytext60">
    <w:name w:val="Body text (6)"/>
    <w:basedOn w:val="Normal"/>
    <w:link w:val="Bodytext6"/>
    <w:pPr>
      <w:shd w:val="clear" w:color="auto" w:fill="FFFFFF"/>
      <w:spacing w:before="320" w:after="1200" w:line="686" w:lineRule="exact"/>
      <w:jc w:val="center"/>
    </w:pPr>
    <w:rPr>
      <w:rFonts w:eastAsia="Arial" w:cs="Arial"/>
      <w:b/>
      <w:bCs/>
      <w:sz w:val="48"/>
      <w:szCs w:val="48"/>
    </w:rPr>
  </w:style>
  <w:style w:type="paragraph" w:customStyle="1" w:styleId="Bodytext70">
    <w:name w:val="Body text (7)"/>
    <w:basedOn w:val="Normal"/>
    <w:link w:val="Bodytext7"/>
    <w:pPr>
      <w:shd w:val="clear" w:color="auto" w:fill="FFFFFF"/>
      <w:spacing w:before="2000" w:line="234" w:lineRule="exact"/>
      <w:jc w:val="center"/>
    </w:pPr>
    <w:rPr>
      <w:rFonts w:eastAsia="Arial" w:cs="Arial"/>
      <w:b/>
      <w:bCs/>
      <w:i/>
      <w:iCs/>
      <w:sz w:val="21"/>
      <w:szCs w:val="21"/>
    </w:rPr>
  </w:style>
  <w:style w:type="paragraph" w:customStyle="1" w:styleId="Heading11">
    <w:name w:val="Heading #11"/>
    <w:basedOn w:val="Normal"/>
    <w:link w:val="Heading10"/>
    <w:pPr>
      <w:shd w:val="clear" w:color="auto" w:fill="FFFFFF"/>
      <w:spacing w:line="350" w:lineRule="exact"/>
      <w:jc w:val="both"/>
      <w:outlineLvl w:val="0"/>
    </w:pPr>
    <w:rPr>
      <w:rFonts w:eastAsia="Arial" w:cs="Arial"/>
      <w:b/>
      <w:bCs/>
      <w:sz w:val="32"/>
      <w:szCs w:val="32"/>
    </w:rPr>
  </w:style>
  <w:style w:type="paragraph" w:styleId="TOC1">
    <w:name w:val="toc 1"/>
    <w:basedOn w:val="Normal"/>
    <w:link w:val="TOC1Char"/>
    <w:autoRedefine/>
    <w:uiPriority w:val="39"/>
    <w:rsid w:val="008E4155"/>
    <w:pPr>
      <w:shd w:val="clear" w:color="auto" w:fill="FFFFFF"/>
      <w:tabs>
        <w:tab w:val="left" w:pos="851"/>
        <w:tab w:val="right" w:leader="dot" w:pos="9119"/>
      </w:tabs>
      <w:spacing w:line="350" w:lineRule="exact"/>
      <w:jc w:val="both"/>
    </w:pPr>
    <w:rPr>
      <w:rFonts w:eastAsia="Arial" w:cs="Arial"/>
      <w:sz w:val="21"/>
      <w:szCs w:val="21"/>
    </w:rPr>
  </w:style>
  <w:style w:type="paragraph" w:customStyle="1" w:styleId="MAWP-Bodytext">
    <w:name w:val="MAWP-Body text"/>
    <w:basedOn w:val="Normal"/>
    <w:link w:val="MAWP-BodytextChar"/>
    <w:qFormat/>
    <w:rsid w:val="000A238B"/>
    <w:pPr>
      <w:spacing w:after="120" w:line="276" w:lineRule="auto"/>
      <w:jc w:val="both"/>
    </w:pPr>
    <w:rPr>
      <w:rFonts w:eastAsia="Arial" w:cs="Arial"/>
      <w:szCs w:val="32"/>
      <w:lang w:eastAsia="en-GB"/>
    </w:rPr>
  </w:style>
  <w:style w:type="paragraph" w:customStyle="1" w:styleId="Bodytext80">
    <w:name w:val="Body text (8)"/>
    <w:basedOn w:val="Normal"/>
    <w:link w:val="Bodytext8"/>
    <w:pPr>
      <w:shd w:val="clear" w:color="auto" w:fill="FFFFFF"/>
      <w:spacing w:before="160" w:after="160" w:line="246" w:lineRule="exact"/>
      <w:jc w:val="both"/>
    </w:pPr>
    <w:rPr>
      <w:rFonts w:eastAsia="Arial" w:cs="Arial"/>
      <w:b/>
      <w:bCs/>
      <w:szCs w:val="22"/>
    </w:rPr>
  </w:style>
  <w:style w:type="paragraph" w:customStyle="1" w:styleId="Heading31">
    <w:name w:val="Heading #3"/>
    <w:basedOn w:val="Normal"/>
    <w:link w:val="Heading30"/>
    <w:pPr>
      <w:shd w:val="clear" w:color="auto" w:fill="FFFFFF"/>
      <w:spacing w:before="140" w:after="140" w:line="224" w:lineRule="exact"/>
      <w:ind w:hanging="880"/>
      <w:jc w:val="both"/>
      <w:outlineLvl w:val="2"/>
    </w:pPr>
    <w:rPr>
      <w:rFonts w:eastAsia="Arial" w:cs="Arial"/>
      <w:b/>
      <w:bCs/>
      <w:sz w:val="20"/>
      <w:szCs w:val="20"/>
    </w:rPr>
  </w:style>
  <w:style w:type="paragraph" w:customStyle="1" w:styleId="Bodytext90">
    <w:name w:val="Body text (9)"/>
    <w:basedOn w:val="Normal"/>
    <w:link w:val="Bodytext9"/>
    <w:pPr>
      <w:shd w:val="clear" w:color="auto" w:fill="FFFFFF"/>
      <w:spacing w:after="120" w:line="317" w:lineRule="exact"/>
      <w:ind w:hanging="880"/>
    </w:pPr>
    <w:rPr>
      <w:rFonts w:eastAsia="Arial" w:cs="Arial"/>
      <w:b/>
      <w:bCs/>
      <w:sz w:val="19"/>
      <w:szCs w:val="19"/>
    </w:rPr>
  </w:style>
  <w:style w:type="paragraph" w:customStyle="1" w:styleId="Heading321">
    <w:name w:val="Heading #3 (2)1"/>
    <w:basedOn w:val="Normal"/>
    <w:link w:val="Heading32"/>
    <w:pPr>
      <w:shd w:val="clear" w:color="auto" w:fill="FFFFFF"/>
      <w:spacing w:before="120" w:after="120" w:line="212" w:lineRule="exact"/>
      <w:jc w:val="both"/>
      <w:outlineLvl w:val="2"/>
    </w:pPr>
    <w:rPr>
      <w:rFonts w:eastAsia="Arial" w:cs="Arial"/>
      <w:b/>
      <w:bCs/>
      <w:sz w:val="19"/>
      <w:szCs w:val="19"/>
    </w:rPr>
  </w:style>
  <w:style w:type="paragraph" w:customStyle="1" w:styleId="Heading21">
    <w:name w:val="Heading #2"/>
    <w:basedOn w:val="Normal"/>
    <w:link w:val="Heading20"/>
    <w:pPr>
      <w:shd w:val="clear" w:color="auto" w:fill="FFFFFF"/>
      <w:spacing w:before="120" w:after="120" w:line="246" w:lineRule="exact"/>
      <w:jc w:val="both"/>
      <w:outlineLvl w:val="1"/>
    </w:pPr>
    <w:rPr>
      <w:rFonts w:eastAsia="Arial" w:cs="Arial"/>
      <w:b/>
      <w:bCs/>
      <w:szCs w:val="22"/>
    </w:rPr>
  </w:style>
  <w:style w:type="paragraph" w:customStyle="1" w:styleId="Bodytext100">
    <w:name w:val="Body text (10)"/>
    <w:basedOn w:val="Normal"/>
    <w:link w:val="Bodytext10"/>
    <w:pPr>
      <w:shd w:val="clear" w:color="auto" w:fill="FFFFFF"/>
      <w:spacing w:before="140" w:after="140" w:line="288" w:lineRule="exact"/>
      <w:jc w:val="both"/>
    </w:pPr>
    <w:rPr>
      <w:rFonts w:eastAsia="Arial" w:cs="Arial"/>
      <w:i/>
      <w:iCs/>
      <w:sz w:val="19"/>
      <w:szCs w:val="19"/>
    </w:rPr>
  </w:style>
  <w:style w:type="paragraph" w:customStyle="1" w:styleId="Tablecaption0">
    <w:name w:val="Table caption"/>
    <w:basedOn w:val="Normal"/>
    <w:link w:val="Tablecaption"/>
    <w:pPr>
      <w:shd w:val="clear" w:color="auto" w:fill="FFFFFF"/>
      <w:spacing w:line="212" w:lineRule="exact"/>
    </w:pPr>
    <w:rPr>
      <w:rFonts w:eastAsia="Arial" w:cs="Arial"/>
      <w:i/>
      <w:iCs/>
      <w:sz w:val="19"/>
      <w:szCs w:val="19"/>
    </w:rPr>
  </w:style>
  <w:style w:type="paragraph" w:customStyle="1" w:styleId="Bodytext111">
    <w:name w:val="Body text (11)1"/>
    <w:basedOn w:val="Normal"/>
    <w:link w:val="Bodytext11"/>
    <w:pPr>
      <w:shd w:val="clear" w:color="auto" w:fill="FFFFFF"/>
      <w:spacing w:before="220" w:after="220" w:line="200" w:lineRule="exact"/>
      <w:ind w:hanging="400"/>
    </w:pPr>
    <w:rPr>
      <w:rFonts w:eastAsia="Arial" w:cs="Arial"/>
      <w:i/>
      <w:iCs/>
      <w:sz w:val="18"/>
      <w:szCs w:val="18"/>
    </w:rPr>
  </w:style>
  <w:style w:type="paragraph" w:customStyle="1" w:styleId="Tablecaption21">
    <w:name w:val="Table caption (2)1"/>
    <w:basedOn w:val="Normal"/>
    <w:link w:val="Tablecaption2"/>
    <w:pPr>
      <w:shd w:val="clear" w:color="auto" w:fill="FFFFFF"/>
      <w:spacing w:after="80" w:line="212" w:lineRule="exact"/>
    </w:pPr>
    <w:rPr>
      <w:rFonts w:eastAsia="Arial" w:cs="Arial"/>
      <w:sz w:val="19"/>
      <w:szCs w:val="19"/>
    </w:rPr>
  </w:style>
  <w:style w:type="paragraph" w:customStyle="1" w:styleId="Tablecaption30">
    <w:name w:val="Table caption (3)"/>
    <w:basedOn w:val="Normal"/>
    <w:link w:val="Tablecaption3"/>
    <w:pPr>
      <w:shd w:val="clear" w:color="auto" w:fill="FFFFFF"/>
      <w:spacing w:line="200" w:lineRule="exact"/>
    </w:pPr>
    <w:rPr>
      <w:rFonts w:eastAsia="Arial" w:cs="Arial"/>
      <w:i/>
      <w:iCs/>
      <w:sz w:val="18"/>
      <w:szCs w:val="18"/>
    </w:rPr>
  </w:style>
  <w:style w:type="paragraph" w:customStyle="1" w:styleId="Tablecaption41">
    <w:name w:val="Table caption (4)1"/>
    <w:basedOn w:val="Normal"/>
    <w:link w:val="Tablecaption4"/>
    <w:pPr>
      <w:shd w:val="clear" w:color="auto" w:fill="FFFFFF"/>
      <w:spacing w:before="80" w:line="212" w:lineRule="exact"/>
    </w:pPr>
    <w:rPr>
      <w:rFonts w:eastAsia="Arial" w:cs="Arial"/>
      <w:b/>
      <w:bCs/>
      <w:sz w:val="19"/>
      <w:szCs w:val="19"/>
    </w:rPr>
  </w:style>
  <w:style w:type="paragraph" w:styleId="TOC2">
    <w:name w:val="toc 2"/>
    <w:basedOn w:val="Normal"/>
    <w:autoRedefine/>
    <w:uiPriority w:val="39"/>
    <w:rsid w:val="008E4155"/>
    <w:pPr>
      <w:shd w:val="clear" w:color="auto" w:fill="FFFFFF"/>
      <w:tabs>
        <w:tab w:val="left" w:pos="851"/>
        <w:tab w:val="left" w:pos="880"/>
        <w:tab w:val="right" w:leader="dot" w:pos="9120"/>
      </w:tabs>
      <w:spacing w:line="350" w:lineRule="exact"/>
      <w:jc w:val="both"/>
    </w:pPr>
    <w:rPr>
      <w:rFonts w:eastAsia="Arial" w:cs="Arial"/>
      <w:sz w:val="21"/>
      <w:szCs w:val="21"/>
    </w:rPr>
  </w:style>
  <w:style w:type="paragraph" w:styleId="TOC3">
    <w:name w:val="toc 3"/>
    <w:basedOn w:val="Normal"/>
    <w:autoRedefine/>
    <w:uiPriority w:val="39"/>
    <w:pPr>
      <w:shd w:val="clear" w:color="auto" w:fill="FFFFFF"/>
      <w:spacing w:line="350" w:lineRule="exact"/>
      <w:jc w:val="both"/>
    </w:pPr>
    <w:rPr>
      <w:rFonts w:eastAsia="Arial" w:cs="Arial"/>
      <w:sz w:val="21"/>
      <w:szCs w:val="21"/>
    </w:rPr>
  </w:style>
  <w:style w:type="character" w:styleId="CommentReference">
    <w:name w:val="annotation reference"/>
    <w:basedOn w:val="DefaultParagraphFont"/>
    <w:unhideWhenUsed/>
    <w:rsid w:val="00290790"/>
    <w:rPr>
      <w:sz w:val="16"/>
      <w:szCs w:val="16"/>
    </w:rPr>
  </w:style>
  <w:style w:type="paragraph" w:styleId="CommentText">
    <w:name w:val="annotation text"/>
    <w:basedOn w:val="Normal"/>
    <w:link w:val="CommentTextChar"/>
    <w:unhideWhenUsed/>
    <w:rsid w:val="00290790"/>
    <w:rPr>
      <w:sz w:val="20"/>
      <w:szCs w:val="20"/>
    </w:rPr>
  </w:style>
  <w:style w:type="character" w:customStyle="1" w:styleId="CommentTextChar">
    <w:name w:val="Comment Text Char"/>
    <w:basedOn w:val="DefaultParagraphFont"/>
    <w:link w:val="CommentText"/>
    <w:rsid w:val="00290790"/>
    <w:rPr>
      <w:color w:val="000000"/>
      <w:sz w:val="20"/>
      <w:szCs w:val="20"/>
    </w:rPr>
  </w:style>
  <w:style w:type="paragraph" w:styleId="CommentSubject">
    <w:name w:val="annotation subject"/>
    <w:basedOn w:val="CommentText"/>
    <w:next w:val="CommentText"/>
    <w:link w:val="CommentSubjectChar"/>
    <w:uiPriority w:val="99"/>
    <w:semiHidden/>
    <w:unhideWhenUsed/>
    <w:rsid w:val="00290790"/>
    <w:rPr>
      <w:b/>
      <w:bCs/>
    </w:rPr>
  </w:style>
  <w:style w:type="character" w:customStyle="1" w:styleId="CommentSubjectChar">
    <w:name w:val="Comment Subject Char"/>
    <w:basedOn w:val="CommentTextChar"/>
    <w:link w:val="CommentSubject"/>
    <w:uiPriority w:val="99"/>
    <w:semiHidden/>
    <w:rsid w:val="00290790"/>
    <w:rPr>
      <w:b/>
      <w:bCs/>
      <w:color w:val="000000"/>
      <w:sz w:val="20"/>
      <w:szCs w:val="20"/>
    </w:rPr>
  </w:style>
  <w:style w:type="paragraph" w:styleId="BalloonText">
    <w:name w:val="Balloon Text"/>
    <w:basedOn w:val="Normal"/>
    <w:link w:val="BalloonTextChar"/>
    <w:uiPriority w:val="99"/>
    <w:semiHidden/>
    <w:unhideWhenUsed/>
    <w:rsid w:val="00A42D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790"/>
    <w:rPr>
      <w:rFonts w:ascii="Segoe UI" w:hAnsi="Segoe UI" w:cs="Segoe UI"/>
      <w:color w:val="000000"/>
      <w:sz w:val="18"/>
      <w:szCs w:val="18"/>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tx,Schriftart: 9 pt"/>
    <w:basedOn w:val="Normal"/>
    <w:link w:val="FootnoteTextChar"/>
    <w:unhideWhenUsed/>
    <w:qFormat/>
    <w:rsid w:val="005F2B6D"/>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sid w:val="005F2B6D"/>
    <w:rPr>
      <w:color w:val="000000"/>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r,FR,FR1"/>
    <w:basedOn w:val="DefaultParagraphFont"/>
    <w:link w:val="FootnotesymbolCarZchn"/>
    <w:uiPriority w:val="99"/>
    <w:unhideWhenUsed/>
    <w:qFormat/>
    <w:rsid w:val="005F2B6D"/>
    <w:rPr>
      <w:vertAlign w:val="superscript"/>
    </w:rPr>
  </w:style>
  <w:style w:type="character" w:customStyle="1" w:styleId="HideTWBExt">
    <w:name w:val="HideTWBExt"/>
    <w:rsid w:val="005F2B6D"/>
    <w:rPr>
      <w:rFonts w:ascii="Arial" w:hAnsi="Arial"/>
      <w:noProof/>
      <w:vanish/>
      <w:color w:val="000080"/>
      <w:sz w:val="20"/>
    </w:rPr>
  </w:style>
  <w:style w:type="paragraph" w:customStyle="1" w:styleId="Cover24">
    <w:name w:val="Cover24"/>
    <w:basedOn w:val="Normal"/>
    <w:rsid w:val="005F2B6D"/>
    <w:pPr>
      <w:spacing w:after="480"/>
      <w:ind w:left="1418"/>
    </w:pPr>
    <w:rPr>
      <w:color w:val="auto"/>
      <w:szCs w:val="20"/>
      <w:lang w:eastAsia="en-GB" w:bidi="ar-SA"/>
    </w:rPr>
  </w:style>
  <w:style w:type="paragraph" w:customStyle="1" w:styleId="CoverNormal">
    <w:name w:val="CoverNormal"/>
    <w:basedOn w:val="Normal"/>
    <w:rsid w:val="005F2B6D"/>
    <w:pPr>
      <w:ind w:left="1418"/>
    </w:pPr>
    <w:rPr>
      <w:color w:val="auto"/>
      <w:szCs w:val="20"/>
      <w:lang w:eastAsia="en-GB" w:bidi="ar-SA"/>
    </w:rPr>
  </w:style>
  <w:style w:type="paragraph" w:customStyle="1" w:styleId="TypeDoc">
    <w:name w:val="TypeDoc"/>
    <w:basedOn w:val="Normal"/>
    <w:rsid w:val="005F2B6D"/>
    <w:pPr>
      <w:spacing w:before="480" w:after="480"/>
      <w:ind w:left="1418"/>
    </w:pPr>
    <w:rPr>
      <w:b/>
      <w:color w:val="auto"/>
      <w:sz w:val="48"/>
      <w:szCs w:val="20"/>
      <w:lang w:eastAsia="en-GB" w:bidi="ar-SA"/>
    </w:rPr>
  </w:style>
  <w:style w:type="paragraph" w:styleId="TOC8">
    <w:name w:val="toc 8"/>
    <w:basedOn w:val="Normal"/>
    <w:next w:val="Normal"/>
    <w:autoRedefine/>
    <w:uiPriority w:val="39"/>
    <w:unhideWhenUsed/>
    <w:rsid w:val="005F2B6D"/>
    <w:pPr>
      <w:spacing w:after="100"/>
      <w:ind w:left="1680"/>
    </w:pPr>
  </w:style>
  <w:style w:type="paragraph" w:styleId="Header">
    <w:name w:val="header"/>
    <w:basedOn w:val="Normal"/>
    <w:link w:val="HeaderChar"/>
    <w:uiPriority w:val="99"/>
    <w:unhideWhenUsed/>
    <w:rsid w:val="005F2B6D"/>
    <w:pPr>
      <w:tabs>
        <w:tab w:val="center" w:pos="4513"/>
        <w:tab w:val="right" w:pos="9026"/>
      </w:tabs>
    </w:pPr>
  </w:style>
  <w:style w:type="character" w:customStyle="1" w:styleId="HeaderChar">
    <w:name w:val="Header Char"/>
    <w:basedOn w:val="DefaultParagraphFont"/>
    <w:link w:val="Header"/>
    <w:uiPriority w:val="99"/>
    <w:rsid w:val="005F2B6D"/>
    <w:rPr>
      <w:color w:val="000000"/>
    </w:rPr>
  </w:style>
  <w:style w:type="paragraph" w:styleId="Revision">
    <w:name w:val="Revision"/>
    <w:hidden/>
    <w:uiPriority w:val="99"/>
    <w:semiHidden/>
    <w:rsid w:val="005F2B6D"/>
    <w:pPr>
      <w:widowControl/>
    </w:pPr>
    <w:rPr>
      <w:color w:val="000000"/>
    </w:rPr>
  </w:style>
  <w:style w:type="paragraph" w:styleId="Footer">
    <w:name w:val="footer"/>
    <w:basedOn w:val="Normal"/>
    <w:link w:val="FooterChar"/>
    <w:uiPriority w:val="99"/>
    <w:unhideWhenUsed/>
    <w:rsid w:val="00C2793B"/>
    <w:pPr>
      <w:tabs>
        <w:tab w:val="center" w:pos="4513"/>
        <w:tab w:val="right" w:pos="9026"/>
      </w:tabs>
    </w:pPr>
  </w:style>
  <w:style w:type="character" w:customStyle="1" w:styleId="FooterChar">
    <w:name w:val="Footer Char"/>
    <w:basedOn w:val="DefaultParagraphFont"/>
    <w:link w:val="Footer"/>
    <w:uiPriority w:val="99"/>
    <w:rsid w:val="00C2793B"/>
    <w:rPr>
      <w:color w:val="000000"/>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L,Nad"/>
    <w:basedOn w:val="Normal"/>
    <w:link w:val="ListParagraphChar"/>
    <w:uiPriority w:val="34"/>
    <w:qFormat/>
    <w:rsid w:val="00323344"/>
    <w:pPr>
      <w:widowControl/>
      <w:ind w:left="720"/>
    </w:pPr>
    <w:rPr>
      <w:rFonts w:ascii="Calibri" w:eastAsiaTheme="minorHAnsi" w:hAnsi="Calibri"/>
      <w:color w:val="auto"/>
      <w:szCs w:val="22"/>
      <w:lang w:bidi="ar-SA"/>
    </w:rPr>
  </w:style>
  <w:style w:type="character" w:styleId="Hyperlink">
    <w:name w:val="Hyperlink"/>
    <w:basedOn w:val="DefaultParagraphFont"/>
    <w:uiPriority w:val="99"/>
    <w:unhideWhenUsed/>
    <w:rsid w:val="00D30F97"/>
    <w:rPr>
      <w:color w:val="0000FF" w:themeColor="hyperlink"/>
      <w:u w:val="single"/>
    </w:rPr>
  </w:style>
  <w:style w:type="numbering" w:customStyle="1" w:styleId="ImportedStyle6">
    <w:name w:val="Imported Style 6"/>
    <w:rsid w:val="00DC030C"/>
    <w:pPr>
      <w:numPr>
        <w:numId w:val="2"/>
      </w:numPr>
    </w:pPr>
  </w:style>
  <w:style w:type="paragraph" w:customStyle="1" w:styleId="Body">
    <w:name w:val="Body"/>
    <w:rsid w:val="00DC030C"/>
    <w:pPr>
      <w:pBdr>
        <w:top w:val="nil"/>
        <w:left w:val="nil"/>
        <w:bottom w:val="nil"/>
        <w:right w:val="nil"/>
        <w:between w:val="nil"/>
        <w:bar w:val="nil"/>
      </w:pBdr>
    </w:pPr>
    <w:rPr>
      <w:color w:val="000000"/>
      <w:u w:color="000000"/>
      <w:bdr w:val="nil"/>
      <w:lang w:val="en-GB" w:eastAsia="en-GB" w:bidi="ar-SA"/>
    </w:rPr>
  </w:style>
  <w:style w:type="character" w:customStyle="1" w:styleId="None">
    <w:name w:val="None"/>
    <w:rsid w:val="00DC030C"/>
  </w:style>
  <w:style w:type="paragraph" w:customStyle="1" w:styleId="Default">
    <w:name w:val="Default"/>
    <w:rsid w:val="00B475A3"/>
    <w:pPr>
      <w:widowControl/>
      <w:pBdr>
        <w:top w:val="nil"/>
        <w:left w:val="nil"/>
        <w:bottom w:val="nil"/>
        <w:right w:val="nil"/>
        <w:between w:val="nil"/>
        <w:bar w:val="nil"/>
      </w:pBdr>
    </w:pPr>
    <w:rPr>
      <w:rFonts w:ascii="Helvetica Neue" w:eastAsia="Helvetica Neue" w:hAnsi="Helvetica Neue" w:cs="Helvetica Neue"/>
      <w:color w:val="000000"/>
      <w:sz w:val="22"/>
      <w:szCs w:val="22"/>
      <w:bdr w:val="nil"/>
      <w:lang w:val="en-GB" w:eastAsia="en-GB" w:bidi="ar-SA"/>
    </w:rPr>
  </w:style>
  <w:style w:type="table" w:styleId="TableGrid">
    <w:name w:val="Table Grid"/>
    <w:basedOn w:val="TableNormal"/>
    <w:uiPriority w:val="39"/>
    <w:rsid w:val="00541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2A0D"/>
    <w:rPr>
      <w:color w:val="000000"/>
    </w:rPr>
  </w:style>
  <w:style w:type="character" w:customStyle="1" w:styleId="MAWPTitle">
    <w:name w:val="MAWP Title"/>
    <w:basedOn w:val="Heading10"/>
    <w:qFormat/>
    <w:rsid w:val="00E7212D"/>
    <w:rPr>
      <w:rFonts w:ascii="Arial" w:eastAsia="Arial" w:hAnsi="Arial" w:cs="Arial"/>
      <w:b w:val="0"/>
      <w:bCs/>
      <w:i w:val="0"/>
      <w:iCs w:val="0"/>
      <w:smallCaps w:val="0"/>
      <w:strike w:val="0"/>
      <w:color w:val="auto"/>
      <w:spacing w:val="0"/>
      <w:w w:val="100"/>
      <w:kern w:val="0"/>
      <w:position w:val="0"/>
      <w:sz w:val="32"/>
      <w:szCs w:val="32"/>
      <w:u w:val="none"/>
      <w:bdr w:val="none" w:sz="0" w:space="0" w:color="auto"/>
      <w:shd w:val="clear" w:color="auto" w:fill="FFFFFF"/>
      <w:lang w:val="fr-FR" w:eastAsia="fr-FR" w:bidi="fr-FR"/>
      <w14:numForm w14:val="default"/>
      <w14:cntxtAlts w14:val="0"/>
    </w:rPr>
  </w:style>
  <w:style w:type="paragraph" w:styleId="Subtitle">
    <w:name w:val="Subtitle"/>
    <w:aliases w:val="MAWP,Subtítulo"/>
    <w:basedOn w:val="Heading21"/>
    <w:next w:val="MAWP-Bodytext"/>
    <w:link w:val="SubtitleChar"/>
    <w:autoRedefine/>
    <w:uiPriority w:val="11"/>
    <w:qFormat/>
    <w:rsid w:val="006802D3"/>
    <w:pPr>
      <w:keepNext/>
      <w:keepLines/>
      <w:numPr>
        <w:ilvl w:val="1"/>
        <w:numId w:val="1"/>
      </w:numPr>
      <w:shd w:val="clear" w:color="auto" w:fill="auto"/>
      <w:spacing w:before="360" w:after="70" w:line="276" w:lineRule="auto"/>
    </w:pPr>
    <w:rPr>
      <w:bCs w:val="0"/>
      <w:sz w:val="24"/>
      <w:szCs w:val="24"/>
    </w:rPr>
  </w:style>
  <w:style w:type="character" w:customStyle="1" w:styleId="SubtitleChar">
    <w:name w:val="Subtitle Char"/>
    <w:aliases w:val="MAWP Char,Subtítulo Char"/>
    <w:basedOn w:val="DefaultParagraphFont"/>
    <w:link w:val="Subtitle"/>
    <w:uiPriority w:val="11"/>
    <w:rsid w:val="006802D3"/>
    <w:rPr>
      <w:rFonts w:ascii="Arial" w:eastAsia="Arial" w:hAnsi="Arial" w:cs="Arial"/>
      <w:b/>
      <w:color w:val="000000"/>
      <w:lang w:val="en-GB"/>
    </w:rPr>
  </w:style>
  <w:style w:type="paragraph" w:customStyle="1" w:styleId="MAWPsubtitle20">
    <w:name w:val="MAWP subtitle 2"/>
    <w:basedOn w:val="MAWP-Bodytext"/>
    <w:autoRedefine/>
    <w:rsid w:val="00D14125"/>
  </w:style>
  <w:style w:type="paragraph" w:customStyle="1" w:styleId="MAWPsubtitle2">
    <w:name w:val="MAWP subtitle2"/>
    <w:basedOn w:val="Subtitle"/>
    <w:qFormat/>
    <w:rsid w:val="00F43A04"/>
    <w:pPr>
      <w:numPr>
        <w:ilvl w:val="2"/>
      </w:numPr>
      <w:spacing w:before="240" w:after="120"/>
    </w:pPr>
    <w:rPr>
      <w:sz w:val="22"/>
    </w:rPr>
  </w:style>
  <w:style w:type="character" w:customStyle="1" w:styleId="Bodytext20">
    <w:name w:val="Body text (2)_"/>
    <w:basedOn w:val="DefaultParagraphFont"/>
    <w:link w:val="Bodytext21"/>
    <w:rsid w:val="007D0B3E"/>
    <w:rPr>
      <w:rFonts w:ascii="Arial" w:eastAsia="Arial" w:hAnsi="Arial" w:cs="Arial"/>
      <w:sz w:val="19"/>
      <w:szCs w:val="19"/>
      <w:shd w:val="clear" w:color="auto" w:fill="FFFFFF"/>
    </w:rPr>
  </w:style>
  <w:style w:type="paragraph" w:customStyle="1" w:styleId="Bodytext21">
    <w:name w:val="Body text (2)1"/>
    <w:basedOn w:val="Normal"/>
    <w:link w:val="Bodytext20"/>
    <w:rsid w:val="007D0B3E"/>
    <w:pPr>
      <w:shd w:val="clear" w:color="auto" w:fill="FFFFFF"/>
      <w:spacing w:before="360" w:after="120" w:line="288" w:lineRule="exact"/>
      <w:ind w:hanging="460"/>
      <w:contextualSpacing/>
      <w:jc w:val="both"/>
    </w:pPr>
    <w:rPr>
      <w:rFonts w:eastAsia="Arial" w:cs="Arial"/>
      <w:color w:val="auto"/>
      <w:sz w:val="19"/>
      <w:szCs w:val="19"/>
    </w:rPr>
  </w:style>
  <w:style w:type="paragraph" w:styleId="Caption">
    <w:name w:val="caption"/>
    <w:basedOn w:val="Normal"/>
    <w:next w:val="Normal"/>
    <w:uiPriority w:val="35"/>
    <w:unhideWhenUsed/>
    <w:qFormat/>
    <w:rsid w:val="006B3E49"/>
    <w:pPr>
      <w:keepNext/>
      <w:widowControl/>
      <w:spacing w:after="200"/>
    </w:pPr>
    <w:rPr>
      <w:rFonts w:asciiTheme="minorHAnsi" w:eastAsiaTheme="minorHAnsi" w:hAnsiTheme="minorHAnsi" w:cstheme="minorBidi"/>
      <w:i/>
      <w:iCs/>
      <w:color w:val="1F497D" w:themeColor="text2"/>
      <w:sz w:val="20"/>
      <w:szCs w:val="18"/>
      <w:u w:val="single"/>
      <w:lang w:bidi="ar-SA"/>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sid w:val="002A6D3E"/>
    <w:rPr>
      <w:rFonts w:ascii="Calibri" w:eastAsiaTheme="minorHAnsi" w:hAnsi="Calibri"/>
      <w:sz w:val="22"/>
      <w:szCs w:val="22"/>
      <w:lang w:val="en-GB" w:bidi="ar-SA"/>
    </w:rPr>
  </w:style>
  <w:style w:type="paragraph" w:styleId="BodyText">
    <w:name w:val="Body Text"/>
    <w:basedOn w:val="Normal"/>
    <w:link w:val="BodyTextChar"/>
    <w:uiPriority w:val="1"/>
    <w:qFormat/>
    <w:rsid w:val="002A6D3E"/>
    <w:pPr>
      <w:autoSpaceDE w:val="0"/>
      <w:autoSpaceDN w:val="0"/>
      <w:spacing w:after="120" w:line="264" w:lineRule="auto"/>
      <w:ind w:left="357" w:hanging="357"/>
      <w:jc w:val="both"/>
    </w:pPr>
    <w:rPr>
      <w:rFonts w:ascii="Times New Roman" w:hAnsi="Times New Roman"/>
      <w:color w:val="auto"/>
      <w:szCs w:val="22"/>
      <w:lang w:eastAsia="en-GB"/>
    </w:rPr>
  </w:style>
  <w:style w:type="character" w:customStyle="1" w:styleId="BodyTextChar">
    <w:name w:val="Body Text Char"/>
    <w:basedOn w:val="DefaultParagraphFont"/>
    <w:link w:val="BodyText"/>
    <w:uiPriority w:val="1"/>
    <w:rsid w:val="002A6D3E"/>
    <w:rPr>
      <w:sz w:val="22"/>
      <w:szCs w:val="22"/>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rsid w:val="002A6D3E"/>
    <w:pPr>
      <w:widowControl/>
      <w:spacing w:after="160" w:line="240" w:lineRule="exact"/>
      <w:jc w:val="both"/>
    </w:pPr>
    <w:rPr>
      <w:rFonts w:ascii="Times New Roman" w:hAnsi="Times New Roman"/>
      <w:color w:val="auto"/>
      <w:sz w:val="24"/>
      <w:vertAlign w:val="superscript"/>
    </w:rPr>
  </w:style>
  <w:style w:type="paragraph" w:styleId="EndnoteText">
    <w:name w:val="endnote text"/>
    <w:basedOn w:val="Normal"/>
    <w:link w:val="EndnoteTextChar"/>
    <w:uiPriority w:val="99"/>
    <w:semiHidden/>
    <w:unhideWhenUsed/>
    <w:rsid w:val="002D4871"/>
    <w:rPr>
      <w:sz w:val="20"/>
      <w:szCs w:val="20"/>
    </w:rPr>
  </w:style>
  <w:style w:type="character" w:customStyle="1" w:styleId="EndnoteTextChar">
    <w:name w:val="Endnote Text Char"/>
    <w:basedOn w:val="DefaultParagraphFont"/>
    <w:link w:val="EndnoteText"/>
    <w:uiPriority w:val="99"/>
    <w:semiHidden/>
    <w:rsid w:val="002D4871"/>
    <w:rPr>
      <w:rFonts w:ascii="Arial" w:hAnsi="Arial"/>
      <w:color w:val="000000"/>
      <w:sz w:val="20"/>
      <w:szCs w:val="20"/>
    </w:rPr>
  </w:style>
  <w:style w:type="character" w:styleId="EndnoteReference">
    <w:name w:val="endnote reference"/>
    <w:basedOn w:val="DefaultParagraphFont"/>
    <w:uiPriority w:val="99"/>
    <w:semiHidden/>
    <w:unhideWhenUsed/>
    <w:rsid w:val="002D4871"/>
    <w:rPr>
      <w:vertAlign w:val="superscript"/>
    </w:rPr>
  </w:style>
  <w:style w:type="table" w:customStyle="1" w:styleId="TableGrid1">
    <w:name w:val="Table Grid1"/>
    <w:basedOn w:val="TableNormal"/>
    <w:next w:val="TableGrid"/>
    <w:uiPriority w:val="59"/>
    <w:rsid w:val="00961256"/>
    <w:pPr>
      <w:widowControl/>
    </w:pPr>
    <w:rPr>
      <w:rFonts w:asciiTheme="minorHAnsi" w:eastAsiaTheme="minorHAnsi" w:hAnsiTheme="minorHAnsi" w:cstheme="minorBidi"/>
      <w:sz w:val="22"/>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66C99"/>
    <w:rPr>
      <w:b/>
      <w:bCs/>
    </w:rPr>
  </w:style>
  <w:style w:type="paragraph" w:customStyle="1" w:styleId="MAWPHeadingStyle1">
    <w:name w:val="MAWP Heading Style 1"/>
    <w:basedOn w:val="Heading11"/>
    <w:link w:val="MAWPHeadingStyle1Char"/>
    <w:qFormat/>
    <w:rsid w:val="00C52896"/>
    <w:pPr>
      <w:keepNext/>
      <w:keepLines/>
      <w:numPr>
        <w:numId w:val="1"/>
      </w:numPr>
      <w:shd w:val="clear" w:color="auto" w:fill="auto"/>
      <w:tabs>
        <w:tab w:val="left" w:pos="850"/>
      </w:tabs>
      <w:spacing w:after="240" w:line="276" w:lineRule="auto"/>
      <w:jc w:val="left"/>
    </w:pPr>
  </w:style>
  <w:style w:type="paragraph" w:customStyle="1" w:styleId="MAWPHeadingStyle-Level2">
    <w:name w:val="MAWP Heading Style - Level 2"/>
    <w:basedOn w:val="Subtitle"/>
    <w:link w:val="MAWPHeadingStyle-Level2Char"/>
    <w:qFormat/>
    <w:rsid w:val="00C52896"/>
  </w:style>
  <w:style w:type="character" w:customStyle="1" w:styleId="MAWPHeadingStyle1Char">
    <w:name w:val="MAWP Heading Style 1 Char"/>
    <w:basedOn w:val="Heading10"/>
    <w:link w:val="MAWPHeadingStyle1"/>
    <w:rsid w:val="00C52896"/>
    <w:rPr>
      <w:rFonts w:ascii="Arial" w:eastAsia="Arial" w:hAnsi="Arial" w:cs="Arial"/>
      <w:b/>
      <w:bCs/>
      <w:i w:val="0"/>
      <w:iCs w:val="0"/>
      <w:smallCaps w:val="0"/>
      <w:strike w:val="0"/>
      <w:color w:val="000000"/>
      <w:sz w:val="32"/>
      <w:szCs w:val="32"/>
      <w:u w:val="none"/>
      <w:lang w:val="en-GB"/>
    </w:rPr>
  </w:style>
  <w:style w:type="paragraph" w:customStyle="1" w:styleId="MAWPHeadingStyleLevel3">
    <w:name w:val="MAWP Heading Style Level 3"/>
    <w:basedOn w:val="Subtitle"/>
    <w:link w:val="MAWPHeadingStyleLevel3Char"/>
    <w:qFormat/>
    <w:rsid w:val="00C52896"/>
  </w:style>
  <w:style w:type="character" w:customStyle="1" w:styleId="MAWPHeadingStyle-Level2Char">
    <w:name w:val="MAWP Heading Style - Level 2 Char"/>
    <w:basedOn w:val="SubtitleChar"/>
    <w:link w:val="MAWPHeadingStyle-Level2"/>
    <w:rsid w:val="00C52896"/>
    <w:rPr>
      <w:rFonts w:ascii="Arial" w:eastAsia="Arial" w:hAnsi="Arial" w:cs="Arial"/>
      <w:b/>
      <w:color w:val="000000"/>
      <w:lang w:val="en-GB"/>
    </w:rPr>
  </w:style>
  <w:style w:type="paragraph" w:customStyle="1" w:styleId="MAWPHeadingStyleLevel4">
    <w:name w:val="MAWP Heading Style Level 4"/>
    <w:basedOn w:val="Normal"/>
    <w:link w:val="MAWPHeadingStyleLevel4Char"/>
    <w:qFormat/>
    <w:rsid w:val="00C52896"/>
    <w:pPr>
      <w:widowControl/>
      <w:spacing w:after="160" w:line="259" w:lineRule="auto"/>
      <w:contextualSpacing/>
      <w:jc w:val="both"/>
    </w:pPr>
    <w:rPr>
      <w:rFonts w:cstheme="minorHAnsi"/>
      <w:bCs/>
      <w:i/>
      <w:u w:val="single"/>
    </w:rPr>
  </w:style>
  <w:style w:type="character" w:customStyle="1" w:styleId="MAWPHeadingStyleLevel3Char">
    <w:name w:val="MAWP Heading Style Level 3 Char"/>
    <w:basedOn w:val="SubtitleChar"/>
    <w:link w:val="MAWPHeadingStyleLevel3"/>
    <w:rsid w:val="00C52896"/>
    <w:rPr>
      <w:rFonts w:ascii="Arial" w:eastAsia="Arial" w:hAnsi="Arial" w:cs="Arial"/>
      <w:b/>
      <w:color w:val="000000"/>
      <w:lang w:val="en-GB"/>
    </w:rPr>
  </w:style>
  <w:style w:type="character" w:customStyle="1" w:styleId="MAWPHeadingStyleLevel4Char">
    <w:name w:val="MAWP Heading Style Level 4 Char"/>
    <w:basedOn w:val="DefaultParagraphFont"/>
    <w:link w:val="MAWPHeadingStyleLevel4"/>
    <w:rsid w:val="00C52896"/>
    <w:rPr>
      <w:rFonts w:ascii="Arial" w:hAnsi="Arial" w:cstheme="minorHAnsi"/>
      <w:bCs/>
      <w:i/>
      <w:color w:val="000000"/>
      <w:sz w:val="22"/>
      <w:u w:val="single"/>
      <w:lang w:val="en-GB"/>
    </w:rPr>
  </w:style>
  <w:style w:type="character" w:styleId="BookTitle">
    <w:name w:val="Book Title"/>
    <w:basedOn w:val="DefaultParagraphFont"/>
    <w:uiPriority w:val="33"/>
    <w:qFormat/>
    <w:rsid w:val="000A238B"/>
    <w:rPr>
      <w:b/>
      <w:bCs/>
      <w:i/>
      <w:iCs/>
      <w:spacing w:val="5"/>
    </w:rPr>
  </w:style>
  <w:style w:type="character" w:styleId="SubtleEmphasis">
    <w:name w:val="Subtle Emphasis"/>
    <w:basedOn w:val="DefaultParagraphFont"/>
    <w:uiPriority w:val="19"/>
    <w:qFormat/>
    <w:rsid w:val="000A238B"/>
    <w:rPr>
      <w:i/>
      <w:iCs/>
      <w:color w:val="404040" w:themeColor="text1" w:themeTint="BF"/>
    </w:rPr>
  </w:style>
  <w:style w:type="character" w:styleId="FollowedHyperlink">
    <w:name w:val="FollowedHyperlink"/>
    <w:basedOn w:val="DefaultParagraphFont"/>
    <w:uiPriority w:val="99"/>
    <w:semiHidden/>
    <w:unhideWhenUsed/>
    <w:rsid w:val="003E4087"/>
    <w:rPr>
      <w:color w:val="800080" w:themeColor="followedHyperlink"/>
      <w:u w:val="single"/>
    </w:rPr>
  </w:style>
  <w:style w:type="character" w:customStyle="1" w:styleId="jlqj4b">
    <w:name w:val="jlqj4b"/>
    <w:basedOn w:val="DefaultParagraphFont"/>
    <w:rsid w:val="00BA0C2B"/>
  </w:style>
  <w:style w:type="paragraph" w:customStyle="1" w:styleId="Point1number">
    <w:name w:val="Point 1 (number)"/>
    <w:basedOn w:val="Normal"/>
    <w:rsid w:val="00F218CD"/>
    <w:pPr>
      <w:widowControl/>
      <w:numPr>
        <w:ilvl w:val="2"/>
        <w:numId w:val="5"/>
      </w:numPr>
      <w:spacing w:before="120" w:after="120"/>
      <w:jc w:val="both"/>
    </w:pPr>
    <w:rPr>
      <w:rFonts w:ascii="Times New Roman" w:eastAsiaTheme="minorHAnsi" w:hAnsi="Times New Roman"/>
      <w:color w:val="auto"/>
      <w:sz w:val="24"/>
      <w:szCs w:val="22"/>
      <w:lang w:bidi="ar-SA"/>
    </w:rPr>
  </w:style>
  <w:style w:type="paragraph" w:customStyle="1" w:styleId="Point2number">
    <w:name w:val="Point 2 (number)"/>
    <w:basedOn w:val="Normal"/>
    <w:rsid w:val="00F218CD"/>
    <w:pPr>
      <w:widowControl/>
      <w:numPr>
        <w:ilvl w:val="4"/>
        <w:numId w:val="5"/>
      </w:numPr>
      <w:spacing w:before="120" w:after="120"/>
      <w:jc w:val="both"/>
    </w:pPr>
    <w:rPr>
      <w:rFonts w:ascii="Times New Roman" w:eastAsiaTheme="minorHAnsi" w:hAnsi="Times New Roman"/>
      <w:color w:val="auto"/>
      <w:sz w:val="24"/>
      <w:szCs w:val="22"/>
      <w:lang w:bidi="ar-SA"/>
    </w:rPr>
  </w:style>
  <w:style w:type="paragraph" w:customStyle="1" w:styleId="Point3number">
    <w:name w:val="Point 3 (number)"/>
    <w:basedOn w:val="Normal"/>
    <w:rsid w:val="00F218CD"/>
    <w:pPr>
      <w:widowControl/>
      <w:numPr>
        <w:ilvl w:val="6"/>
        <w:numId w:val="5"/>
      </w:numPr>
      <w:spacing w:before="120" w:after="120"/>
      <w:jc w:val="both"/>
    </w:pPr>
    <w:rPr>
      <w:rFonts w:ascii="Times New Roman" w:eastAsiaTheme="minorHAnsi" w:hAnsi="Times New Roman"/>
      <w:color w:val="auto"/>
      <w:sz w:val="24"/>
      <w:szCs w:val="22"/>
      <w:lang w:bidi="ar-SA"/>
    </w:rPr>
  </w:style>
  <w:style w:type="paragraph" w:customStyle="1" w:styleId="Point0letter">
    <w:name w:val="Point 0 (letter)"/>
    <w:basedOn w:val="Normal"/>
    <w:rsid w:val="00F218CD"/>
    <w:pPr>
      <w:widowControl/>
      <w:numPr>
        <w:ilvl w:val="1"/>
        <w:numId w:val="5"/>
      </w:numPr>
      <w:spacing w:before="120" w:after="120"/>
      <w:jc w:val="both"/>
    </w:pPr>
    <w:rPr>
      <w:rFonts w:ascii="Times New Roman" w:eastAsiaTheme="minorHAnsi" w:hAnsi="Times New Roman"/>
      <w:color w:val="auto"/>
      <w:sz w:val="24"/>
      <w:szCs w:val="22"/>
      <w:lang w:bidi="ar-SA"/>
    </w:rPr>
  </w:style>
  <w:style w:type="paragraph" w:customStyle="1" w:styleId="Point1letter">
    <w:name w:val="Point 1 (letter)"/>
    <w:basedOn w:val="Normal"/>
    <w:rsid w:val="00F218CD"/>
    <w:pPr>
      <w:widowControl/>
      <w:numPr>
        <w:ilvl w:val="3"/>
        <w:numId w:val="5"/>
      </w:numPr>
      <w:spacing w:before="120" w:after="120"/>
      <w:jc w:val="both"/>
    </w:pPr>
    <w:rPr>
      <w:rFonts w:ascii="Times New Roman" w:eastAsiaTheme="minorHAnsi" w:hAnsi="Times New Roman"/>
      <w:color w:val="auto"/>
      <w:sz w:val="24"/>
      <w:szCs w:val="22"/>
      <w:lang w:bidi="ar-SA"/>
    </w:rPr>
  </w:style>
  <w:style w:type="paragraph" w:customStyle="1" w:styleId="Point2letter">
    <w:name w:val="Point 2 (letter)"/>
    <w:basedOn w:val="Normal"/>
    <w:rsid w:val="00F218CD"/>
    <w:pPr>
      <w:widowControl/>
      <w:numPr>
        <w:ilvl w:val="5"/>
        <w:numId w:val="5"/>
      </w:numPr>
      <w:spacing w:before="120" w:after="120"/>
      <w:jc w:val="both"/>
    </w:pPr>
    <w:rPr>
      <w:rFonts w:ascii="Times New Roman" w:eastAsiaTheme="minorHAnsi" w:hAnsi="Times New Roman"/>
      <w:color w:val="auto"/>
      <w:sz w:val="24"/>
      <w:szCs w:val="22"/>
      <w:lang w:bidi="ar-SA"/>
    </w:rPr>
  </w:style>
  <w:style w:type="paragraph" w:customStyle="1" w:styleId="Point3letter">
    <w:name w:val="Point 3 (letter)"/>
    <w:basedOn w:val="Normal"/>
    <w:rsid w:val="00F218CD"/>
    <w:pPr>
      <w:widowControl/>
      <w:numPr>
        <w:ilvl w:val="7"/>
        <w:numId w:val="5"/>
      </w:numPr>
      <w:spacing w:before="120" w:after="120"/>
      <w:jc w:val="both"/>
    </w:pPr>
    <w:rPr>
      <w:rFonts w:ascii="Times New Roman" w:eastAsiaTheme="minorHAnsi" w:hAnsi="Times New Roman"/>
      <w:color w:val="auto"/>
      <w:sz w:val="24"/>
      <w:szCs w:val="22"/>
      <w:lang w:bidi="ar-SA"/>
    </w:rPr>
  </w:style>
  <w:style w:type="paragraph" w:customStyle="1" w:styleId="Point4letter">
    <w:name w:val="Point 4 (letter)"/>
    <w:basedOn w:val="Normal"/>
    <w:rsid w:val="00F218CD"/>
    <w:pPr>
      <w:widowControl/>
      <w:numPr>
        <w:ilvl w:val="8"/>
        <w:numId w:val="5"/>
      </w:numPr>
      <w:spacing w:before="120" w:after="120"/>
      <w:jc w:val="both"/>
    </w:pPr>
    <w:rPr>
      <w:rFonts w:ascii="Times New Roman" w:eastAsiaTheme="minorHAnsi" w:hAnsi="Times New Roman"/>
      <w:color w:val="auto"/>
      <w:sz w:val="24"/>
      <w:szCs w:val="22"/>
      <w:lang w:bidi="ar-SA"/>
    </w:rPr>
  </w:style>
  <w:style w:type="character" w:customStyle="1" w:styleId="Heading2Char">
    <w:name w:val="Heading 2 Char"/>
    <w:basedOn w:val="DefaultParagraphFont"/>
    <w:link w:val="Heading2"/>
    <w:uiPriority w:val="9"/>
    <w:rsid w:val="00F218CD"/>
    <w:rPr>
      <w:rFonts w:asciiTheme="majorHAnsi" w:eastAsiaTheme="majorEastAsia" w:hAnsiTheme="majorHAnsi" w:cstheme="majorBidi"/>
      <w:color w:val="365F91" w:themeColor="accent1" w:themeShade="BF"/>
      <w:sz w:val="26"/>
      <w:szCs w:val="26"/>
      <w:lang w:val="en-GB" w:bidi="ar-SA"/>
    </w:rPr>
  </w:style>
  <w:style w:type="paragraph" w:styleId="Title">
    <w:name w:val="Title"/>
    <w:basedOn w:val="Normal"/>
    <w:next w:val="Normal"/>
    <w:link w:val="TitleChar"/>
    <w:uiPriority w:val="10"/>
    <w:qFormat/>
    <w:rsid w:val="007D1C55"/>
    <w:pPr>
      <w:widowControl/>
      <w:contextualSpacing/>
    </w:pPr>
    <w:rPr>
      <w:rFonts w:asciiTheme="majorHAnsi" w:eastAsiaTheme="majorEastAsia" w:hAnsiTheme="majorHAnsi" w:cstheme="majorBidi"/>
      <w:color w:val="auto"/>
      <w:spacing w:val="-10"/>
      <w:kern w:val="28"/>
      <w:sz w:val="56"/>
      <w:szCs w:val="56"/>
      <w:lang w:bidi="ar-SA"/>
    </w:rPr>
  </w:style>
  <w:style w:type="character" w:customStyle="1" w:styleId="TitleChar">
    <w:name w:val="Title Char"/>
    <w:basedOn w:val="DefaultParagraphFont"/>
    <w:link w:val="Title"/>
    <w:uiPriority w:val="10"/>
    <w:rsid w:val="007D1C55"/>
    <w:rPr>
      <w:rFonts w:asciiTheme="majorHAnsi" w:eastAsiaTheme="majorEastAsia" w:hAnsiTheme="majorHAnsi" w:cstheme="majorBidi"/>
      <w:spacing w:val="-10"/>
      <w:kern w:val="28"/>
      <w:sz w:val="56"/>
      <w:szCs w:val="56"/>
      <w:lang w:val="en-GB" w:bidi="ar-SA"/>
    </w:rPr>
  </w:style>
  <w:style w:type="paragraph" w:styleId="NormalWeb">
    <w:name w:val="Normal (Web)"/>
    <w:basedOn w:val="Normal"/>
    <w:uiPriority w:val="99"/>
    <w:unhideWhenUsed/>
    <w:rsid w:val="007D1C55"/>
    <w:pPr>
      <w:widowControl/>
      <w:spacing w:before="100" w:beforeAutospacing="1" w:after="100" w:afterAutospacing="1"/>
    </w:pPr>
    <w:rPr>
      <w:rFonts w:ascii="Times New Roman" w:hAnsi="Times New Roman"/>
      <w:color w:val="auto"/>
      <w:sz w:val="24"/>
      <w:lang w:eastAsia="en-GB" w:bidi="ar-SA"/>
    </w:rPr>
  </w:style>
  <w:style w:type="paragraph" w:customStyle="1" w:styleId="MAWPBodyTextNumbered">
    <w:name w:val="MAWP Body Text Numbered"/>
    <w:basedOn w:val="MAWP-Bodytext"/>
    <w:link w:val="MAWPBodyTextNumberedChar"/>
    <w:qFormat/>
    <w:rsid w:val="00317709"/>
    <w:pPr>
      <w:numPr>
        <w:numId w:val="37"/>
      </w:numPr>
    </w:pPr>
  </w:style>
  <w:style w:type="paragraph" w:customStyle="1" w:styleId="MAWPBodytextbullets">
    <w:name w:val="MAWP Body text bullets"/>
    <w:basedOn w:val="MAWP-Bodytext"/>
    <w:link w:val="MAWPBodytextbulletsChar"/>
    <w:qFormat/>
    <w:rsid w:val="006159FD"/>
    <w:pPr>
      <w:numPr>
        <w:numId w:val="24"/>
      </w:numPr>
    </w:pPr>
  </w:style>
  <w:style w:type="character" w:customStyle="1" w:styleId="MAWPBodyTextNumberedChar">
    <w:name w:val="MAWP Body Text Numbered Char"/>
    <w:basedOn w:val="MAWP-BodytextChar"/>
    <w:link w:val="MAWPBodyTextNumbered"/>
    <w:rsid w:val="00317709"/>
    <w:rPr>
      <w:rFonts w:ascii="Arial" w:eastAsia="Arial" w:hAnsi="Arial" w:cs="Arial"/>
      <w:color w:val="000000"/>
      <w:sz w:val="22"/>
      <w:szCs w:val="32"/>
      <w:lang w:val="en-GB" w:eastAsia="en-GB"/>
    </w:rPr>
  </w:style>
  <w:style w:type="character" w:customStyle="1" w:styleId="MAWPBodytextbulletsChar">
    <w:name w:val="MAWP Body text bullets Char"/>
    <w:basedOn w:val="MAWP-BodytextChar"/>
    <w:link w:val="MAWPBodytextbullets"/>
    <w:rsid w:val="006159FD"/>
    <w:rPr>
      <w:rFonts w:ascii="Arial" w:eastAsia="Arial" w:hAnsi="Arial" w:cs="Arial"/>
      <w:color w:val="000000"/>
      <w:sz w:val="22"/>
      <w:szCs w:val="32"/>
      <w:lang w:val="en-GB" w:eastAsia="en-GB"/>
    </w:rPr>
  </w:style>
  <w:style w:type="character" w:customStyle="1" w:styleId="Heading1Char">
    <w:name w:val="Heading 1 Char"/>
    <w:basedOn w:val="DefaultParagraphFont"/>
    <w:link w:val="Heading1"/>
    <w:uiPriority w:val="9"/>
    <w:rsid w:val="00A86DE3"/>
    <w:rPr>
      <w:rFonts w:asciiTheme="majorHAnsi" w:eastAsiaTheme="majorEastAsia" w:hAnsiTheme="majorHAnsi" w:cstheme="majorBidi"/>
      <w:color w:val="365F91" w:themeColor="accent1" w:themeShade="BF"/>
      <w:sz w:val="32"/>
      <w:szCs w:val="32"/>
    </w:rPr>
  </w:style>
  <w:style w:type="paragraph" w:styleId="TOC4">
    <w:name w:val="toc 4"/>
    <w:basedOn w:val="Normal"/>
    <w:next w:val="Normal"/>
    <w:autoRedefine/>
    <w:uiPriority w:val="39"/>
    <w:unhideWhenUsed/>
    <w:rsid w:val="0027687C"/>
    <w:pPr>
      <w:widowControl/>
      <w:spacing w:after="100" w:line="259" w:lineRule="auto"/>
      <w:ind w:left="660"/>
    </w:pPr>
    <w:rPr>
      <w:rFonts w:asciiTheme="minorHAnsi" w:eastAsiaTheme="minorEastAsia" w:hAnsiTheme="minorHAnsi" w:cstheme="minorBidi"/>
      <w:color w:val="auto"/>
      <w:szCs w:val="22"/>
      <w:lang w:eastAsia="en-GB" w:bidi="ar-SA"/>
    </w:rPr>
  </w:style>
  <w:style w:type="paragraph" w:styleId="TOC5">
    <w:name w:val="toc 5"/>
    <w:basedOn w:val="Normal"/>
    <w:next w:val="Normal"/>
    <w:autoRedefine/>
    <w:uiPriority w:val="39"/>
    <w:unhideWhenUsed/>
    <w:rsid w:val="0027687C"/>
    <w:pPr>
      <w:widowControl/>
      <w:spacing w:after="100" w:line="259" w:lineRule="auto"/>
      <w:ind w:left="880"/>
    </w:pPr>
    <w:rPr>
      <w:rFonts w:asciiTheme="minorHAnsi" w:eastAsiaTheme="minorEastAsia" w:hAnsiTheme="minorHAnsi" w:cstheme="minorBidi"/>
      <w:color w:val="auto"/>
      <w:szCs w:val="22"/>
      <w:lang w:eastAsia="en-GB" w:bidi="ar-SA"/>
    </w:rPr>
  </w:style>
  <w:style w:type="paragraph" w:styleId="TOC6">
    <w:name w:val="toc 6"/>
    <w:basedOn w:val="Normal"/>
    <w:next w:val="Normal"/>
    <w:autoRedefine/>
    <w:uiPriority w:val="39"/>
    <w:unhideWhenUsed/>
    <w:rsid w:val="0027687C"/>
    <w:pPr>
      <w:widowControl/>
      <w:spacing w:after="100" w:line="259" w:lineRule="auto"/>
      <w:ind w:left="1100"/>
    </w:pPr>
    <w:rPr>
      <w:rFonts w:asciiTheme="minorHAnsi" w:eastAsiaTheme="minorEastAsia" w:hAnsiTheme="minorHAnsi" w:cstheme="minorBidi"/>
      <w:color w:val="auto"/>
      <w:szCs w:val="22"/>
      <w:lang w:eastAsia="en-GB" w:bidi="ar-SA"/>
    </w:rPr>
  </w:style>
  <w:style w:type="paragraph" w:styleId="TOC7">
    <w:name w:val="toc 7"/>
    <w:basedOn w:val="Normal"/>
    <w:next w:val="Normal"/>
    <w:autoRedefine/>
    <w:uiPriority w:val="39"/>
    <w:unhideWhenUsed/>
    <w:rsid w:val="0027687C"/>
    <w:pPr>
      <w:widowControl/>
      <w:spacing w:after="100" w:line="259" w:lineRule="auto"/>
      <w:ind w:left="1320"/>
    </w:pPr>
    <w:rPr>
      <w:rFonts w:asciiTheme="minorHAnsi" w:eastAsiaTheme="minorEastAsia" w:hAnsiTheme="minorHAnsi" w:cstheme="minorBidi"/>
      <w:color w:val="auto"/>
      <w:szCs w:val="22"/>
      <w:lang w:eastAsia="en-GB" w:bidi="ar-SA"/>
    </w:rPr>
  </w:style>
  <w:style w:type="paragraph" w:styleId="TOC9">
    <w:name w:val="toc 9"/>
    <w:basedOn w:val="Normal"/>
    <w:next w:val="Normal"/>
    <w:autoRedefine/>
    <w:uiPriority w:val="39"/>
    <w:unhideWhenUsed/>
    <w:rsid w:val="0027687C"/>
    <w:pPr>
      <w:widowControl/>
      <w:spacing w:after="100" w:line="259" w:lineRule="auto"/>
      <w:ind w:left="1760"/>
    </w:pPr>
    <w:rPr>
      <w:rFonts w:asciiTheme="minorHAnsi" w:eastAsiaTheme="minorEastAsia" w:hAnsiTheme="minorHAnsi" w:cstheme="minorBidi"/>
      <w:color w:val="auto"/>
      <w:szCs w:val="22"/>
      <w:lang w:eastAsia="en-GB" w:bidi="ar-SA"/>
    </w:rPr>
  </w:style>
  <w:style w:type="paragraph" w:customStyle="1" w:styleId="Text4">
    <w:name w:val="Text 4"/>
    <w:basedOn w:val="Normal"/>
    <w:rsid w:val="00F95C20"/>
    <w:pPr>
      <w:widowControl/>
      <w:spacing w:after="100" w:afterAutospacing="1" w:line="210" w:lineRule="atLeast"/>
      <w:ind w:left="2880"/>
      <w:jc w:val="both"/>
    </w:pPr>
    <w:rPr>
      <w:rFonts w:ascii="Source Sans Pro" w:hAnsi="Source Sans Pro" w:cs="Arial"/>
      <w:color w:val="515151"/>
      <w:sz w:val="20"/>
      <w:szCs w:val="20"/>
      <w:lang w:bidi="ar-SA"/>
    </w:rPr>
  </w:style>
  <w:style w:type="character" w:customStyle="1" w:styleId="Hyperlink0">
    <w:name w:val="Hyperlink.0"/>
    <w:basedOn w:val="None"/>
    <w:rsid w:val="00F95C20"/>
  </w:style>
  <w:style w:type="character" w:styleId="Emphasis">
    <w:name w:val="Emphasis"/>
    <w:basedOn w:val="DefaultParagraphFont"/>
    <w:uiPriority w:val="20"/>
    <w:qFormat/>
    <w:rsid w:val="00EA3158"/>
    <w:rPr>
      <w:i/>
      <w:iCs/>
    </w:rPr>
  </w:style>
  <w:style w:type="paragraph" w:customStyle="1" w:styleId="xmsonormal">
    <w:name w:val="x_msonormal"/>
    <w:basedOn w:val="Normal"/>
    <w:rsid w:val="00EA3158"/>
    <w:pPr>
      <w:widowControl/>
    </w:pPr>
    <w:rPr>
      <w:rFonts w:ascii="Calibri" w:eastAsiaTheme="minorHAnsi" w:hAnsi="Calibri" w:cs="Calibri"/>
      <w:color w:val="auto"/>
      <w:szCs w:val="22"/>
      <w:lang w:bidi="ar-SA"/>
    </w:rPr>
  </w:style>
  <w:style w:type="character" w:customStyle="1" w:styleId="Heading310">
    <w:name w:val="Heading 31"/>
    <w:basedOn w:val="DefaultParagraphFont"/>
    <w:rsid w:val="00EA3158"/>
    <w:rPr>
      <w:rFonts w:ascii="Arial" w:eastAsia="Arial" w:hAnsi="Arial" w:cs="Arial"/>
      <w:b/>
      <w:bCs/>
      <w:i w:val="0"/>
      <w:iCs w:val="0"/>
      <w:smallCaps w:val="0"/>
      <w:strike w:val="0"/>
      <w:sz w:val="20"/>
      <w:szCs w:val="20"/>
      <w:u w:val="none"/>
    </w:rPr>
  </w:style>
  <w:style w:type="paragraph" w:styleId="PlainText">
    <w:name w:val="Plain Text"/>
    <w:basedOn w:val="Normal"/>
    <w:link w:val="PlainTextChar"/>
    <w:uiPriority w:val="99"/>
    <w:semiHidden/>
    <w:unhideWhenUsed/>
    <w:rsid w:val="002C6A99"/>
    <w:pPr>
      <w:widowControl/>
    </w:pPr>
    <w:rPr>
      <w:rFonts w:ascii="Calibri" w:eastAsiaTheme="minorHAnsi" w:hAnsi="Calibri" w:cstheme="minorBidi"/>
      <w:color w:val="auto"/>
      <w:szCs w:val="21"/>
      <w:lang w:bidi="ar-SA"/>
    </w:rPr>
  </w:style>
  <w:style w:type="character" w:customStyle="1" w:styleId="PlainTextChar">
    <w:name w:val="Plain Text Char"/>
    <w:basedOn w:val="DefaultParagraphFont"/>
    <w:link w:val="PlainText"/>
    <w:uiPriority w:val="99"/>
    <w:semiHidden/>
    <w:rsid w:val="002C6A99"/>
    <w:rPr>
      <w:rFonts w:ascii="Calibri" w:eastAsiaTheme="minorHAnsi" w:hAnsi="Calibri" w:cstheme="minorBidi"/>
      <w:sz w:val="22"/>
      <w:szCs w:val="21"/>
      <w:lang w:val="en-GB" w:bidi="ar-SA"/>
    </w:rPr>
  </w:style>
  <w:style w:type="paragraph" w:styleId="HTMLPreformatted">
    <w:name w:val="HTML Preformatted"/>
    <w:basedOn w:val="Normal"/>
    <w:link w:val="HTMLPreformattedChar"/>
    <w:uiPriority w:val="99"/>
    <w:semiHidden/>
    <w:unhideWhenUsed/>
    <w:rsid w:val="00BF00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eastAsia="en-GB" w:bidi="ar-SA"/>
    </w:rPr>
  </w:style>
  <w:style w:type="character" w:customStyle="1" w:styleId="HTMLPreformattedChar">
    <w:name w:val="HTML Preformatted Char"/>
    <w:basedOn w:val="DefaultParagraphFont"/>
    <w:link w:val="HTMLPreformatted"/>
    <w:uiPriority w:val="99"/>
    <w:semiHidden/>
    <w:rsid w:val="00BF0053"/>
    <w:rPr>
      <w:rFonts w:ascii="Courier New" w:hAnsi="Courier New" w:cs="Courier New"/>
      <w:sz w:val="20"/>
      <w:szCs w:val="20"/>
      <w:lang w:val="en-GB" w:eastAsia="en-GB" w:bidi="ar-SA"/>
    </w:rPr>
  </w:style>
  <w:style w:type="character" w:customStyle="1" w:styleId="y2iqfc">
    <w:name w:val="y2iqfc"/>
    <w:basedOn w:val="DefaultParagraphFont"/>
    <w:rsid w:val="00BF0053"/>
  </w:style>
  <w:style w:type="paragraph" w:customStyle="1" w:styleId="Point1">
    <w:name w:val="Point 1"/>
    <w:basedOn w:val="Normal"/>
    <w:rsid w:val="00BF0053"/>
    <w:pPr>
      <w:widowControl/>
      <w:spacing w:before="120" w:after="120" w:line="360" w:lineRule="auto"/>
      <w:ind w:left="1417" w:hanging="567"/>
    </w:pPr>
    <w:rPr>
      <w:rFonts w:ascii="Times New Roman" w:eastAsiaTheme="minorHAnsi" w:hAnsi="Times New Roman"/>
      <w:color w:val="auto"/>
      <w:sz w:val="24"/>
      <w:szCs w:val="22"/>
      <w:lang w:bidi="ar-SA"/>
    </w:rPr>
  </w:style>
  <w:style w:type="paragraph" w:customStyle="1" w:styleId="Point0">
    <w:name w:val="Point 0"/>
    <w:basedOn w:val="Normal"/>
    <w:rsid w:val="00BF0053"/>
    <w:pPr>
      <w:widowControl/>
      <w:spacing w:before="120" w:after="120" w:line="360" w:lineRule="auto"/>
      <w:ind w:left="850" w:hanging="850"/>
    </w:pPr>
    <w:rPr>
      <w:rFonts w:ascii="Times New Roman" w:eastAsiaTheme="minorHAnsi" w:hAnsi="Times New Roman"/>
      <w:color w:val="auto"/>
      <w:sz w:val="24"/>
      <w:szCs w:val="22"/>
      <w:lang w:bidi="ar-SA"/>
    </w:rPr>
  </w:style>
  <w:style w:type="character" w:customStyle="1" w:styleId="UnresolvedMention1">
    <w:name w:val="Unresolved Mention1"/>
    <w:basedOn w:val="DefaultParagraphFont"/>
    <w:uiPriority w:val="99"/>
    <w:semiHidden/>
    <w:unhideWhenUsed/>
    <w:rsid w:val="00467AE0"/>
    <w:rPr>
      <w:color w:val="605E5C"/>
      <w:shd w:val="clear" w:color="auto" w:fill="E1DFDD"/>
    </w:rPr>
  </w:style>
  <w:style w:type="character" w:customStyle="1" w:styleId="UnresolvedMention2">
    <w:name w:val="Unresolved Mention2"/>
    <w:basedOn w:val="DefaultParagraphFont"/>
    <w:uiPriority w:val="99"/>
    <w:semiHidden/>
    <w:unhideWhenUsed/>
    <w:rsid w:val="00BE5355"/>
    <w:rPr>
      <w:color w:val="605E5C"/>
      <w:shd w:val="clear" w:color="auto" w:fill="E1DFDD"/>
    </w:rPr>
  </w:style>
  <w:style w:type="character" w:customStyle="1" w:styleId="UnresolvedMention3">
    <w:name w:val="Unresolved Mention3"/>
    <w:basedOn w:val="DefaultParagraphFont"/>
    <w:uiPriority w:val="99"/>
    <w:semiHidden/>
    <w:unhideWhenUsed/>
    <w:rsid w:val="00331EBC"/>
    <w:rPr>
      <w:color w:val="605E5C"/>
      <w:shd w:val="clear" w:color="auto" w:fill="E1DFDD"/>
    </w:rPr>
  </w:style>
  <w:style w:type="character" w:customStyle="1" w:styleId="UnresolvedMention4">
    <w:name w:val="Unresolved Mention4"/>
    <w:basedOn w:val="DefaultParagraphFont"/>
    <w:uiPriority w:val="99"/>
    <w:semiHidden/>
    <w:unhideWhenUsed/>
    <w:rsid w:val="00B1686C"/>
    <w:rPr>
      <w:color w:val="605E5C"/>
      <w:shd w:val="clear" w:color="auto" w:fill="E1DFDD"/>
    </w:rPr>
  </w:style>
  <w:style w:type="paragraph" w:styleId="TableofFigures">
    <w:name w:val="table of figures"/>
    <w:basedOn w:val="Normal"/>
    <w:next w:val="Normal"/>
    <w:uiPriority w:val="99"/>
    <w:unhideWhenUsed/>
    <w:rsid w:val="009B3667"/>
  </w:style>
  <w:style w:type="character" w:customStyle="1" w:styleId="Heading3Char">
    <w:name w:val="Heading 3 Char"/>
    <w:basedOn w:val="DefaultParagraphFont"/>
    <w:link w:val="Heading3"/>
    <w:uiPriority w:val="9"/>
    <w:semiHidden/>
    <w:rsid w:val="0077547E"/>
    <w:rPr>
      <w:rFonts w:asciiTheme="majorHAnsi" w:eastAsiaTheme="majorEastAsia" w:hAnsiTheme="majorHAnsi" w:cstheme="majorBidi"/>
      <w:color w:val="243F60" w:themeColor="accent1" w:themeShade="7F"/>
      <w:lang w:val="en-GB"/>
    </w:rPr>
  </w:style>
  <w:style w:type="paragraph" w:customStyle="1" w:styleId="Bodytext-AWP">
    <w:name w:val="Body text - AWP"/>
    <w:basedOn w:val="Normal"/>
    <w:link w:val="Bodytext-AWPChar"/>
    <w:qFormat/>
    <w:rsid w:val="005E2140"/>
    <w:pPr>
      <w:spacing w:after="120" w:line="276" w:lineRule="auto"/>
      <w:jc w:val="both"/>
    </w:pPr>
    <w:rPr>
      <w:rFonts w:eastAsia="Arial" w:cs="Arial"/>
      <w:szCs w:val="32"/>
      <w:lang w:eastAsia="en-GB"/>
    </w:rPr>
  </w:style>
  <w:style w:type="character" w:customStyle="1" w:styleId="Bodytext-AWPChar">
    <w:name w:val="Body text - AWP Char"/>
    <w:basedOn w:val="DefaultParagraphFont"/>
    <w:link w:val="Bodytext-AWP"/>
    <w:rsid w:val="005E2140"/>
    <w:rPr>
      <w:rFonts w:ascii="Arial" w:eastAsia="Arial" w:hAnsi="Arial" w:cs="Arial"/>
      <w:color w:val="000000"/>
      <w:sz w:val="22"/>
      <w:szCs w:val="32"/>
      <w:lang w:val="en-GB" w:eastAsia="en-GB"/>
    </w:rPr>
  </w:style>
  <w:style w:type="paragraph" w:customStyle="1" w:styleId="Heading1-AWP">
    <w:name w:val="Heading 1 - AWP"/>
    <w:basedOn w:val="Normal"/>
    <w:qFormat/>
    <w:rsid w:val="005E2140"/>
    <w:pPr>
      <w:keepNext/>
      <w:widowControl/>
      <w:numPr>
        <w:numId w:val="78"/>
      </w:numPr>
      <w:spacing w:before="240" w:after="60" w:line="276" w:lineRule="auto"/>
      <w:outlineLvl w:val="0"/>
    </w:pPr>
    <w:rPr>
      <w:rFonts w:ascii="Cambria" w:hAnsi="Cambria"/>
      <w:b/>
      <w:bCs/>
      <w:color w:val="auto"/>
      <w:kern w:val="32"/>
      <w:sz w:val="32"/>
      <w:szCs w:val="32"/>
      <w:lang w:bidi="ar-SA"/>
    </w:rPr>
  </w:style>
  <w:style w:type="paragraph" w:customStyle="1" w:styleId="Heading2-AWP">
    <w:name w:val="Heading 2 - AWP"/>
    <w:basedOn w:val="Normal"/>
    <w:qFormat/>
    <w:rsid w:val="005E2140"/>
    <w:pPr>
      <w:keepNext/>
      <w:widowControl/>
      <w:numPr>
        <w:ilvl w:val="1"/>
        <w:numId w:val="78"/>
      </w:numPr>
      <w:spacing w:before="240" w:after="60" w:line="276" w:lineRule="auto"/>
      <w:outlineLvl w:val="0"/>
    </w:pPr>
    <w:rPr>
      <w:rFonts w:cs="Arial"/>
      <w:b/>
      <w:bCs/>
      <w:color w:val="auto"/>
      <w:kern w:val="32"/>
      <w:sz w:val="28"/>
      <w:szCs w:val="28"/>
      <w:lang w:bidi="ar-SA"/>
    </w:rPr>
  </w:style>
  <w:style w:type="paragraph" w:customStyle="1" w:styleId="Heading3-AWP">
    <w:name w:val="Heading 3 - AWP"/>
    <w:basedOn w:val="Heading2-AWP"/>
    <w:link w:val="Heading3-AWPChar"/>
    <w:qFormat/>
    <w:rsid w:val="005E2140"/>
    <w:pPr>
      <w:numPr>
        <w:ilvl w:val="2"/>
      </w:numPr>
    </w:pPr>
    <w:rPr>
      <w:sz w:val="24"/>
    </w:rPr>
  </w:style>
  <w:style w:type="paragraph" w:customStyle="1" w:styleId="Heading4-AWP">
    <w:name w:val="Heading 4 - AWP"/>
    <w:basedOn w:val="Heading4"/>
    <w:qFormat/>
    <w:rsid w:val="005E2140"/>
    <w:pPr>
      <w:widowControl/>
      <w:numPr>
        <w:ilvl w:val="3"/>
        <w:numId w:val="78"/>
      </w:numPr>
      <w:spacing w:before="120" w:after="120" w:line="276" w:lineRule="auto"/>
      <w:ind w:left="862" w:hanging="862"/>
    </w:pPr>
    <w:rPr>
      <w:rFonts w:ascii="Arial" w:eastAsia="Times New Roman" w:hAnsi="Arial" w:cs="Arial"/>
      <w:bCs/>
      <w:color w:val="auto"/>
      <w:kern w:val="32"/>
      <w:sz w:val="24"/>
      <w:szCs w:val="28"/>
      <w:lang w:bidi="ar-SA"/>
    </w:rPr>
  </w:style>
  <w:style w:type="character" w:customStyle="1" w:styleId="Heading3-AWPChar">
    <w:name w:val="Heading 3 - AWP Char"/>
    <w:basedOn w:val="DefaultParagraphFont"/>
    <w:link w:val="Heading3-AWP"/>
    <w:rsid w:val="005E2140"/>
    <w:rPr>
      <w:rFonts w:ascii="Arial" w:hAnsi="Arial" w:cs="Arial"/>
      <w:b/>
      <w:bCs/>
      <w:kern w:val="32"/>
      <w:szCs w:val="28"/>
      <w:lang w:val="en-GB" w:bidi="ar-SA"/>
    </w:rPr>
  </w:style>
  <w:style w:type="paragraph" w:customStyle="1" w:styleId="Heading6-AWP">
    <w:name w:val="Heading 6 - AWP"/>
    <w:basedOn w:val="Normal"/>
    <w:link w:val="Heading6-AWPChar"/>
    <w:qFormat/>
    <w:rsid w:val="005E2140"/>
    <w:pPr>
      <w:keepNext/>
      <w:keepLines/>
      <w:widowControl/>
      <w:spacing w:before="120" w:after="120" w:line="276" w:lineRule="auto"/>
      <w:outlineLvl w:val="4"/>
    </w:pPr>
    <w:rPr>
      <w:rFonts w:eastAsiaTheme="majorEastAsia" w:cstheme="majorBidi"/>
      <w:i/>
      <w:color w:val="auto"/>
      <w:szCs w:val="22"/>
      <w:lang w:bidi="ar-SA"/>
    </w:rPr>
  </w:style>
  <w:style w:type="paragraph" w:customStyle="1" w:styleId="Bodytext-Bullets">
    <w:name w:val="Body text - Bullets"/>
    <w:basedOn w:val="Bodytext-AWP"/>
    <w:link w:val="Bodytext-BulletsChar"/>
    <w:qFormat/>
    <w:rsid w:val="005E2140"/>
    <w:pPr>
      <w:numPr>
        <w:numId w:val="79"/>
      </w:numPr>
    </w:pPr>
  </w:style>
  <w:style w:type="character" w:customStyle="1" w:styleId="Heading6-AWPChar">
    <w:name w:val="Heading 6 - AWP Char"/>
    <w:basedOn w:val="DefaultParagraphFont"/>
    <w:link w:val="Heading6-AWP"/>
    <w:rsid w:val="005E2140"/>
    <w:rPr>
      <w:rFonts w:ascii="Arial" w:eastAsiaTheme="majorEastAsia" w:hAnsi="Arial" w:cstheme="majorBidi"/>
      <w:i/>
      <w:sz w:val="22"/>
      <w:szCs w:val="22"/>
      <w:lang w:val="en-GB" w:bidi="ar-SA"/>
    </w:rPr>
  </w:style>
  <w:style w:type="character" w:customStyle="1" w:styleId="Bodytext-BulletsChar">
    <w:name w:val="Body text - Bullets Char"/>
    <w:basedOn w:val="Bodytext-AWPChar"/>
    <w:link w:val="Bodytext-Bullets"/>
    <w:rsid w:val="005E2140"/>
    <w:rPr>
      <w:rFonts w:ascii="Arial" w:eastAsia="Arial" w:hAnsi="Arial" w:cs="Arial"/>
      <w:color w:val="000000"/>
      <w:sz w:val="22"/>
      <w:szCs w:val="32"/>
      <w:lang w:val="en-GB" w:eastAsia="en-GB"/>
    </w:rPr>
  </w:style>
  <w:style w:type="character" w:customStyle="1" w:styleId="Heading4Char">
    <w:name w:val="Heading 4 Char"/>
    <w:basedOn w:val="DefaultParagraphFont"/>
    <w:link w:val="Heading4"/>
    <w:uiPriority w:val="9"/>
    <w:semiHidden/>
    <w:rsid w:val="005E2140"/>
    <w:rPr>
      <w:rFonts w:asciiTheme="majorHAnsi" w:eastAsiaTheme="majorEastAsia" w:hAnsiTheme="majorHAnsi" w:cstheme="majorBidi"/>
      <w:i/>
      <w:iCs/>
      <w:color w:val="365F91" w:themeColor="accent1" w:themeShade="BF"/>
      <w:sz w:val="22"/>
      <w:lang w:val="en-GB"/>
    </w:rPr>
  </w:style>
  <w:style w:type="character" w:customStyle="1" w:styleId="UnresolvedMention">
    <w:name w:val="Unresolved Mention"/>
    <w:basedOn w:val="DefaultParagraphFont"/>
    <w:uiPriority w:val="99"/>
    <w:semiHidden/>
    <w:unhideWhenUsed/>
    <w:rsid w:val="00785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874">
      <w:bodyDiv w:val="1"/>
      <w:marLeft w:val="0"/>
      <w:marRight w:val="0"/>
      <w:marTop w:val="0"/>
      <w:marBottom w:val="0"/>
      <w:divBdr>
        <w:top w:val="none" w:sz="0" w:space="0" w:color="auto"/>
        <w:left w:val="none" w:sz="0" w:space="0" w:color="auto"/>
        <w:bottom w:val="none" w:sz="0" w:space="0" w:color="auto"/>
        <w:right w:val="none" w:sz="0" w:space="0" w:color="auto"/>
      </w:divBdr>
    </w:div>
    <w:div w:id="20938193">
      <w:bodyDiv w:val="1"/>
      <w:marLeft w:val="0"/>
      <w:marRight w:val="0"/>
      <w:marTop w:val="0"/>
      <w:marBottom w:val="0"/>
      <w:divBdr>
        <w:top w:val="none" w:sz="0" w:space="0" w:color="auto"/>
        <w:left w:val="none" w:sz="0" w:space="0" w:color="auto"/>
        <w:bottom w:val="none" w:sz="0" w:space="0" w:color="auto"/>
        <w:right w:val="none" w:sz="0" w:space="0" w:color="auto"/>
      </w:divBdr>
    </w:div>
    <w:div w:id="25063867">
      <w:bodyDiv w:val="1"/>
      <w:marLeft w:val="0"/>
      <w:marRight w:val="0"/>
      <w:marTop w:val="0"/>
      <w:marBottom w:val="0"/>
      <w:divBdr>
        <w:top w:val="none" w:sz="0" w:space="0" w:color="auto"/>
        <w:left w:val="none" w:sz="0" w:space="0" w:color="auto"/>
        <w:bottom w:val="none" w:sz="0" w:space="0" w:color="auto"/>
        <w:right w:val="none" w:sz="0" w:space="0" w:color="auto"/>
      </w:divBdr>
    </w:div>
    <w:div w:id="47148165">
      <w:bodyDiv w:val="1"/>
      <w:marLeft w:val="0"/>
      <w:marRight w:val="0"/>
      <w:marTop w:val="0"/>
      <w:marBottom w:val="0"/>
      <w:divBdr>
        <w:top w:val="none" w:sz="0" w:space="0" w:color="auto"/>
        <w:left w:val="none" w:sz="0" w:space="0" w:color="auto"/>
        <w:bottom w:val="none" w:sz="0" w:space="0" w:color="auto"/>
        <w:right w:val="none" w:sz="0" w:space="0" w:color="auto"/>
      </w:divBdr>
    </w:div>
    <w:div w:id="56440311">
      <w:bodyDiv w:val="1"/>
      <w:marLeft w:val="0"/>
      <w:marRight w:val="0"/>
      <w:marTop w:val="0"/>
      <w:marBottom w:val="0"/>
      <w:divBdr>
        <w:top w:val="none" w:sz="0" w:space="0" w:color="auto"/>
        <w:left w:val="none" w:sz="0" w:space="0" w:color="auto"/>
        <w:bottom w:val="none" w:sz="0" w:space="0" w:color="auto"/>
        <w:right w:val="none" w:sz="0" w:space="0" w:color="auto"/>
      </w:divBdr>
    </w:div>
    <w:div w:id="112137926">
      <w:bodyDiv w:val="1"/>
      <w:marLeft w:val="0"/>
      <w:marRight w:val="0"/>
      <w:marTop w:val="0"/>
      <w:marBottom w:val="0"/>
      <w:divBdr>
        <w:top w:val="none" w:sz="0" w:space="0" w:color="auto"/>
        <w:left w:val="none" w:sz="0" w:space="0" w:color="auto"/>
        <w:bottom w:val="none" w:sz="0" w:space="0" w:color="auto"/>
        <w:right w:val="none" w:sz="0" w:space="0" w:color="auto"/>
      </w:divBdr>
    </w:div>
    <w:div w:id="138691214">
      <w:bodyDiv w:val="1"/>
      <w:marLeft w:val="0"/>
      <w:marRight w:val="0"/>
      <w:marTop w:val="0"/>
      <w:marBottom w:val="0"/>
      <w:divBdr>
        <w:top w:val="none" w:sz="0" w:space="0" w:color="auto"/>
        <w:left w:val="none" w:sz="0" w:space="0" w:color="auto"/>
        <w:bottom w:val="none" w:sz="0" w:space="0" w:color="auto"/>
        <w:right w:val="none" w:sz="0" w:space="0" w:color="auto"/>
      </w:divBdr>
    </w:div>
    <w:div w:id="147019556">
      <w:bodyDiv w:val="1"/>
      <w:marLeft w:val="0"/>
      <w:marRight w:val="0"/>
      <w:marTop w:val="0"/>
      <w:marBottom w:val="0"/>
      <w:divBdr>
        <w:top w:val="none" w:sz="0" w:space="0" w:color="auto"/>
        <w:left w:val="none" w:sz="0" w:space="0" w:color="auto"/>
        <w:bottom w:val="none" w:sz="0" w:space="0" w:color="auto"/>
        <w:right w:val="none" w:sz="0" w:space="0" w:color="auto"/>
      </w:divBdr>
    </w:div>
    <w:div w:id="172456597">
      <w:bodyDiv w:val="1"/>
      <w:marLeft w:val="0"/>
      <w:marRight w:val="0"/>
      <w:marTop w:val="0"/>
      <w:marBottom w:val="0"/>
      <w:divBdr>
        <w:top w:val="none" w:sz="0" w:space="0" w:color="auto"/>
        <w:left w:val="none" w:sz="0" w:space="0" w:color="auto"/>
        <w:bottom w:val="none" w:sz="0" w:space="0" w:color="auto"/>
        <w:right w:val="none" w:sz="0" w:space="0" w:color="auto"/>
      </w:divBdr>
    </w:div>
    <w:div w:id="185367671">
      <w:bodyDiv w:val="1"/>
      <w:marLeft w:val="0"/>
      <w:marRight w:val="0"/>
      <w:marTop w:val="0"/>
      <w:marBottom w:val="0"/>
      <w:divBdr>
        <w:top w:val="none" w:sz="0" w:space="0" w:color="auto"/>
        <w:left w:val="none" w:sz="0" w:space="0" w:color="auto"/>
        <w:bottom w:val="none" w:sz="0" w:space="0" w:color="auto"/>
        <w:right w:val="none" w:sz="0" w:space="0" w:color="auto"/>
      </w:divBdr>
    </w:div>
    <w:div w:id="197352601">
      <w:bodyDiv w:val="1"/>
      <w:marLeft w:val="0"/>
      <w:marRight w:val="0"/>
      <w:marTop w:val="0"/>
      <w:marBottom w:val="0"/>
      <w:divBdr>
        <w:top w:val="none" w:sz="0" w:space="0" w:color="auto"/>
        <w:left w:val="none" w:sz="0" w:space="0" w:color="auto"/>
        <w:bottom w:val="none" w:sz="0" w:space="0" w:color="auto"/>
        <w:right w:val="none" w:sz="0" w:space="0" w:color="auto"/>
      </w:divBdr>
    </w:div>
    <w:div w:id="255796030">
      <w:bodyDiv w:val="1"/>
      <w:marLeft w:val="0"/>
      <w:marRight w:val="0"/>
      <w:marTop w:val="0"/>
      <w:marBottom w:val="0"/>
      <w:divBdr>
        <w:top w:val="none" w:sz="0" w:space="0" w:color="auto"/>
        <w:left w:val="none" w:sz="0" w:space="0" w:color="auto"/>
        <w:bottom w:val="none" w:sz="0" w:space="0" w:color="auto"/>
        <w:right w:val="none" w:sz="0" w:space="0" w:color="auto"/>
      </w:divBdr>
    </w:div>
    <w:div w:id="277680566">
      <w:bodyDiv w:val="1"/>
      <w:marLeft w:val="0"/>
      <w:marRight w:val="0"/>
      <w:marTop w:val="0"/>
      <w:marBottom w:val="0"/>
      <w:divBdr>
        <w:top w:val="none" w:sz="0" w:space="0" w:color="auto"/>
        <w:left w:val="none" w:sz="0" w:space="0" w:color="auto"/>
        <w:bottom w:val="none" w:sz="0" w:space="0" w:color="auto"/>
        <w:right w:val="none" w:sz="0" w:space="0" w:color="auto"/>
      </w:divBdr>
    </w:div>
    <w:div w:id="330641022">
      <w:bodyDiv w:val="1"/>
      <w:marLeft w:val="0"/>
      <w:marRight w:val="0"/>
      <w:marTop w:val="0"/>
      <w:marBottom w:val="0"/>
      <w:divBdr>
        <w:top w:val="none" w:sz="0" w:space="0" w:color="auto"/>
        <w:left w:val="none" w:sz="0" w:space="0" w:color="auto"/>
        <w:bottom w:val="none" w:sz="0" w:space="0" w:color="auto"/>
        <w:right w:val="none" w:sz="0" w:space="0" w:color="auto"/>
      </w:divBdr>
    </w:div>
    <w:div w:id="339741978">
      <w:bodyDiv w:val="1"/>
      <w:marLeft w:val="0"/>
      <w:marRight w:val="0"/>
      <w:marTop w:val="0"/>
      <w:marBottom w:val="0"/>
      <w:divBdr>
        <w:top w:val="none" w:sz="0" w:space="0" w:color="auto"/>
        <w:left w:val="none" w:sz="0" w:space="0" w:color="auto"/>
        <w:bottom w:val="none" w:sz="0" w:space="0" w:color="auto"/>
        <w:right w:val="none" w:sz="0" w:space="0" w:color="auto"/>
      </w:divBdr>
    </w:div>
    <w:div w:id="344599126">
      <w:bodyDiv w:val="1"/>
      <w:marLeft w:val="0"/>
      <w:marRight w:val="0"/>
      <w:marTop w:val="0"/>
      <w:marBottom w:val="0"/>
      <w:divBdr>
        <w:top w:val="none" w:sz="0" w:space="0" w:color="auto"/>
        <w:left w:val="none" w:sz="0" w:space="0" w:color="auto"/>
        <w:bottom w:val="none" w:sz="0" w:space="0" w:color="auto"/>
        <w:right w:val="none" w:sz="0" w:space="0" w:color="auto"/>
      </w:divBdr>
    </w:div>
    <w:div w:id="368070072">
      <w:bodyDiv w:val="1"/>
      <w:marLeft w:val="0"/>
      <w:marRight w:val="0"/>
      <w:marTop w:val="0"/>
      <w:marBottom w:val="0"/>
      <w:divBdr>
        <w:top w:val="none" w:sz="0" w:space="0" w:color="auto"/>
        <w:left w:val="none" w:sz="0" w:space="0" w:color="auto"/>
        <w:bottom w:val="none" w:sz="0" w:space="0" w:color="auto"/>
        <w:right w:val="none" w:sz="0" w:space="0" w:color="auto"/>
      </w:divBdr>
    </w:div>
    <w:div w:id="417138517">
      <w:bodyDiv w:val="1"/>
      <w:marLeft w:val="0"/>
      <w:marRight w:val="0"/>
      <w:marTop w:val="0"/>
      <w:marBottom w:val="0"/>
      <w:divBdr>
        <w:top w:val="none" w:sz="0" w:space="0" w:color="auto"/>
        <w:left w:val="none" w:sz="0" w:space="0" w:color="auto"/>
        <w:bottom w:val="none" w:sz="0" w:space="0" w:color="auto"/>
        <w:right w:val="none" w:sz="0" w:space="0" w:color="auto"/>
      </w:divBdr>
    </w:div>
    <w:div w:id="421413684">
      <w:bodyDiv w:val="1"/>
      <w:marLeft w:val="0"/>
      <w:marRight w:val="0"/>
      <w:marTop w:val="0"/>
      <w:marBottom w:val="0"/>
      <w:divBdr>
        <w:top w:val="none" w:sz="0" w:space="0" w:color="auto"/>
        <w:left w:val="none" w:sz="0" w:space="0" w:color="auto"/>
        <w:bottom w:val="none" w:sz="0" w:space="0" w:color="auto"/>
        <w:right w:val="none" w:sz="0" w:space="0" w:color="auto"/>
      </w:divBdr>
    </w:div>
    <w:div w:id="526482864">
      <w:bodyDiv w:val="1"/>
      <w:marLeft w:val="0"/>
      <w:marRight w:val="0"/>
      <w:marTop w:val="0"/>
      <w:marBottom w:val="0"/>
      <w:divBdr>
        <w:top w:val="none" w:sz="0" w:space="0" w:color="auto"/>
        <w:left w:val="none" w:sz="0" w:space="0" w:color="auto"/>
        <w:bottom w:val="none" w:sz="0" w:space="0" w:color="auto"/>
        <w:right w:val="none" w:sz="0" w:space="0" w:color="auto"/>
      </w:divBdr>
    </w:div>
    <w:div w:id="577056484">
      <w:bodyDiv w:val="1"/>
      <w:marLeft w:val="0"/>
      <w:marRight w:val="0"/>
      <w:marTop w:val="0"/>
      <w:marBottom w:val="0"/>
      <w:divBdr>
        <w:top w:val="none" w:sz="0" w:space="0" w:color="auto"/>
        <w:left w:val="none" w:sz="0" w:space="0" w:color="auto"/>
        <w:bottom w:val="none" w:sz="0" w:space="0" w:color="auto"/>
        <w:right w:val="none" w:sz="0" w:space="0" w:color="auto"/>
      </w:divBdr>
      <w:divsChild>
        <w:div w:id="878202056">
          <w:marLeft w:val="0"/>
          <w:marRight w:val="0"/>
          <w:marTop w:val="0"/>
          <w:marBottom w:val="0"/>
          <w:divBdr>
            <w:top w:val="none" w:sz="0" w:space="0" w:color="auto"/>
            <w:left w:val="none" w:sz="0" w:space="0" w:color="auto"/>
            <w:bottom w:val="none" w:sz="0" w:space="0" w:color="auto"/>
            <w:right w:val="none" w:sz="0" w:space="0" w:color="auto"/>
          </w:divBdr>
        </w:div>
      </w:divsChild>
    </w:div>
    <w:div w:id="583489787">
      <w:bodyDiv w:val="1"/>
      <w:marLeft w:val="0"/>
      <w:marRight w:val="0"/>
      <w:marTop w:val="0"/>
      <w:marBottom w:val="0"/>
      <w:divBdr>
        <w:top w:val="none" w:sz="0" w:space="0" w:color="auto"/>
        <w:left w:val="none" w:sz="0" w:space="0" w:color="auto"/>
        <w:bottom w:val="none" w:sz="0" w:space="0" w:color="auto"/>
        <w:right w:val="none" w:sz="0" w:space="0" w:color="auto"/>
      </w:divBdr>
    </w:div>
    <w:div w:id="588125864">
      <w:bodyDiv w:val="1"/>
      <w:marLeft w:val="0"/>
      <w:marRight w:val="0"/>
      <w:marTop w:val="0"/>
      <w:marBottom w:val="0"/>
      <w:divBdr>
        <w:top w:val="none" w:sz="0" w:space="0" w:color="auto"/>
        <w:left w:val="none" w:sz="0" w:space="0" w:color="auto"/>
        <w:bottom w:val="none" w:sz="0" w:space="0" w:color="auto"/>
        <w:right w:val="none" w:sz="0" w:space="0" w:color="auto"/>
      </w:divBdr>
    </w:div>
    <w:div w:id="590506273">
      <w:bodyDiv w:val="1"/>
      <w:marLeft w:val="0"/>
      <w:marRight w:val="0"/>
      <w:marTop w:val="0"/>
      <w:marBottom w:val="0"/>
      <w:divBdr>
        <w:top w:val="none" w:sz="0" w:space="0" w:color="auto"/>
        <w:left w:val="none" w:sz="0" w:space="0" w:color="auto"/>
        <w:bottom w:val="none" w:sz="0" w:space="0" w:color="auto"/>
        <w:right w:val="none" w:sz="0" w:space="0" w:color="auto"/>
      </w:divBdr>
    </w:div>
    <w:div w:id="602035226">
      <w:bodyDiv w:val="1"/>
      <w:marLeft w:val="0"/>
      <w:marRight w:val="0"/>
      <w:marTop w:val="0"/>
      <w:marBottom w:val="0"/>
      <w:divBdr>
        <w:top w:val="none" w:sz="0" w:space="0" w:color="auto"/>
        <w:left w:val="none" w:sz="0" w:space="0" w:color="auto"/>
        <w:bottom w:val="none" w:sz="0" w:space="0" w:color="auto"/>
        <w:right w:val="none" w:sz="0" w:space="0" w:color="auto"/>
      </w:divBdr>
    </w:div>
    <w:div w:id="624165123">
      <w:bodyDiv w:val="1"/>
      <w:marLeft w:val="0"/>
      <w:marRight w:val="0"/>
      <w:marTop w:val="0"/>
      <w:marBottom w:val="0"/>
      <w:divBdr>
        <w:top w:val="none" w:sz="0" w:space="0" w:color="auto"/>
        <w:left w:val="none" w:sz="0" w:space="0" w:color="auto"/>
        <w:bottom w:val="none" w:sz="0" w:space="0" w:color="auto"/>
        <w:right w:val="none" w:sz="0" w:space="0" w:color="auto"/>
      </w:divBdr>
    </w:div>
    <w:div w:id="637534953">
      <w:bodyDiv w:val="1"/>
      <w:marLeft w:val="0"/>
      <w:marRight w:val="0"/>
      <w:marTop w:val="0"/>
      <w:marBottom w:val="0"/>
      <w:divBdr>
        <w:top w:val="none" w:sz="0" w:space="0" w:color="auto"/>
        <w:left w:val="none" w:sz="0" w:space="0" w:color="auto"/>
        <w:bottom w:val="none" w:sz="0" w:space="0" w:color="auto"/>
        <w:right w:val="none" w:sz="0" w:space="0" w:color="auto"/>
      </w:divBdr>
    </w:div>
    <w:div w:id="638532001">
      <w:bodyDiv w:val="1"/>
      <w:marLeft w:val="0"/>
      <w:marRight w:val="0"/>
      <w:marTop w:val="0"/>
      <w:marBottom w:val="0"/>
      <w:divBdr>
        <w:top w:val="none" w:sz="0" w:space="0" w:color="auto"/>
        <w:left w:val="none" w:sz="0" w:space="0" w:color="auto"/>
        <w:bottom w:val="none" w:sz="0" w:space="0" w:color="auto"/>
        <w:right w:val="none" w:sz="0" w:space="0" w:color="auto"/>
      </w:divBdr>
    </w:div>
    <w:div w:id="640841141">
      <w:bodyDiv w:val="1"/>
      <w:marLeft w:val="0"/>
      <w:marRight w:val="0"/>
      <w:marTop w:val="0"/>
      <w:marBottom w:val="0"/>
      <w:divBdr>
        <w:top w:val="none" w:sz="0" w:space="0" w:color="auto"/>
        <w:left w:val="none" w:sz="0" w:space="0" w:color="auto"/>
        <w:bottom w:val="none" w:sz="0" w:space="0" w:color="auto"/>
        <w:right w:val="none" w:sz="0" w:space="0" w:color="auto"/>
      </w:divBdr>
    </w:div>
    <w:div w:id="644823891">
      <w:bodyDiv w:val="1"/>
      <w:marLeft w:val="0"/>
      <w:marRight w:val="0"/>
      <w:marTop w:val="0"/>
      <w:marBottom w:val="0"/>
      <w:divBdr>
        <w:top w:val="none" w:sz="0" w:space="0" w:color="auto"/>
        <w:left w:val="none" w:sz="0" w:space="0" w:color="auto"/>
        <w:bottom w:val="none" w:sz="0" w:space="0" w:color="auto"/>
        <w:right w:val="none" w:sz="0" w:space="0" w:color="auto"/>
      </w:divBdr>
    </w:div>
    <w:div w:id="669603953">
      <w:bodyDiv w:val="1"/>
      <w:marLeft w:val="0"/>
      <w:marRight w:val="0"/>
      <w:marTop w:val="0"/>
      <w:marBottom w:val="0"/>
      <w:divBdr>
        <w:top w:val="none" w:sz="0" w:space="0" w:color="auto"/>
        <w:left w:val="none" w:sz="0" w:space="0" w:color="auto"/>
        <w:bottom w:val="none" w:sz="0" w:space="0" w:color="auto"/>
        <w:right w:val="none" w:sz="0" w:space="0" w:color="auto"/>
      </w:divBdr>
    </w:div>
    <w:div w:id="677082336">
      <w:bodyDiv w:val="1"/>
      <w:marLeft w:val="0"/>
      <w:marRight w:val="0"/>
      <w:marTop w:val="0"/>
      <w:marBottom w:val="0"/>
      <w:divBdr>
        <w:top w:val="none" w:sz="0" w:space="0" w:color="auto"/>
        <w:left w:val="none" w:sz="0" w:space="0" w:color="auto"/>
        <w:bottom w:val="none" w:sz="0" w:space="0" w:color="auto"/>
        <w:right w:val="none" w:sz="0" w:space="0" w:color="auto"/>
      </w:divBdr>
    </w:div>
    <w:div w:id="688676281">
      <w:bodyDiv w:val="1"/>
      <w:marLeft w:val="0"/>
      <w:marRight w:val="0"/>
      <w:marTop w:val="0"/>
      <w:marBottom w:val="0"/>
      <w:divBdr>
        <w:top w:val="none" w:sz="0" w:space="0" w:color="auto"/>
        <w:left w:val="none" w:sz="0" w:space="0" w:color="auto"/>
        <w:bottom w:val="none" w:sz="0" w:space="0" w:color="auto"/>
        <w:right w:val="none" w:sz="0" w:space="0" w:color="auto"/>
      </w:divBdr>
    </w:div>
    <w:div w:id="701443103">
      <w:bodyDiv w:val="1"/>
      <w:marLeft w:val="0"/>
      <w:marRight w:val="0"/>
      <w:marTop w:val="0"/>
      <w:marBottom w:val="0"/>
      <w:divBdr>
        <w:top w:val="none" w:sz="0" w:space="0" w:color="auto"/>
        <w:left w:val="none" w:sz="0" w:space="0" w:color="auto"/>
        <w:bottom w:val="none" w:sz="0" w:space="0" w:color="auto"/>
        <w:right w:val="none" w:sz="0" w:space="0" w:color="auto"/>
      </w:divBdr>
    </w:div>
    <w:div w:id="702511566">
      <w:bodyDiv w:val="1"/>
      <w:marLeft w:val="0"/>
      <w:marRight w:val="0"/>
      <w:marTop w:val="0"/>
      <w:marBottom w:val="0"/>
      <w:divBdr>
        <w:top w:val="none" w:sz="0" w:space="0" w:color="auto"/>
        <w:left w:val="none" w:sz="0" w:space="0" w:color="auto"/>
        <w:bottom w:val="none" w:sz="0" w:space="0" w:color="auto"/>
        <w:right w:val="none" w:sz="0" w:space="0" w:color="auto"/>
      </w:divBdr>
    </w:div>
    <w:div w:id="703409536">
      <w:bodyDiv w:val="1"/>
      <w:marLeft w:val="0"/>
      <w:marRight w:val="0"/>
      <w:marTop w:val="0"/>
      <w:marBottom w:val="0"/>
      <w:divBdr>
        <w:top w:val="none" w:sz="0" w:space="0" w:color="auto"/>
        <w:left w:val="none" w:sz="0" w:space="0" w:color="auto"/>
        <w:bottom w:val="none" w:sz="0" w:space="0" w:color="auto"/>
        <w:right w:val="none" w:sz="0" w:space="0" w:color="auto"/>
      </w:divBdr>
    </w:div>
    <w:div w:id="719137017">
      <w:bodyDiv w:val="1"/>
      <w:marLeft w:val="0"/>
      <w:marRight w:val="0"/>
      <w:marTop w:val="0"/>
      <w:marBottom w:val="0"/>
      <w:divBdr>
        <w:top w:val="none" w:sz="0" w:space="0" w:color="auto"/>
        <w:left w:val="none" w:sz="0" w:space="0" w:color="auto"/>
        <w:bottom w:val="none" w:sz="0" w:space="0" w:color="auto"/>
        <w:right w:val="none" w:sz="0" w:space="0" w:color="auto"/>
      </w:divBdr>
    </w:div>
    <w:div w:id="739522768">
      <w:bodyDiv w:val="1"/>
      <w:marLeft w:val="0"/>
      <w:marRight w:val="0"/>
      <w:marTop w:val="0"/>
      <w:marBottom w:val="0"/>
      <w:divBdr>
        <w:top w:val="none" w:sz="0" w:space="0" w:color="auto"/>
        <w:left w:val="none" w:sz="0" w:space="0" w:color="auto"/>
        <w:bottom w:val="none" w:sz="0" w:space="0" w:color="auto"/>
        <w:right w:val="none" w:sz="0" w:space="0" w:color="auto"/>
      </w:divBdr>
    </w:div>
    <w:div w:id="759326819">
      <w:bodyDiv w:val="1"/>
      <w:marLeft w:val="0"/>
      <w:marRight w:val="0"/>
      <w:marTop w:val="0"/>
      <w:marBottom w:val="0"/>
      <w:divBdr>
        <w:top w:val="none" w:sz="0" w:space="0" w:color="auto"/>
        <w:left w:val="none" w:sz="0" w:space="0" w:color="auto"/>
        <w:bottom w:val="none" w:sz="0" w:space="0" w:color="auto"/>
        <w:right w:val="none" w:sz="0" w:space="0" w:color="auto"/>
      </w:divBdr>
    </w:div>
    <w:div w:id="760637592">
      <w:bodyDiv w:val="1"/>
      <w:marLeft w:val="0"/>
      <w:marRight w:val="0"/>
      <w:marTop w:val="0"/>
      <w:marBottom w:val="0"/>
      <w:divBdr>
        <w:top w:val="none" w:sz="0" w:space="0" w:color="auto"/>
        <w:left w:val="none" w:sz="0" w:space="0" w:color="auto"/>
        <w:bottom w:val="none" w:sz="0" w:space="0" w:color="auto"/>
        <w:right w:val="none" w:sz="0" w:space="0" w:color="auto"/>
      </w:divBdr>
    </w:div>
    <w:div w:id="775713864">
      <w:bodyDiv w:val="1"/>
      <w:marLeft w:val="0"/>
      <w:marRight w:val="0"/>
      <w:marTop w:val="0"/>
      <w:marBottom w:val="0"/>
      <w:divBdr>
        <w:top w:val="none" w:sz="0" w:space="0" w:color="auto"/>
        <w:left w:val="none" w:sz="0" w:space="0" w:color="auto"/>
        <w:bottom w:val="none" w:sz="0" w:space="0" w:color="auto"/>
        <w:right w:val="none" w:sz="0" w:space="0" w:color="auto"/>
      </w:divBdr>
    </w:div>
    <w:div w:id="804006242">
      <w:bodyDiv w:val="1"/>
      <w:marLeft w:val="0"/>
      <w:marRight w:val="0"/>
      <w:marTop w:val="0"/>
      <w:marBottom w:val="0"/>
      <w:divBdr>
        <w:top w:val="none" w:sz="0" w:space="0" w:color="auto"/>
        <w:left w:val="none" w:sz="0" w:space="0" w:color="auto"/>
        <w:bottom w:val="none" w:sz="0" w:space="0" w:color="auto"/>
        <w:right w:val="none" w:sz="0" w:space="0" w:color="auto"/>
      </w:divBdr>
    </w:div>
    <w:div w:id="813789722">
      <w:bodyDiv w:val="1"/>
      <w:marLeft w:val="0"/>
      <w:marRight w:val="0"/>
      <w:marTop w:val="0"/>
      <w:marBottom w:val="0"/>
      <w:divBdr>
        <w:top w:val="none" w:sz="0" w:space="0" w:color="auto"/>
        <w:left w:val="none" w:sz="0" w:space="0" w:color="auto"/>
        <w:bottom w:val="none" w:sz="0" w:space="0" w:color="auto"/>
        <w:right w:val="none" w:sz="0" w:space="0" w:color="auto"/>
      </w:divBdr>
    </w:div>
    <w:div w:id="833036819">
      <w:bodyDiv w:val="1"/>
      <w:marLeft w:val="0"/>
      <w:marRight w:val="0"/>
      <w:marTop w:val="0"/>
      <w:marBottom w:val="0"/>
      <w:divBdr>
        <w:top w:val="none" w:sz="0" w:space="0" w:color="auto"/>
        <w:left w:val="none" w:sz="0" w:space="0" w:color="auto"/>
        <w:bottom w:val="none" w:sz="0" w:space="0" w:color="auto"/>
        <w:right w:val="none" w:sz="0" w:space="0" w:color="auto"/>
      </w:divBdr>
    </w:div>
    <w:div w:id="853307650">
      <w:bodyDiv w:val="1"/>
      <w:marLeft w:val="0"/>
      <w:marRight w:val="0"/>
      <w:marTop w:val="0"/>
      <w:marBottom w:val="0"/>
      <w:divBdr>
        <w:top w:val="none" w:sz="0" w:space="0" w:color="auto"/>
        <w:left w:val="none" w:sz="0" w:space="0" w:color="auto"/>
        <w:bottom w:val="none" w:sz="0" w:space="0" w:color="auto"/>
        <w:right w:val="none" w:sz="0" w:space="0" w:color="auto"/>
      </w:divBdr>
    </w:div>
    <w:div w:id="876042029">
      <w:bodyDiv w:val="1"/>
      <w:marLeft w:val="0"/>
      <w:marRight w:val="0"/>
      <w:marTop w:val="0"/>
      <w:marBottom w:val="0"/>
      <w:divBdr>
        <w:top w:val="none" w:sz="0" w:space="0" w:color="auto"/>
        <w:left w:val="none" w:sz="0" w:space="0" w:color="auto"/>
        <w:bottom w:val="none" w:sz="0" w:space="0" w:color="auto"/>
        <w:right w:val="none" w:sz="0" w:space="0" w:color="auto"/>
      </w:divBdr>
    </w:div>
    <w:div w:id="927930961">
      <w:bodyDiv w:val="1"/>
      <w:marLeft w:val="0"/>
      <w:marRight w:val="0"/>
      <w:marTop w:val="0"/>
      <w:marBottom w:val="0"/>
      <w:divBdr>
        <w:top w:val="none" w:sz="0" w:space="0" w:color="auto"/>
        <w:left w:val="none" w:sz="0" w:space="0" w:color="auto"/>
        <w:bottom w:val="none" w:sz="0" w:space="0" w:color="auto"/>
        <w:right w:val="none" w:sz="0" w:space="0" w:color="auto"/>
      </w:divBdr>
    </w:div>
    <w:div w:id="940722682">
      <w:bodyDiv w:val="1"/>
      <w:marLeft w:val="0"/>
      <w:marRight w:val="0"/>
      <w:marTop w:val="0"/>
      <w:marBottom w:val="0"/>
      <w:divBdr>
        <w:top w:val="none" w:sz="0" w:space="0" w:color="auto"/>
        <w:left w:val="none" w:sz="0" w:space="0" w:color="auto"/>
        <w:bottom w:val="none" w:sz="0" w:space="0" w:color="auto"/>
        <w:right w:val="none" w:sz="0" w:space="0" w:color="auto"/>
      </w:divBdr>
    </w:div>
    <w:div w:id="998077592">
      <w:bodyDiv w:val="1"/>
      <w:marLeft w:val="0"/>
      <w:marRight w:val="0"/>
      <w:marTop w:val="0"/>
      <w:marBottom w:val="0"/>
      <w:divBdr>
        <w:top w:val="none" w:sz="0" w:space="0" w:color="auto"/>
        <w:left w:val="none" w:sz="0" w:space="0" w:color="auto"/>
        <w:bottom w:val="none" w:sz="0" w:space="0" w:color="auto"/>
        <w:right w:val="none" w:sz="0" w:space="0" w:color="auto"/>
      </w:divBdr>
    </w:div>
    <w:div w:id="1008484445">
      <w:bodyDiv w:val="1"/>
      <w:marLeft w:val="0"/>
      <w:marRight w:val="0"/>
      <w:marTop w:val="0"/>
      <w:marBottom w:val="0"/>
      <w:divBdr>
        <w:top w:val="none" w:sz="0" w:space="0" w:color="auto"/>
        <w:left w:val="none" w:sz="0" w:space="0" w:color="auto"/>
        <w:bottom w:val="none" w:sz="0" w:space="0" w:color="auto"/>
        <w:right w:val="none" w:sz="0" w:space="0" w:color="auto"/>
      </w:divBdr>
    </w:div>
    <w:div w:id="1019161094">
      <w:bodyDiv w:val="1"/>
      <w:marLeft w:val="0"/>
      <w:marRight w:val="0"/>
      <w:marTop w:val="0"/>
      <w:marBottom w:val="0"/>
      <w:divBdr>
        <w:top w:val="none" w:sz="0" w:space="0" w:color="auto"/>
        <w:left w:val="none" w:sz="0" w:space="0" w:color="auto"/>
        <w:bottom w:val="none" w:sz="0" w:space="0" w:color="auto"/>
        <w:right w:val="none" w:sz="0" w:space="0" w:color="auto"/>
      </w:divBdr>
    </w:div>
    <w:div w:id="1026101715">
      <w:bodyDiv w:val="1"/>
      <w:marLeft w:val="0"/>
      <w:marRight w:val="0"/>
      <w:marTop w:val="0"/>
      <w:marBottom w:val="0"/>
      <w:divBdr>
        <w:top w:val="none" w:sz="0" w:space="0" w:color="auto"/>
        <w:left w:val="none" w:sz="0" w:space="0" w:color="auto"/>
        <w:bottom w:val="none" w:sz="0" w:space="0" w:color="auto"/>
        <w:right w:val="none" w:sz="0" w:space="0" w:color="auto"/>
      </w:divBdr>
    </w:div>
    <w:div w:id="1066076411">
      <w:bodyDiv w:val="1"/>
      <w:marLeft w:val="0"/>
      <w:marRight w:val="0"/>
      <w:marTop w:val="0"/>
      <w:marBottom w:val="0"/>
      <w:divBdr>
        <w:top w:val="none" w:sz="0" w:space="0" w:color="auto"/>
        <w:left w:val="none" w:sz="0" w:space="0" w:color="auto"/>
        <w:bottom w:val="none" w:sz="0" w:space="0" w:color="auto"/>
        <w:right w:val="none" w:sz="0" w:space="0" w:color="auto"/>
      </w:divBdr>
    </w:div>
    <w:div w:id="1101989673">
      <w:bodyDiv w:val="1"/>
      <w:marLeft w:val="0"/>
      <w:marRight w:val="0"/>
      <w:marTop w:val="0"/>
      <w:marBottom w:val="0"/>
      <w:divBdr>
        <w:top w:val="none" w:sz="0" w:space="0" w:color="auto"/>
        <w:left w:val="none" w:sz="0" w:space="0" w:color="auto"/>
        <w:bottom w:val="none" w:sz="0" w:space="0" w:color="auto"/>
        <w:right w:val="none" w:sz="0" w:space="0" w:color="auto"/>
      </w:divBdr>
    </w:div>
    <w:div w:id="1105611617">
      <w:bodyDiv w:val="1"/>
      <w:marLeft w:val="0"/>
      <w:marRight w:val="0"/>
      <w:marTop w:val="0"/>
      <w:marBottom w:val="0"/>
      <w:divBdr>
        <w:top w:val="none" w:sz="0" w:space="0" w:color="auto"/>
        <w:left w:val="none" w:sz="0" w:space="0" w:color="auto"/>
        <w:bottom w:val="none" w:sz="0" w:space="0" w:color="auto"/>
        <w:right w:val="none" w:sz="0" w:space="0" w:color="auto"/>
      </w:divBdr>
    </w:div>
    <w:div w:id="1164735553">
      <w:bodyDiv w:val="1"/>
      <w:marLeft w:val="0"/>
      <w:marRight w:val="0"/>
      <w:marTop w:val="0"/>
      <w:marBottom w:val="0"/>
      <w:divBdr>
        <w:top w:val="none" w:sz="0" w:space="0" w:color="auto"/>
        <w:left w:val="none" w:sz="0" w:space="0" w:color="auto"/>
        <w:bottom w:val="none" w:sz="0" w:space="0" w:color="auto"/>
        <w:right w:val="none" w:sz="0" w:space="0" w:color="auto"/>
      </w:divBdr>
      <w:divsChild>
        <w:div w:id="508838278">
          <w:marLeft w:val="0"/>
          <w:marRight w:val="0"/>
          <w:marTop w:val="0"/>
          <w:marBottom w:val="0"/>
          <w:divBdr>
            <w:top w:val="none" w:sz="0" w:space="0" w:color="auto"/>
            <w:left w:val="none" w:sz="0" w:space="0" w:color="auto"/>
            <w:bottom w:val="none" w:sz="0" w:space="0" w:color="auto"/>
            <w:right w:val="none" w:sz="0" w:space="0" w:color="auto"/>
          </w:divBdr>
        </w:div>
      </w:divsChild>
    </w:div>
    <w:div w:id="1293638966">
      <w:bodyDiv w:val="1"/>
      <w:marLeft w:val="0"/>
      <w:marRight w:val="0"/>
      <w:marTop w:val="0"/>
      <w:marBottom w:val="0"/>
      <w:divBdr>
        <w:top w:val="none" w:sz="0" w:space="0" w:color="auto"/>
        <w:left w:val="none" w:sz="0" w:space="0" w:color="auto"/>
        <w:bottom w:val="none" w:sz="0" w:space="0" w:color="auto"/>
        <w:right w:val="none" w:sz="0" w:space="0" w:color="auto"/>
      </w:divBdr>
    </w:div>
    <w:div w:id="1314137805">
      <w:bodyDiv w:val="1"/>
      <w:marLeft w:val="0"/>
      <w:marRight w:val="0"/>
      <w:marTop w:val="0"/>
      <w:marBottom w:val="0"/>
      <w:divBdr>
        <w:top w:val="none" w:sz="0" w:space="0" w:color="auto"/>
        <w:left w:val="none" w:sz="0" w:space="0" w:color="auto"/>
        <w:bottom w:val="none" w:sz="0" w:space="0" w:color="auto"/>
        <w:right w:val="none" w:sz="0" w:space="0" w:color="auto"/>
      </w:divBdr>
    </w:div>
    <w:div w:id="1319268967">
      <w:bodyDiv w:val="1"/>
      <w:marLeft w:val="0"/>
      <w:marRight w:val="0"/>
      <w:marTop w:val="0"/>
      <w:marBottom w:val="0"/>
      <w:divBdr>
        <w:top w:val="none" w:sz="0" w:space="0" w:color="auto"/>
        <w:left w:val="none" w:sz="0" w:space="0" w:color="auto"/>
        <w:bottom w:val="none" w:sz="0" w:space="0" w:color="auto"/>
        <w:right w:val="none" w:sz="0" w:space="0" w:color="auto"/>
      </w:divBdr>
    </w:div>
    <w:div w:id="1320578647">
      <w:bodyDiv w:val="1"/>
      <w:marLeft w:val="0"/>
      <w:marRight w:val="0"/>
      <w:marTop w:val="0"/>
      <w:marBottom w:val="0"/>
      <w:divBdr>
        <w:top w:val="none" w:sz="0" w:space="0" w:color="auto"/>
        <w:left w:val="none" w:sz="0" w:space="0" w:color="auto"/>
        <w:bottom w:val="none" w:sz="0" w:space="0" w:color="auto"/>
        <w:right w:val="none" w:sz="0" w:space="0" w:color="auto"/>
      </w:divBdr>
    </w:div>
    <w:div w:id="1336763115">
      <w:bodyDiv w:val="1"/>
      <w:marLeft w:val="0"/>
      <w:marRight w:val="0"/>
      <w:marTop w:val="0"/>
      <w:marBottom w:val="0"/>
      <w:divBdr>
        <w:top w:val="none" w:sz="0" w:space="0" w:color="auto"/>
        <w:left w:val="none" w:sz="0" w:space="0" w:color="auto"/>
        <w:bottom w:val="none" w:sz="0" w:space="0" w:color="auto"/>
        <w:right w:val="none" w:sz="0" w:space="0" w:color="auto"/>
      </w:divBdr>
    </w:div>
    <w:div w:id="1351487313">
      <w:bodyDiv w:val="1"/>
      <w:marLeft w:val="0"/>
      <w:marRight w:val="0"/>
      <w:marTop w:val="0"/>
      <w:marBottom w:val="0"/>
      <w:divBdr>
        <w:top w:val="none" w:sz="0" w:space="0" w:color="auto"/>
        <w:left w:val="none" w:sz="0" w:space="0" w:color="auto"/>
        <w:bottom w:val="none" w:sz="0" w:space="0" w:color="auto"/>
        <w:right w:val="none" w:sz="0" w:space="0" w:color="auto"/>
      </w:divBdr>
    </w:div>
    <w:div w:id="1365640785">
      <w:bodyDiv w:val="1"/>
      <w:marLeft w:val="0"/>
      <w:marRight w:val="0"/>
      <w:marTop w:val="0"/>
      <w:marBottom w:val="0"/>
      <w:divBdr>
        <w:top w:val="none" w:sz="0" w:space="0" w:color="auto"/>
        <w:left w:val="none" w:sz="0" w:space="0" w:color="auto"/>
        <w:bottom w:val="none" w:sz="0" w:space="0" w:color="auto"/>
        <w:right w:val="none" w:sz="0" w:space="0" w:color="auto"/>
      </w:divBdr>
    </w:div>
    <w:div w:id="1387531804">
      <w:bodyDiv w:val="1"/>
      <w:marLeft w:val="0"/>
      <w:marRight w:val="0"/>
      <w:marTop w:val="0"/>
      <w:marBottom w:val="0"/>
      <w:divBdr>
        <w:top w:val="none" w:sz="0" w:space="0" w:color="auto"/>
        <w:left w:val="none" w:sz="0" w:space="0" w:color="auto"/>
        <w:bottom w:val="none" w:sz="0" w:space="0" w:color="auto"/>
        <w:right w:val="none" w:sz="0" w:space="0" w:color="auto"/>
      </w:divBdr>
    </w:div>
    <w:div w:id="1411073338">
      <w:bodyDiv w:val="1"/>
      <w:marLeft w:val="0"/>
      <w:marRight w:val="0"/>
      <w:marTop w:val="0"/>
      <w:marBottom w:val="0"/>
      <w:divBdr>
        <w:top w:val="none" w:sz="0" w:space="0" w:color="auto"/>
        <w:left w:val="none" w:sz="0" w:space="0" w:color="auto"/>
        <w:bottom w:val="none" w:sz="0" w:space="0" w:color="auto"/>
        <w:right w:val="none" w:sz="0" w:space="0" w:color="auto"/>
      </w:divBdr>
    </w:div>
    <w:div w:id="1419601144">
      <w:bodyDiv w:val="1"/>
      <w:marLeft w:val="0"/>
      <w:marRight w:val="0"/>
      <w:marTop w:val="0"/>
      <w:marBottom w:val="0"/>
      <w:divBdr>
        <w:top w:val="none" w:sz="0" w:space="0" w:color="auto"/>
        <w:left w:val="none" w:sz="0" w:space="0" w:color="auto"/>
        <w:bottom w:val="none" w:sz="0" w:space="0" w:color="auto"/>
        <w:right w:val="none" w:sz="0" w:space="0" w:color="auto"/>
      </w:divBdr>
    </w:div>
    <w:div w:id="1431776476">
      <w:bodyDiv w:val="1"/>
      <w:marLeft w:val="0"/>
      <w:marRight w:val="0"/>
      <w:marTop w:val="0"/>
      <w:marBottom w:val="0"/>
      <w:divBdr>
        <w:top w:val="none" w:sz="0" w:space="0" w:color="auto"/>
        <w:left w:val="none" w:sz="0" w:space="0" w:color="auto"/>
        <w:bottom w:val="none" w:sz="0" w:space="0" w:color="auto"/>
        <w:right w:val="none" w:sz="0" w:space="0" w:color="auto"/>
      </w:divBdr>
    </w:div>
    <w:div w:id="1444156450">
      <w:bodyDiv w:val="1"/>
      <w:marLeft w:val="0"/>
      <w:marRight w:val="0"/>
      <w:marTop w:val="0"/>
      <w:marBottom w:val="0"/>
      <w:divBdr>
        <w:top w:val="none" w:sz="0" w:space="0" w:color="auto"/>
        <w:left w:val="none" w:sz="0" w:space="0" w:color="auto"/>
        <w:bottom w:val="none" w:sz="0" w:space="0" w:color="auto"/>
        <w:right w:val="none" w:sz="0" w:space="0" w:color="auto"/>
      </w:divBdr>
    </w:div>
    <w:div w:id="1449084815">
      <w:bodyDiv w:val="1"/>
      <w:marLeft w:val="0"/>
      <w:marRight w:val="0"/>
      <w:marTop w:val="0"/>
      <w:marBottom w:val="0"/>
      <w:divBdr>
        <w:top w:val="none" w:sz="0" w:space="0" w:color="auto"/>
        <w:left w:val="none" w:sz="0" w:space="0" w:color="auto"/>
        <w:bottom w:val="none" w:sz="0" w:space="0" w:color="auto"/>
        <w:right w:val="none" w:sz="0" w:space="0" w:color="auto"/>
      </w:divBdr>
    </w:div>
    <w:div w:id="1453591921">
      <w:bodyDiv w:val="1"/>
      <w:marLeft w:val="0"/>
      <w:marRight w:val="0"/>
      <w:marTop w:val="0"/>
      <w:marBottom w:val="0"/>
      <w:divBdr>
        <w:top w:val="none" w:sz="0" w:space="0" w:color="auto"/>
        <w:left w:val="none" w:sz="0" w:space="0" w:color="auto"/>
        <w:bottom w:val="none" w:sz="0" w:space="0" w:color="auto"/>
        <w:right w:val="none" w:sz="0" w:space="0" w:color="auto"/>
      </w:divBdr>
    </w:div>
    <w:div w:id="1515412724">
      <w:bodyDiv w:val="1"/>
      <w:marLeft w:val="0"/>
      <w:marRight w:val="0"/>
      <w:marTop w:val="0"/>
      <w:marBottom w:val="0"/>
      <w:divBdr>
        <w:top w:val="none" w:sz="0" w:space="0" w:color="auto"/>
        <w:left w:val="none" w:sz="0" w:space="0" w:color="auto"/>
        <w:bottom w:val="none" w:sz="0" w:space="0" w:color="auto"/>
        <w:right w:val="none" w:sz="0" w:space="0" w:color="auto"/>
      </w:divBdr>
    </w:div>
    <w:div w:id="1517115367">
      <w:bodyDiv w:val="1"/>
      <w:marLeft w:val="0"/>
      <w:marRight w:val="0"/>
      <w:marTop w:val="0"/>
      <w:marBottom w:val="0"/>
      <w:divBdr>
        <w:top w:val="none" w:sz="0" w:space="0" w:color="auto"/>
        <w:left w:val="none" w:sz="0" w:space="0" w:color="auto"/>
        <w:bottom w:val="none" w:sz="0" w:space="0" w:color="auto"/>
        <w:right w:val="none" w:sz="0" w:space="0" w:color="auto"/>
      </w:divBdr>
      <w:divsChild>
        <w:div w:id="1656182409">
          <w:marLeft w:val="1440"/>
          <w:marRight w:val="0"/>
          <w:marTop w:val="0"/>
          <w:marBottom w:val="0"/>
          <w:divBdr>
            <w:top w:val="none" w:sz="0" w:space="0" w:color="auto"/>
            <w:left w:val="none" w:sz="0" w:space="0" w:color="auto"/>
            <w:bottom w:val="none" w:sz="0" w:space="0" w:color="auto"/>
            <w:right w:val="none" w:sz="0" w:space="0" w:color="auto"/>
          </w:divBdr>
        </w:div>
        <w:div w:id="573513612">
          <w:marLeft w:val="1440"/>
          <w:marRight w:val="0"/>
          <w:marTop w:val="0"/>
          <w:marBottom w:val="0"/>
          <w:divBdr>
            <w:top w:val="none" w:sz="0" w:space="0" w:color="auto"/>
            <w:left w:val="none" w:sz="0" w:space="0" w:color="auto"/>
            <w:bottom w:val="none" w:sz="0" w:space="0" w:color="auto"/>
            <w:right w:val="none" w:sz="0" w:space="0" w:color="auto"/>
          </w:divBdr>
        </w:div>
      </w:divsChild>
    </w:div>
    <w:div w:id="1547520273">
      <w:bodyDiv w:val="1"/>
      <w:marLeft w:val="0"/>
      <w:marRight w:val="0"/>
      <w:marTop w:val="0"/>
      <w:marBottom w:val="0"/>
      <w:divBdr>
        <w:top w:val="none" w:sz="0" w:space="0" w:color="auto"/>
        <w:left w:val="none" w:sz="0" w:space="0" w:color="auto"/>
        <w:bottom w:val="none" w:sz="0" w:space="0" w:color="auto"/>
        <w:right w:val="none" w:sz="0" w:space="0" w:color="auto"/>
      </w:divBdr>
    </w:div>
    <w:div w:id="1575045588">
      <w:bodyDiv w:val="1"/>
      <w:marLeft w:val="0"/>
      <w:marRight w:val="0"/>
      <w:marTop w:val="0"/>
      <w:marBottom w:val="0"/>
      <w:divBdr>
        <w:top w:val="none" w:sz="0" w:space="0" w:color="auto"/>
        <w:left w:val="none" w:sz="0" w:space="0" w:color="auto"/>
        <w:bottom w:val="none" w:sz="0" w:space="0" w:color="auto"/>
        <w:right w:val="none" w:sz="0" w:space="0" w:color="auto"/>
      </w:divBdr>
    </w:div>
    <w:div w:id="1576234711">
      <w:bodyDiv w:val="1"/>
      <w:marLeft w:val="0"/>
      <w:marRight w:val="0"/>
      <w:marTop w:val="0"/>
      <w:marBottom w:val="0"/>
      <w:divBdr>
        <w:top w:val="none" w:sz="0" w:space="0" w:color="auto"/>
        <w:left w:val="none" w:sz="0" w:space="0" w:color="auto"/>
        <w:bottom w:val="none" w:sz="0" w:space="0" w:color="auto"/>
        <w:right w:val="none" w:sz="0" w:space="0" w:color="auto"/>
      </w:divBdr>
    </w:div>
    <w:div w:id="1585802632">
      <w:bodyDiv w:val="1"/>
      <w:marLeft w:val="0"/>
      <w:marRight w:val="0"/>
      <w:marTop w:val="0"/>
      <w:marBottom w:val="0"/>
      <w:divBdr>
        <w:top w:val="none" w:sz="0" w:space="0" w:color="auto"/>
        <w:left w:val="none" w:sz="0" w:space="0" w:color="auto"/>
        <w:bottom w:val="none" w:sz="0" w:space="0" w:color="auto"/>
        <w:right w:val="none" w:sz="0" w:space="0" w:color="auto"/>
      </w:divBdr>
    </w:div>
    <w:div w:id="1591699055">
      <w:bodyDiv w:val="1"/>
      <w:marLeft w:val="0"/>
      <w:marRight w:val="0"/>
      <w:marTop w:val="0"/>
      <w:marBottom w:val="0"/>
      <w:divBdr>
        <w:top w:val="none" w:sz="0" w:space="0" w:color="auto"/>
        <w:left w:val="none" w:sz="0" w:space="0" w:color="auto"/>
        <w:bottom w:val="none" w:sz="0" w:space="0" w:color="auto"/>
        <w:right w:val="none" w:sz="0" w:space="0" w:color="auto"/>
      </w:divBdr>
      <w:divsChild>
        <w:div w:id="1098985295">
          <w:marLeft w:val="1267"/>
          <w:marRight w:val="0"/>
          <w:marTop w:val="0"/>
          <w:marBottom w:val="0"/>
          <w:divBdr>
            <w:top w:val="none" w:sz="0" w:space="0" w:color="auto"/>
            <w:left w:val="none" w:sz="0" w:space="0" w:color="auto"/>
            <w:bottom w:val="none" w:sz="0" w:space="0" w:color="auto"/>
            <w:right w:val="none" w:sz="0" w:space="0" w:color="auto"/>
          </w:divBdr>
        </w:div>
        <w:div w:id="673730152">
          <w:marLeft w:val="1267"/>
          <w:marRight w:val="0"/>
          <w:marTop w:val="0"/>
          <w:marBottom w:val="0"/>
          <w:divBdr>
            <w:top w:val="none" w:sz="0" w:space="0" w:color="auto"/>
            <w:left w:val="none" w:sz="0" w:space="0" w:color="auto"/>
            <w:bottom w:val="none" w:sz="0" w:space="0" w:color="auto"/>
            <w:right w:val="none" w:sz="0" w:space="0" w:color="auto"/>
          </w:divBdr>
        </w:div>
        <w:div w:id="600064278">
          <w:marLeft w:val="1267"/>
          <w:marRight w:val="0"/>
          <w:marTop w:val="0"/>
          <w:marBottom w:val="0"/>
          <w:divBdr>
            <w:top w:val="none" w:sz="0" w:space="0" w:color="auto"/>
            <w:left w:val="none" w:sz="0" w:space="0" w:color="auto"/>
            <w:bottom w:val="none" w:sz="0" w:space="0" w:color="auto"/>
            <w:right w:val="none" w:sz="0" w:space="0" w:color="auto"/>
          </w:divBdr>
        </w:div>
        <w:div w:id="923759289">
          <w:marLeft w:val="1267"/>
          <w:marRight w:val="0"/>
          <w:marTop w:val="0"/>
          <w:marBottom w:val="0"/>
          <w:divBdr>
            <w:top w:val="none" w:sz="0" w:space="0" w:color="auto"/>
            <w:left w:val="none" w:sz="0" w:space="0" w:color="auto"/>
            <w:bottom w:val="none" w:sz="0" w:space="0" w:color="auto"/>
            <w:right w:val="none" w:sz="0" w:space="0" w:color="auto"/>
          </w:divBdr>
        </w:div>
        <w:div w:id="274947511">
          <w:marLeft w:val="1267"/>
          <w:marRight w:val="0"/>
          <w:marTop w:val="0"/>
          <w:marBottom w:val="0"/>
          <w:divBdr>
            <w:top w:val="none" w:sz="0" w:space="0" w:color="auto"/>
            <w:left w:val="none" w:sz="0" w:space="0" w:color="auto"/>
            <w:bottom w:val="none" w:sz="0" w:space="0" w:color="auto"/>
            <w:right w:val="none" w:sz="0" w:space="0" w:color="auto"/>
          </w:divBdr>
        </w:div>
        <w:div w:id="970133583">
          <w:marLeft w:val="1267"/>
          <w:marRight w:val="0"/>
          <w:marTop w:val="0"/>
          <w:marBottom w:val="0"/>
          <w:divBdr>
            <w:top w:val="none" w:sz="0" w:space="0" w:color="auto"/>
            <w:left w:val="none" w:sz="0" w:space="0" w:color="auto"/>
            <w:bottom w:val="none" w:sz="0" w:space="0" w:color="auto"/>
            <w:right w:val="none" w:sz="0" w:space="0" w:color="auto"/>
          </w:divBdr>
        </w:div>
        <w:div w:id="1213425277">
          <w:marLeft w:val="1267"/>
          <w:marRight w:val="0"/>
          <w:marTop w:val="0"/>
          <w:marBottom w:val="0"/>
          <w:divBdr>
            <w:top w:val="none" w:sz="0" w:space="0" w:color="auto"/>
            <w:left w:val="none" w:sz="0" w:space="0" w:color="auto"/>
            <w:bottom w:val="none" w:sz="0" w:space="0" w:color="auto"/>
            <w:right w:val="none" w:sz="0" w:space="0" w:color="auto"/>
          </w:divBdr>
        </w:div>
      </w:divsChild>
    </w:div>
    <w:div w:id="1613978288">
      <w:bodyDiv w:val="1"/>
      <w:marLeft w:val="0"/>
      <w:marRight w:val="0"/>
      <w:marTop w:val="0"/>
      <w:marBottom w:val="0"/>
      <w:divBdr>
        <w:top w:val="none" w:sz="0" w:space="0" w:color="auto"/>
        <w:left w:val="none" w:sz="0" w:space="0" w:color="auto"/>
        <w:bottom w:val="none" w:sz="0" w:space="0" w:color="auto"/>
        <w:right w:val="none" w:sz="0" w:space="0" w:color="auto"/>
      </w:divBdr>
    </w:div>
    <w:div w:id="1622958300">
      <w:bodyDiv w:val="1"/>
      <w:marLeft w:val="0"/>
      <w:marRight w:val="0"/>
      <w:marTop w:val="0"/>
      <w:marBottom w:val="0"/>
      <w:divBdr>
        <w:top w:val="none" w:sz="0" w:space="0" w:color="auto"/>
        <w:left w:val="none" w:sz="0" w:space="0" w:color="auto"/>
        <w:bottom w:val="none" w:sz="0" w:space="0" w:color="auto"/>
        <w:right w:val="none" w:sz="0" w:space="0" w:color="auto"/>
      </w:divBdr>
    </w:div>
    <w:div w:id="1644197132">
      <w:bodyDiv w:val="1"/>
      <w:marLeft w:val="0"/>
      <w:marRight w:val="0"/>
      <w:marTop w:val="0"/>
      <w:marBottom w:val="0"/>
      <w:divBdr>
        <w:top w:val="none" w:sz="0" w:space="0" w:color="auto"/>
        <w:left w:val="none" w:sz="0" w:space="0" w:color="auto"/>
        <w:bottom w:val="none" w:sz="0" w:space="0" w:color="auto"/>
        <w:right w:val="none" w:sz="0" w:space="0" w:color="auto"/>
      </w:divBdr>
      <w:divsChild>
        <w:div w:id="1329603142">
          <w:marLeft w:val="0"/>
          <w:marRight w:val="0"/>
          <w:marTop w:val="0"/>
          <w:marBottom w:val="0"/>
          <w:divBdr>
            <w:top w:val="none" w:sz="0" w:space="0" w:color="auto"/>
            <w:left w:val="none" w:sz="0" w:space="0" w:color="auto"/>
            <w:bottom w:val="none" w:sz="0" w:space="0" w:color="auto"/>
            <w:right w:val="none" w:sz="0" w:space="0" w:color="auto"/>
          </w:divBdr>
        </w:div>
      </w:divsChild>
    </w:div>
    <w:div w:id="1667855723">
      <w:bodyDiv w:val="1"/>
      <w:marLeft w:val="0"/>
      <w:marRight w:val="0"/>
      <w:marTop w:val="0"/>
      <w:marBottom w:val="0"/>
      <w:divBdr>
        <w:top w:val="none" w:sz="0" w:space="0" w:color="auto"/>
        <w:left w:val="none" w:sz="0" w:space="0" w:color="auto"/>
        <w:bottom w:val="none" w:sz="0" w:space="0" w:color="auto"/>
        <w:right w:val="none" w:sz="0" w:space="0" w:color="auto"/>
      </w:divBdr>
    </w:div>
    <w:div w:id="1674338225">
      <w:bodyDiv w:val="1"/>
      <w:marLeft w:val="0"/>
      <w:marRight w:val="0"/>
      <w:marTop w:val="0"/>
      <w:marBottom w:val="0"/>
      <w:divBdr>
        <w:top w:val="none" w:sz="0" w:space="0" w:color="auto"/>
        <w:left w:val="none" w:sz="0" w:space="0" w:color="auto"/>
        <w:bottom w:val="none" w:sz="0" w:space="0" w:color="auto"/>
        <w:right w:val="none" w:sz="0" w:space="0" w:color="auto"/>
      </w:divBdr>
      <w:divsChild>
        <w:div w:id="267005454">
          <w:marLeft w:val="0"/>
          <w:marRight w:val="0"/>
          <w:marTop w:val="0"/>
          <w:marBottom w:val="0"/>
          <w:divBdr>
            <w:top w:val="none" w:sz="0" w:space="0" w:color="auto"/>
            <w:left w:val="none" w:sz="0" w:space="0" w:color="auto"/>
            <w:bottom w:val="none" w:sz="0" w:space="0" w:color="auto"/>
            <w:right w:val="none" w:sz="0" w:space="0" w:color="auto"/>
          </w:divBdr>
        </w:div>
      </w:divsChild>
    </w:div>
    <w:div w:id="1674718035">
      <w:bodyDiv w:val="1"/>
      <w:marLeft w:val="0"/>
      <w:marRight w:val="0"/>
      <w:marTop w:val="0"/>
      <w:marBottom w:val="0"/>
      <w:divBdr>
        <w:top w:val="none" w:sz="0" w:space="0" w:color="auto"/>
        <w:left w:val="none" w:sz="0" w:space="0" w:color="auto"/>
        <w:bottom w:val="none" w:sz="0" w:space="0" w:color="auto"/>
        <w:right w:val="none" w:sz="0" w:space="0" w:color="auto"/>
      </w:divBdr>
    </w:div>
    <w:div w:id="1699505760">
      <w:bodyDiv w:val="1"/>
      <w:marLeft w:val="0"/>
      <w:marRight w:val="0"/>
      <w:marTop w:val="0"/>
      <w:marBottom w:val="0"/>
      <w:divBdr>
        <w:top w:val="none" w:sz="0" w:space="0" w:color="auto"/>
        <w:left w:val="none" w:sz="0" w:space="0" w:color="auto"/>
        <w:bottom w:val="none" w:sz="0" w:space="0" w:color="auto"/>
        <w:right w:val="none" w:sz="0" w:space="0" w:color="auto"/>
      </w:divBdr>
    </w:div>
    <w:div w:id="1700815870">
      <w:bodyDiv w:val="1"/>
      <w:marLeft w:val="0"/>
      <w:marRight w:val="0"/>
      <w:marTop w:val="0"/>
      <w:marBottom w:val="0"/>
      <w:divBdr>
        <w:top w:val="none" w:sz="0" w:space="0" w:color="auto"/>
        <w:left w:val="none" w:sz="0" w:space="0" w:color="auto"/>
        <w:bottom w:val="none" w:sz="0" w:space="0" w:color="auto"/>
        <w:right w:val="none" w:sz="0" w:space="0" w:color="auto"/>
      </w:divBdr>
    </w:div>
    <w:div w:id="1722291345">
      <w:bodyDiv w:val="1"/>
      <w:marLeft w:val="0"/>
      <w:marRight w:val="0"/>
      <w:marTop w:val="0"/>
      <w:marBottom w:val="0"/>
      <w:divBdr>
        <w:top w:val="none" w:sz="0" w:space="0" w:color="auto"/>
        <w:left w:val="none" w:sz="0" w:space="0" w:color="auto"/>
        <w:bottom w:val="none" w:sz="0" w:space="0" w:color="auto"/>
        <w:right w:val="none" w:sz="0" w:space="0" w:color="auto"/>
      </w:divBdr>
    </w:div>
    <w:div w:id="1735277844">
      <w:bodyDiv w:val="1"/>
      <w:marLeft w:val="0"/>
      <w:marRight w:val="0"/>
      <w:marTop w:val="0"/>
      <w:marBottom w:val="0"/>
      <w:divBdr>
        <w:top w:val="none" w:sz="0" w:space="0" w:color="auto"/>
        <w:left w:val="none" w:sz="0" w:space="0" w:color="auto"/>
        <w:bottom w:val="none" w:sz="0" w:space="0" w:color="auto"/>
        <w:right w:val="none" w:sz="0" w:space="0" w:color="auto"/>
      </w:divBdr>
    </w:div>
    <w:div w:id="1753578530">
      <w:bodyDiv w:val="1"/>
      <w:marLeft w:val="0"/>
      <w:marRight w:val="0"/>
      <w:marTop w:val="0"/>
      <w:marBottom w:val="0"/>
      <w:divBdr>
        <w:top w:val="none" w:sz="0" w:space="0" w:color="auto"/>
        <w:left w:val="none" w:sz="0" w:space="0" w:color="auto"/>
        <w:bottom w:val="none" w:sz="0" w:space="0" w:color="auto"/>
        <w:right w:val="none" w:sz="0" w:space="0" w:color="auto"/>
      </w:divBdr>
    </w:div>
    <w:div w:id="1756703322">
      <w:bodyDiv w:val="1"/>
      <w:marLeft w:val="0"/>
      <w:marRight w:val="0"/>
      <w:marTop w:val="0"/>
      <w:marBottom w:val="0"/>
      <w:divBdr>
        <w:top w:val="none" w:sz="0" w:space="0" w:color="auto"/>
        <w:left w:val="none" w:sz="0" w:space="0" w:color="auto"/>
        <w:bottom w:val="none" w:sz="0" w:space="0" w:color="auto"/>
        <w:right w:val="none" w:sz="0" w:space="0" w:color="auto"/>
      </w:divBdr>
    </w:div>
    <w:div w:id="1804418107">
      <w:bodyDiv w:val="1"/>
      <w:marLeft w:val="0"/>
      <w:marRight w:val="0"/>
      <w:marTop w:val="0"/>
      <w:marBottom w:val="0"/>
      <w:divBdr>
        <w:top w:val="none" w:sz="0" w:space="0" w:color="auto"/>
        <w:left w:val="none" w:sz="0" w:space="0" w:color="auto"/>
        <w:bottom w:val="none" w:sz="0" w:space="0" w:color="auto"/>
        <w:right w:val="none" w:sz="0" w:space="0" w:color="auto"/>
      </w:divBdr>
    </w:div>
    <w:div w:id="1814981090">
      <w:bodyDiv w:val="1"/>
      <w:marLeft w:val="0"/>
      <w:marRight w:val="0"/>
      <w:marTop w:val="0"/>
      <w:marBottom w:val="0"/>
      <w:divBdr>
        <w:top w:val="none" w:sz="0" w:space="0" w:color="auto"/>
        <w:left w:val="none" w:sz="0" w:space="0" w:color="auto"/>
        <w:bottom w:val="none" w:sz="0" w:space="0" w:color="auto"/>
        <w:right w:val="none" w:sz="0" w:space="0" w:color="auto"/>
      </w:divBdr>
    </w:div>
    <w:div w:id="1818566278">
      <w:bodyDiv w:val="1"/>
      <w:marLeft w:val="0"/>
      <w:marRight w:val="0"/>
      <w:marTop w:val="0"/>
      <w:marBottom w:val="0"/>
      <w:divBdr>
        <w:top w:val="none" w:sz="0" w:space="0" w:color="auto"/>
        <w:left w:val="none" w:sz="0" w:space="0" w:color="auto"/>
        <w:bottom w:val="none" w:sz="0" w:space="0" w:color="auto"/>
        <w:right w:val="none" w:sz="0" w:space="0" w:color="auto"/>
      </w:divBdr>
    </w:div>
    <w:div w:id="1877111417">
      <w:bodyDiv w:val="1"/>
      <w:marLeft w:val="0"/>
      <w:marRight w:val="0"/>
      <w:marTop w:val="0"/>
      <w:marBottom w:val="0"/>
      <w:divBdr>
        <w:top w:val="none" w:sz="0" w:space="0" w:color="auto"/>
        <w:left w:val="none" w:sz="0" w:space="0" w:color="auto"/>
        <w:bottom w:val="none" w:sz="0" w:space="0" w:color="auto"/>
        <w:right w:val="none" w:sz="0" w:space="0" w:color="auto"/>
      </w:divBdr>
    </w:div>
    <w:div w:id="1897662687">
      <w:bodyDiv w:val="1"/>
      <w:marLeft w:val="0"/>
      <w:marRight w:val="0"/>
      <w:marTop w:val="0"/>
      <w:marBottom w:val="0"/>
      <w:divBdr>
        <w:top w:val="none" w:sz="0" w:space="0" w:color="auto"/>
        <w:left w:val="none" w:sz="0" w:space="0" w:color="auto"/>
        <w:bottom w:val="none" w:sz="0" w:space="0" w:color="auto"/>
        <w:right w:val="none" w:sz="0" w:space="0" w:color="auto"/>
      </w:divBdr>
    </w:div>
    <w:div w:id="1924219028">
      <w:bodyDiv w:val="1"/>
      <w:marLeft w:val="0"/>
      <w:marRight w:val="0"/>
      <w:marTop w:val="0"/>
      <w:marBottom w:val="0"/>
      <w:divBdr>
        <w:top w:val="none" w:sz="0" w:space="0" w:color="auto"/>
        <w:left w:val="none" w:sz="0" w:space="0" w:color="auto"/>
        <w:bottom w:val="none" w:sz="0" w:space="0" w:color="auto"/>
        <w:right w:val="none" w:sz="0" w:space="0" w:color="auto"/>
      </w:divBdr>
    </w:div>
    <w:div w:id="1976370556">
      <w:bodyDiv w:val="1"/>
      <w:marLeft w:val="0"/>
      <w:marRight w:val="0"/>
      <w:marTop w:val="0"/>
      <w:marBottom w:val="0"/>
      <w:divBdr>
        <w:top w:val="none" w:sz="0" w:space="0" w:color="auto"/>
        <w:left w:val="none" w:sz="0" w:space="0" w:color="auto"/>
        <w:bottom w:val="none" w:sz="0" w:space="0" w:color="auto"/>
        <w:right w:val="none" w:sz="0" w:space="0" w:color="auto"/>
      </w:divBdr>
    </w:div>
    <w:div w:id="1976445677">
      <w:bodyDiv w:val="1"/>
      <w:marLeft w:val="0"/>
      <w:marRight w:val="0"/>
      <w:marTop w:val="0"/>
      <w:marBottom w:val="0"/>
      <w:divBdr>
        <w:top w:val="none" w:sz="0" w:space="0" w:color="auto"/>
        <w:left w:val="none" w:sz="0" w:space="0" w:color="auto"/>
        <w:bottom w:val="none" w:sz="0" w:space="0" w:color="auto"/>
        <w:right w:val="none" w:sz="0" w:space="0" w:color="auto"/>
      </w:divBdr>
    </w:div>
    <w:div w:id="2023895394">
      <w:bodyDiv w:val="1"/>
      <w:marLeft w:val="0"/>
      <w:marRight w:val="0"/>
      <w:marTop w:val="0"/>
      <w:marBottom w:val="0"/>
      <w:divBdr>
        <w:top w:val="none" w:sz="0" w:space="0" w:color="auto"/>
        <w:left w:val="none" w:sz="0" w:space="0" w:color="auto"/>
        <w:bottom w:val="none" w:sz="0" w:space="0" w:color="auto"/>
        <w:right w:val="none" w:sz="0" w:space="0" w:color="auto"/>
      </w:divBdr>
    </w:div>
    <w:div w:id="2036080370">
      <w:bodyDiv w:val="1"/>
      <w:marLeft w:val="0"/>
      <w:marRight w:val="0"/>
      <w:marTop w:val="0"/>
      <w:marBottom w:val="0"/>
      <w:divBdr>
        <w:top w:val="none" w:sz="0" w:space="0" w:color="auto"/>
        <w:left w:val="none" w:sz="0" w:space="0" w:color="auto"/>
        <w:bottom w:val="none" w:sz="0" w:space="0" w:color="auto"/>
        <w:right w:val="none" w:sz="0" w:space="0" w:color="auto"/>
      </w:divBdr>
    </w:div>
    <w:div w:id="2073120665">
      <w:bodyDiv w:val="1"/>
      <w:marLeft w:val="0"/>
      <w:marRight w:val="0"/>
      <w:marTop w:val="0"/>
      <w:marBottom w:val="0"/>
      <w:divBdr>
        <w:top w:val="none" w:sz="0" w:space="0" w:color="auto"/>
        <w:left w:val="none" w:sz="0" w:space="0" w:color="auto"/>
        <w:bottom w:val="none" w:sz="0" w:space="0" w:color="auto"/>
        <w:right w:val="none" w:sz="0" w:space="0" w:color="auto"/>
      </w:divBdr>
    </w:div>
    <w:div w:id="2083285318">
      <w:bodyDiv w:val="1"/>
      <w:marLeft w:val="0"/>
      <w:marRight w:val="0"/>
      <w:marTop w:val="0"/>
      <w:marBottom w:val="0"/>
      <w:divBdr>
        <w:top w:val="none" w:sz="0" w:space="0" w:color="auto"/>
        <w:left w:val="none" w:sz="0" w:space="0" w:color="auto"/>
        <w:bottom w:val="none" w:sz="0" w:space="0" w:color="auto"/>
        <w:right w:val="none" w:sz="0" w:space="0" w:color="auto"/>
      </w:divBdr>
    </w:div>
    <w:div w:id="2093507305">
      <w:bodyDiv w:val="1"/>
      <w:marLeft w:val="0"/>
      <w:marRight w:val="0"/>
      <w:marTop w:val="0"/>
      <w:marBottom w:val="0"/>
      <w:divBdr>
        <w:top w:val="none" w:sz="0" w:space="0" w:color="auto"/>
        <w:left w:val="none" w:sz="0" w:space="0" w:color="auto"/>
        <w:bottom w:val="none" w:sz="0" w:space="0" w:color="auto"/>
        <w:right w:val="none" w:sz="0" w:space="0" w:color="auto"/>
      </w:divBdr>
    </w:div>
    <w:div w:id="2110001077">
      <w:bodyDiv w:val="1"/>
      <w:marLeft w:val="0"/>
      <w:marRight w:val="0"/>
      <w:marTop w:val="0"/>
      <w:marBottom w:val="0"/>
      <w:divBdr>
        <w:top w:val="none" w:sz="0" w:space="0" w:color="auto"/>
        <w:left w:val="none" w:sz="0" w:space="0" w:color="auto"/>
        <w:bottom w:val="none" w:sz="0" w:space="0" w:color="auto"/>
        <w:right w:val="none" w:sz="0" w:space="0" w:color="auto"/>
      </w:divBdr>
    </w:div>
    <w:div w:id="2114276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1.xml"/><Relationship Id="rId39"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footer" Target="footer5.xml"/><Relationship Id="rId42" Type="http://schemas.openxmlformats.org/officeDocument/2006/relationships/image" Target="media/image12.svg"/><Relationship Id="rId7" Type="http://schemas.openxmlformats.org/officeDocument/2006/relationships/customXml" Target="../customXml/item7.xml"/><Relationship Id="rId41" Type="http://schemas.openxmlformats.org/officeDocument/2006/relationships/image" Target="media/image8.png"/><Relationship Id="rId16" Type="http://schemas.openxmlformats.org/officeDocument/2006/relationships/webSettings" Target="webSettings.xml"/><Relationship Id="rId20" Type="http://schemas.openxmlformats.org/officeDocument/2006/relationships/hyperlink" Target="https://fchobservatory.e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5.png"/><Relationship Id="rId32" Type="http://schemas.openxmlformats.org/officeDocument/2006/relationships/header" Target="header4.xml"/><Relationship Id="rId37" Type="http://schemas.openxmlformats.org/officeDocument/2006/relationships/image" Target="media/image6.png"/><Relationship Id="rId40" Type="http://schemas.openxmlformats.org/officeDocument/2006/relationships/image" Target="media/image10.sv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4.png"/><Relationship Id="rId28" Type="http://schemas.openxmlformats.org/officeDocument/2006/relationships/footer" Target="footer1.xml"/><Relationship Id="rId36"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footer" Target="foot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6.svg"/><Relationship Id="rId33" Type="http://schemas.openxmlformats.org/officeDocument/2006/relationships/footer" Target="footer4.xml"/><Relationship Id="rId38" Type="http://schemas.openxmlformats.org/officeDocument/2006/relationships/image" Target="media/image8.svg"/></Relationships>
</file>

<file path=word/_rels/footnotes.xml.rels><?xml version="1.0" encoding="UTF-8" standalone="yes"?>
<Relationships xmlns="http://schemas.openxmlformats.org/package/2006/relationships"><Relationship Id="rId117" Type="http://schemas.openxmlformats.org/officeDocument/2006/relationships/hyperlink" Target="https://knowsdgs.jrc.ec.europa.eu/policies-sdgs" TargetMode="External"/><Relationship Id="rId21" Type="http://schemas.openxmlformats.org/officeDocument/2006/relationships/hyperlink" Target="https://www.engie.com/en/businesses/gas/hydrogen/power-to-gas/the-grhyd-demonstration-project" TargetMode="External"/><Relationship Id="rId42" Type="http://schemas.openxmlformats.org/officeDocument/2006/relationships/hyperlink" Target="https://cordis.europa.eu/project/rcn/213073/factsheet/en" TargetMode="External"/><Relationship Id="rId63" Type="http://schemas.openxmlformats.org/officeDocument/2006/relationships/hyperlink" Target="https://www.ir.plugpower.com/Press-Releases/Press-Release-Details/2020/Plug-Power-Partners-with-Universal-Hydrogen-on-Hydrogen-Fuel-Cell-Propulsion-System-for-Regional-Turboprop-Aircraft/default.aspx" TargetMode="External"/><Relationship Id="rId84" Type="http://schemas.openxmlformats.org/officeDocument/2006/relationships/hyperlink" Target="https://cordis.europa.eu/project/id/736648" TargetMode="External"/><Relationship Id="rId138" Type="http://schemas.openxmlformats.org/officeDocument/2006/relationships/hyperlink" Target="https://www.fchobservatory.eu/" TargetMode="External"/><Relationship Id="rId16" Type="http://schemas.openxmlformats.org/officeDocument/2006/relationships/hyperlink" Target="https://hydeploy.co.uk/faqs/hydrogen-level-set-maximum-20/" TargetMode="External"/><Relationship Id="rId107" Type="http://schemas.openxmlformats.org/officeDocument/2006/relationships/hyperlink" Target="https://ec.europa.eu/info/law/law-making-process/types-eu-law_en" TargetMode="External"/><Relationship Id="rId11" Type="http://schemas.openxmlformats.org/officeDocument/2006/relationships/hyperlink" Target="http://cordis.europa.eu/project/rcn/207243_en.html" TargetMode="External"/><Relationship Id="rId32" Type="http://schemas.openxmlformats.org/officeDocument/2006/relationships/hyperlink" Target="https://ec.europa.eu/info/files/european-partnership-metrology_en" TargetMode="External"/><Relationship Id="rId37" Type="http://schemas.openxmlformats.org/officeDocument/2006/relationships/hyperlink" Target="https://cordis.europa.eu/project/id/256848" TargetMode="External"/><Relationship Id="rId53" Type="http://schemas.openxmlformats.org/officeDocument/2006/relationships/hyperlink" Target="https://cordis.europa.eu/project/rcn/219834/factsheet/en" TargetMode="External"/><Relationship Id="rId58" Type="http://schemas.openxmlformats.org/officeDocument/2006/relationships/hyperlink" Target="https://cordis.europa.eu/project/id/101006633" TargetMode="External"/><Relationship Id="rId74" Type="http://schemas.openxmlformats.org/officeDocument/2006/relationships/hyperlink" Target="https://cordis.europa.eu/project/id/256328" TargetMode="External"/><Relationship Id="rId79" Type="http://schemas.openxmlformats.org/officeDocument/2006/relationships/hyperlink" Target="https://www.fch.europa.eu/sites/default/files/Hydrogen%20Roadmap%20Europe_Report.pdf" TargetMode="External"/><Relationship Id="rId102" Type="http://schemas.openxmlformats.org/officeDocument/2006/relationships/hyperlink" Target="https://www.fch.europa.eu/sites/default/files/documents/20210527_Hydrogen_Valleys_final_ONLINE.pdf" TargetMode="External"/><Relationship Id="rId123" Type="http://schemas.openxmlformats.org/officeDocument/2006/relationships/hyperlink" Target="https://www.h2v.eu/hydrogen-valleys" TargetMode="External"/><Relationship Id="rId128" Type="http://schemas.openxmlformats.org/officeDocument/2006/relationships/hyperlink" Target="https://ipbooster.meta-group.com/" TargetMode="External"/><Relationship Id="rId5" Type="http://schemas.openxmlformats.org/officeDocument/2006/relationships/hyperlink" Target="https://hydrogeneurope.eu/node/1691" TargetMode="External"/><Relationship Id="rId90" Type="http://schemas.openxmlformats.org/officeDocument/2006/relationships/hyperlink" Target="https://cordis.europa.eu/project/id/779613" TargetMode="External"/><Relationship Id="rId95" Type="http://schemas.openxmlformats.org/officeDocument/2006/relationships/hyperlink" Target="https://cordis.europa.eu/project/id/325329" TargetMode="External"/><Relationship Id="rId22" Type="http://schemas.openxmlformats.org/officeDocument/2006/relationships/hyperlink" Target="http://www.grtgaz.com/en/press/press-releases/news-details/article/hydrogene-lancement-du-projet-mosahyc.html" TargetMode="External"/><Relationship Id="rId27" Type="http://schemas.openxmlformats.org/officeDocument/2006/relationships/hyperlink" Target="https://global.kawasaki.com/en/corp/newsroom/news/detail/?f=20191211_3487" TargetMode="External"/><Relationship Id="rId43" Type="http://schemas.openxmlformats.org/officeDocument/2006/relationships/hyperlink" Target="https://www.reuters.com/article/hyundai-switzerland-hydrogen-trucks-idUSKBN26S1FM" TargetMode="External"/><Relationship Id="rId48" Type="http://schemas.openxmlformats.org/officeDocument/2006/relationships/hyperlink" Target="https://unctad.org/en/PublicationsLibrary/rmt2018_en.pdf" TargetMode="External"/><Relationship Id="rId64" Type="http://schemas.openxmlformats.org/officeDocument/2006/relationships/hyperlink" Target="http://cordis.europa.eu/project/rcn/108542_en.html" TargetMode="External"/><Relationship Id="rId69" Type="http://schemas.openxmlformats.org/officeDocument/2006/relationships/hyperlink" Target="http://cordis.europa.eu/project/rcn/197931_en.html" TargetMode="External"/><Relationship Id="rId113" Type="http://schemas.openxmlformats.org/officeDocument/2006/relationships/hyperlink" Target="https://www.fch.europa.eu/page/rcs-strategy-coordination-group" TargetMode="External"/><Relationship Id="rId118" Type="http://schemas.openxmlformats.org/officeDocument/2006/relationships/hyperlink" Target="https://ec.europa.eu/info/strategy/international-strategies/sustainable-development-goals/eu-holistic-approach-sustainable-development_en" TargetMode="External"/><Relationship Id="rId134" Type="http://schemas.openxmlformats.org/officeDocument/2006/relationships/hyperlink" Target="https://ec.europa.eu/info/sites/info/files/file_import/digitally-transformed_user-focused_data-driven_commission_en.pdf" TargetMode="External"/><Relationship Id="rId80" Type="http://schemas.openxmlformats.org/officeDocument/2006/relationships/hyperlink" Target="https://ec.europa.eu/social/main.jsp?langId=en&amp;catId=89&amp;furtherNews=yes&amp;newsId=9723" TargetMode="External"/><Relationship Id="rId85" Type="http://schemas.openxmlformats.org/officeDocument/2006/relationships/hyperlink" Target="https://cordis.europa.eu/project/id/779730" TargetMode="External"/><Relationship Id="rId12" Type="http://schemas.openxmlformats.org/officeDocument/2006/relationships/hyperlink" Target="http://cordis.europa.eu/project/rcn/199464_en.html" TargetMode="External"/><Relationship Id="rId17" Type="http://schemas.openxmlformats.org/officeDocument/2006/relationships/hyperlink" Target="https://www.nrel.gov/news/program/2020/hyblend-project-to-accelerate-potential-for-blending-hydrogen-in-natural-gas-pipelines.html" TargetMode="External"/><Relationship Id="rId33" Type="http://schemas.openxmlformats.org/officeDocument/2006/relationships/hyperlink" Target="https://www.fch.europa.eu/publications/study-fuel-cells-hydrogen-trucks" TargetMode="External"/><Relationship Id="rId38" Type="http://schemas.openxmlformats.org/officeDocument/2006/relationships/hyperlink" Target="http://cordis.europa.eu/project/rcn/197067_en.html" TargetMode="External"/><Relationship Id="rId59" Type="http://schemas.openxmlformats.org/officeDocument/2006/relationships/hyperlink" Target="https://heaven-fch-project.eu/" TargetMode="External"/><Relationship Id="rId103" Type="http://schemas.openxmlformats.org/officeDocument/2006/relationships/hyperlink" Target="http://www.mission-innovation.net/missions/hydrogen/" TargetMode="External"/><Relationship Id="rId108" Type="http://schemas.openxmlformats.org/officeDocument/2006/relationships/hyperlink" Target="https://www.cencenelec.eu/standards/Pages/default.aspx" TargetMode="External"/><Relationship Id="rId124" Type="http://schemas.openxmlformats.org/officeDocument/2006/relationships/hyperlink" Target="https://ec.europa.eu/info/funding-tenders/opportunities/portal/screen/opportunities/horizon-results-platform" TargetMode="External"/><Relationship Id="rId129" Type="http://schemas.openxmlformats.org/officeDocument/2006/relationships/hyperlink" Target="https://open-research-europe.ec.europa.eu/" TargetMode="External"/><Relationship Id="rId54" Type="http://schemas.openxmlformats.org/officeDocument/2006/relationships/hyperlink" Target="https://www.fch.europa.eu/publications/use-fuel-cells-and-hydrogen-railway-environment" TargetMode="External"/><Relationship Id="rId70" Type="http://schemas.openxmlformats.org/officeDocument/2006/relationships/hyperlink" Target="https://cordis.europa.eu/project/rcn/213064/factsheet/en" TargetMode="External"/><Relationship Id="rId75" Type="http://schemas.openxmlformats.org/officeDocument/2006/relationships/hyperlink" Target="https://cordis.europa.eu/project/id/101007163" TargetMode="External"/><Relationship Id="rId91" Type="http://schemas.openxmlformats.org/officeDocument/2006/relationships/hyperlink" Target="https://cordis.europa.eu/project/id/826193" TargetMode="External"/><Relationship Id="rId96" Type="http://schemas.openxmlformats.org/officeDocument/2006/relationships/hyperlink" Target="https://cordis.europa.eu/project/id/826193" TargetMode="External"/><Relationship Id="rId1" Type="http://schemas.openxmlformats.org/officeDocument/2006/relationships/hyperlink" Target="https://sdgs.un.org/2030agenda" TargetMode="External"/><Relationship Id="rId6" Type="http://schemas.openxmlformats.org/officeDocument/2006/relationships/hyperlink" Target="https://nelhydrogen.com/press-release/nel-cmd-2021-launches-1-5-usd-kg-target-for-green-renewable-hydrogen-to-outcompete-fossil-alternatives/" TargetMode="External"/><Relationship Id="rId23" Type="http://schemas.openxmlformats.org/officeDocument/2006/relationships/hyperlink" Target="https://www.gasunie.nl/en/news/gasunie-hydrogen-pipeline-from-dow-to-yara-brought-into-operation" TargetMode="External"/><Relationship Id="rId28" Type="http://schemas.openxmlformats.org/officeDocument/2006/relationships/hyperlink" Target="http://cordis.europa.eu/project/rcn/198235_en.html" TargetMode="External"/><Relationship Id="rId49" Type="http://schemas.openxmlformats.org/officeDocument/2006/relationships/hyperlink" Target="https://fuelcellsworks.com/news/norse-group-announces-launch-of-mf-hydra-worlds-first-lh2-driven-ferry-boat/" TargetMode="External"/><Relationship Id="rId114" Type="http://schemas.openxmlformats.org/officeDocument/2006/relationships/hyperlink" Target="https://www.fch.europa.eu/page/european-hydrogen-safety-panel" TargetMode="External"/><Relationship Id="rId119" Type="http://schemas.openxmlformats.org/officeDocument/2006/relationships/hyperlink" Target="https://ec.europa.eu/growth/sectors/raw-materials_en" TargetMode="External"/><Relationship Id="rId44" Type="http://schemas.openxmlformats.org/officeDocument/2006/relationships/hyperlink" Target="https://cordis.europa.eu/project/id/101005934" TargetMode="External"/><Relationship Id="rId60" Type="http://schemas.openxmlformats.org/officeDocument/2006/relationships/hyperlink" Target="https://h2fly.de/" TargetMode="External"/><Relationship Id="rId65" Type="http://schemas.openxmlformats.org/officeDocument/2006/relationships/hyperlink" Target="https://www.cleansky.eu/sites/default/files/inline-files/20200507_Hydrogen-Powered-Aviation-report.pdf" TargetMode="External"/><Relationship Id="rId81" Type="http://schemas.openxmlformats.org/officeDocument/2006/relationships/hyperlink" Target="https://ec.europa.eu/social/main.jsp?catId=1517&amp;langId=en" TargetMode="External"/><Relationship Id="rId86" Type="http://schemas.openxmlformats.org/officeDocument/2006/relationships/hyperlink" Target="https://cordis.europa.eu/project/id/826246" TargetMode="External"/><Relationship Id="rId130" Type="http://schemas.openxmlformats.org/officeDocument/2006/relationships/hyperlink" Target="https://solarimpulse.com/" TargetMode="External"/><Relationship Id="rId135" Type="http://schemas.openxmlformats.org/officeDocument/2006/relationships/hyperlink" Target="https://ec.europa.eu/info/sites/info/files/file_import/digitally-transformed_user-focused_data-driven_commission_en.pdf" TargetMode="External"/><Relationship Id="rId13" Type="http://schemas.openxmlformats.org/officeDocument/2006/relationships/hyperlink" Target="https://www.energynetworks.org/creating-tomorrows-networks/gas-goes-green" TargetMode="External"/><Relationship Id="rId18" Type="http://schemas.openxmlformats.org/officeDocument/2006/relationships/hyperlink" Target="https://www.h21.green/" TargetMode="External"/><Relationship Id="rId39" Type="http://schemas.openxmlformats.org/officeDocument/2006/relationships/hyperlink" Target="https://www.eea.europa.eu/themes/transport/heavy-duty-vehicles" TargetMode="External"/><Relationship Id="rId109" Type="http://schemas.openxmlformats.org/officeDocument/2006/relationships/hyperlink" Target="https://www.iso.org" TargetMode="External"/><Relationship Id="rId34" Type="http://schemas.openxmlformats.org/officeDocument/2006/relationships/hyperlink" Target="http://cordis.europa.eu/project/rcn/198091_en.html" TargetMode="External"/><Relationship Id="rId50" Type="http://schemas.openxmlformats.org/officeDocument/2006/relationships/hyperlink" Target="https://www.norled.no/en/news/partners-receive-pilot-e-support-to-develop-liquid-hydrogen-supply-chain-for-maritime-applications-in-norway/" TargetMode="External"/><Relationship Id="rId55" Type="http://schemas.openxmlformats.org/officeDocument/2006/relationships/hyperlink" Target="https://www.alstom.com/solutions/rolling-stock/coradia-ilint-worlds-1st-hydrogen-powered-train" TargetMode="External"/><Relationship Id="rId76" Type="http://schemas.openxmlformats.org/officeDocument/2006/relationships/hyperlink" Target="https://cordis.europa.eu/project/id/700190" TargetMode="External"/><Relationship Id="rId97" Type="http://schemas.openxmlformats.org/officeDocument/2006/relationships/hyperlink" Target="https://cordis.europa.eu/project/id/303445" TargetMode="External"/><Relationship Id="rId104" Type="http://schemas.openxmlformats.org/officeDocument/2006/relationships/hyperlink" Target="http://h2territory.eu/" TargetMode="External"/><Relationship Id="rId120" Type="http://schemas.openxmlformats.org/officeDocument/2006/relationships/hyperlink" Target="https://www.fch.europa.eu/project/technology-monitoring-and-assessment" TargetMode="External"/><Relationship Id="rId125" Type="http://schemas.openxmlformats.org/officeDocument/2006/relationships/hyperlink" Target="https://ec.europa.eu/digital-single-market/en/innovation-radar" TargetMode="External"/><Relationship Id="rId7" Type="http://schemas.openxmlformats.org/officeDocument/2006/relationships/hyperlink" Target="https://cordis.europa.eu/project/id/826089" TargetMode="External"/><Relationship Id="rId71" Type="http://schemas.openxmlformats.org/officeDocument/2006/relationships/hyperlink" Target="http://cordis.europa.eu/project/rcn/192597_en.html" TargetMode="External"/><Relationship Id="rId92" Type="http://schemas.openxmlformats.org/officeDocument/2006/relationships/hyperlink" Target="https://cordis.europa.eu/project/id/325326" TargetMode="External"/><Relationship Id="rId2" Type="http://schemas.openxmlformats.org/officeDocument/2006/relationships/hyperlink" Target="https://www.un.org/sustainabledevelopment/sustainable-development-goals/" TargetMode="External"/><Relationship Id="rId29" Type="http://schemas.openxmlformats.org/officeDocument/2006/relationships/hyperlink" Target="https://www.fch.europa.eu/publications/proposition-testing-protocol-certification-existing-and-future-hrs" TargetMode="External"/><Relationship Id="rId24" Type="http://schemas.openxmlformats.org/officeDocument/2006/relationships/hyperlink" Target="https://www.gasunie.nl/en/news/europes-largest-green-hydrogen-project-starts-in-groningen" TargetMode="External"/><Relationship Id="rId40" Type="http://schemas.openxmlformats.org/officeDocument/2006/relationships/hyperlink" Target="https://www.fch.europa.eu/publications/study-fuel-cells-hydrogen-trucks" TargetMode="External"/><Relationship Id="rId45" Type="http://schemas.openxmlformats.org/officeDocument/2006/relationships/hyperlink" Target="https://cordis.europa.eu/project/id/874997" TargetMode="External"/><Relationship Id="rId66" Type="http://schemas.openxmlformats.org/officeDocument/2006/relationships/hyperlink" Target="https://ec.europa.eu/info/sites/default/files/energy_climate_change_environment/events/documents/in_focus_energy_efficiency_in_buildings_en.pdf" TargetMode="External"/><Relationship Id="rId87" Type="http://schemas.openxmlformats.org/officeDocument/2006/relationships/hyperlink" Target="https://cordis.europa.eu/project/id/621228" TargetMode="External"/><Relationship Id="rId110" Type="http://schemas.openxmlformats.org/officeDocument/2006/relationships/hyperlink" Target="https://www.iec.ch" TargetMode="External"/><Relationship Id="rId115" Type="http://schemas.openxmlformats.org/officeDocument/2006/relationships/hyperlink" Target="https://sdgs.un.org/2030agenda" TargetMode="External"/><Relationship Id="rId131" Type="http://schemas.openxmlformats.org/officeDocument/2006/relationships/hyperlink" Target="https://www.bmbf.de/bmbf/shareddocs/kurzmeldungen/en/green-hydrogen-for-a-sustainable-future.html" TargetMode="External"/><Relationship Id="rId136" Type="http://schemas.openxmlformats.org/officeDocument/2006/relationships/hyperlink" Target="https://ec.europa.eu/info/sites/info/files/c_2020_4482_en.pdf" TargetMode="External"/><Relationship Id="rId61" Type="http://schemas.openxmlformats.org/officeDocument/2006/relationships/hyperlink" Target="https://www.zeroavia.com/" TargetMode="External"/><Relationship Id="rId82" Type="http://schemas.openxmlformats.org/officeDocument/2006/relationships/hyperlink" Target="https://cordis.europa.eu/project/id/256703" TargetMode="External"/><Relationship Id="rId19" Type="http://schemas.openxmlformats.org/officeDocument/2006/relationships/hyperlink" Target="https://sgn.co.uk/about-us/future-of-gas/hydrogen/hydrogen-100" TargetMode="External"/><Relationship Id="rId14" Type="http://schemas.openxmlformats.org/officeDocument/2006/relationships/hyperlink" Target="https://cordis.europa.eu/project/rcn/219835/factsheet/en" TargetMode="External"/><Relationship Id="rId30" Type="http://schemas.openxmlformats.org/officeDocument/2006/relationships/hyperlink" Target="http://cordis.europa.eu/project/rcn/204284_en.html" TargetMode="External"/><Relationship Id="rId35" Type="http://schemas.openxmlformats.org/officeDocument/2006/relationships/hyperlink" Target="https://www.fchobservatory.eu/sites/default/files/reports/Chapter_1_Technology_and_Market_2021.pdf" TargetMode="External"/><Relationship Id="rId56" Type="http://schemas.openxmlformats.org/officeDocument/2006/relationships/hyperlink" Target="https://www.mobility.siemens.com/global/en/portfolio/rail/rolling-stock/commuter-and-regional-trains/mireo.html" TargetMode="External"/><Relationship Id="rId77" Type="http://schemas.openxmlformats.org/officeDocument/2006/relationships/hyperlink" Target="https://cordis.europa.eu/project/id/101007216" TargetMode="External"/><Relationship Id="rId100" Type="http://schemas.openxmlformats.org/officeDocument/2006/relationships/hyperlink" Target="https://www.certifhy.eu/" TargetMode="External"/><Relationship Id="rId105" Type="http://schemas.openxmlformats.org/officeDocument/2006/relationships/hyperlink" Target="https://www.fch.europa.eu/sites/default/files/Value%20Chain%20study%20SummaryReport_v2.02.pdf" TargetMode="External"/><Relationship Id="rId126" Type="http://schemas.openxmlformats.org/officeDocument/2006/relationships/hyperlink" Target="https://ec.europa.eu/info/funding-tenders/opportunities/portal/screen/opportunities/d-e-booster" TargetMode="External"/><Relationship Id="rId8" Type="http://schemas.openxmlformats.org/officeDocument/2006/relationships/hyperlink" Target="https://cordis.europa.eu/project/id/779579" TargetMode="External"/><Relationship Id="rId51" Type="http://schemas.openxmlformats.org/officeDocument/2006/relationships/hyperlink" Target="https://www.hyseas3.eu/" TargetMode="External"/><Relationship Id="rId72" Type="http://schemas.openxmlformats.org/officeDocument/2006/relationships/hyperlink" Target="http://cordis.europa.eu/project/rcn/106349_en.html" TargetMode="External"/><Relationship Id="rId93" Type="http://schemas.openxmlformats.org/officeDocument/2006/relationships/hyperlink" Target="https://cordis.europa.eu/project/id/325348" TargetMode="External"/><Relationship Id="rId98" Type="http://schemas.openxmlformats.org/officeDocument/2006/relationships/hyperlink" Target="https://cordis.europa.eu/project/id/621245" TargetMode="External"/><Relationship Id="rId121" Type="http://schemas.openxmlformats.org/officeDocument/2006/relationships/hyperlink" Target="https://www.fch.europa.eu/sites/default/files/TRUST_ExplanationFile_Draft_2018%20%28ID%203366054%29%20%28ID%203366108%29.pdf" TargetMode="External"/><Relationship Id="rId3" Type="http://schemas.openxmlformats.org/officeDocument/2006/relationships/hyperlink" Target="https://ec.europa.eu/commission/presscorner/detail/en/IP_21_6682" TargetMode="External"/><Relationship Id="rId25" Type="http://schemas.openxmlformats.org/officeDocument/2006/relationships/hyperlink" Target="https://gasforclimate2050.eu/news-item/european-hydrogen-backbone-grows-to-40000-km/" TargetMode="External"/><Relationship Id="rId46" Type="http://schemas.openxmlformats.org/officeDocument/2006/relationships/hyperlink" Target="https://www.fch.europa.eu/publications/study-fuel-cells-hydrogen-trucks" TargetMode="External"/><Relationship Id="rId67" Type="http://schemas.openxmlformats.org/officeDocument/2006/relationships/hyperlink" Target="http://cordis.europa.eu/project/rcn/104765_en.html" TargetMode="External"/><Relationship Id="rId116" Type="http://schemas.openxmlformats.org/officeDocument/2006/relationships/hyperlink" Target="https://ec.europa.eu/info/strategy/international-strategies/sustainable-development-goals_en" TargetMode="External"/><Relationship Id="rId137" Type="http://schemas.openxmlformats.org/officeDocument/2006/relationships/hyperlink" Target="https://myintracomm.ec.europa.eu/sg/edomec/Documents/SEC_2020_800_en.pdf" TargetMode="External"/><Relationship Id="rId20" Type="http://schemas.openxmlformats.org/officeDocument/2006/relationships/hyperlink" Target="https://hynet.co.uk/" TargetMode="External"/><Relationship Id="rId41" Type="http://schemas.openxmlformats.org/officeDocument/2006/relationships/hyperlink" Target="https://cordis.europa.eu/project/id/826236" TargetMode="External"/><Relationship Id="rId62" Type="http://schemas.openxmlformats.org/officeDocument/2006/relationships/hyperlink" Target="https://www.airbus.com/newsroom/press-releases/en/2020/09/airbus-reveals-new-zeroemission-concept-aircraft.html" TargetMode="External"/><Relationship Id="rId83" Type="http://schemas.openxmlformats.org/officeDocument/2006/relationships/hyperlink" Target="https://cordis.europa.eu/project/id/621222" TargetMode="External"/><Relationship Id="rId88" Type="http://schemas.openxmlformats.org/officeDocument/2006/relationships/hyperlink" Target="https://fchobservatory.eu/" TargetMode="External"/><Relationship Id="rId111" Type="http://schemas.openxmlformats.org/officeDocument/2006/relationships/hyperlink" Target="https://www.cencenelec.eu/" TargetMode="External"/><Relationship Id="rId132" Type="http://schemas.openxmlformats.org/officeDocument/2006/relationships/hyperlink" Target="https://europa.eu/!b3TBfW" TargetMode="External"/><Relationship Id="rId15" Type="http://schemas.openxmlformats.org/officeDocument/2006/relationships/hyperlink" Target="https://cordis.europa.eu/project/id/326974/reporting" TargetMode="External"/><Relationship Id="rId36" Type="http://schemas.openxmlformats.org/officeDocument/2006/relationships/hyperlink" Target="https://www.iea.org/reports/global-ev-outlook-2021" TargetMode="External"/><Relationship Id="rId57" Type="http://schemas.openxmlformats.org/officeDocument/2006/relationships/hyperlink" Target="https://www.stadlerrail.com/en/media/article/green-tech-for-the-us-stadler-signs-first-ever-contractfor-hydrogen-powered-train/649/" TargetMode="External"/><Relationship Id="rId106" Type="http://schemas.openxmlformats.org/officeDocument/2006/relationships/hyperlink" Target="https://eur-lex.europa.eu/legal-content/EN/TXT/PDF/?uri=CELEX:32021R0695&amp;from=EN" TargetMode="External"/><Relationship Id="rId127" Type="http://schemas.openxmlformats.org/officeDocument/2006/relationships/hyperlink" Target="https://dealflow.eu/" TargetMode="External"/><Relationship Id="rId10" Type="http://schemas.openxmlformats.org/officeDocument/2006/relationships/hyperlink" Target="https://cordis.europa.eu/project/id/875123" TargetMode="External"/><Relationship Id="rId31" Type="http://schemas.openxmlformats.org/officeDocument/2006/relationships/hyperlink" Target="http://cordis.europa.eu/project/rcn/207240_en.html" TargetMode="External"/><Relationship Id="rId52" Type="http://schemas.openxmlformats.org/officeDocument/2006/relationships/hyperlink" Target="https://cordis.europa.eu/project/id/875156" TargetMode="External"/><Relationship Id="rId73" Type="http://schemas.openxmlformats.org/officeDocument/2006/relationships/hyperlink" Target="https://www.hy4heat.info/" TargetMode="External"/><Relationship Id="rId78" Type="http://schemas.openxmlformats.org/officeDocument/2006/relationships/hyperlink" Target="https://cordis.europa.eu/project/id/101007166" TargetMode="External"/><Relationship Id="rId94" Type="http://schemas.openxmlformats.org/officeDocument/2006/relationships/hyperlink" Target="https://cordis.europa.eu/project/id/621223" TargetMode="External"/><Relationship Id="rId99" Type="http://schemas.openxmlformats.org/officeDocument/2006/relationships/hyperlink" Target="https://cordis.europa.eu/project/id/735977" TargetMode="External"/><Relationship Id="rId101" Type="http://schemas.openxmlformats.org/officeDocument/2006/relationships/hyperlink" Target="http://www.h2v.eu" TargetMode="External"/><Relationship Id="rId122" Type="http://schemas.openxmlformats.org/officeDocument/2006/relationships/hyperlink" Target="https://www.fch.europa.eu/page/tools-innovation-monitoring-tim" TargetMode="External"/><Relationship Id="rId4" Type="http://schemas.openxmlformats.org/officeDocument/2006/relationships/hyperlink" Target="https://www.fchobservatory.eu/" TargetMode="External"/><Relationship Id="rId9" Type="http://schemas.openxmlformats.org/officeDocument/2006/relationships/hyperlink" Target="https://cordis.europa.eu/project/rcn/207465/en.html" TargetMode="External"/><Relationship Id="rId26" Type="http://schemas.openxmlformats.org/officeDocument/2006/relationships/hyperlink" Target="https://cordis.europa.eu/project/rcn/213080_en.html" TargetMode="External"/><Relationship Id="rId47" Type="http://schemas.openxmlformats.org/officeDocument/2006/relationships/hyperlink" Target="https://www.imo.org/en/MediaCentre/PressBriefings/Pages/06GHGinitialstrategy.aspx" TargetMode="External"/><Relationship Id="rId68" Type="http://schemas.openxmlformats.org/officeDocument/2006/relationships/hyperlink" Target="http://cordis.europa.eu/project/rcn/204315_en.html" TargetMode="External"/><Relationship Id="rId89" Type="http://schemas.openxmlformats.org/officeDocument/2006/relationships/hyperlink" Target="https://cordis.europa.eu/project/id/671461" TargetMode="External"/><Relationship Id="rId112" Type="http://schemas.openxmlformats.org/officeDocument/2006/relationships/hyperlink" Target="https://www.cencenelec.eu/STANDARDS/Pages/default.aspx" TargetMode="External"/><Relationship Id="rId133" Type="http://schemas.openxmlformats.org/officeDocument/2006/relationships/hyperlink" Target="https://op.europa.eu/en/web/eu-law-and-publications/publication-detail/-/publication/3c6ffd74-8ac3-11eb-b85c-01aa75ed71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ct:contentTypeSchema xmlns:ct="http://schemas.microsoft.com/office/2006/metadata/contentType" xmlns:ma="http://schemas.microsoft.com/office/2006/metadata/properties/metaAttributes" ct:_="" ma:_="" ma:contentTypeName="EC Document" ma:contentTypeID="0x010100258AA79CEB83498886A3A0868112325000DD126A2483F12941BB872830F0F78BD1" ma:contentTypeVersion="0" ma:contentTypeDescription="Create a new document." ma:contentTypeScope="" ma:versionID="fc0e96bd7dade474064f56263696d81c">
  <xsd:schema xmlns:xsd="http://www.w3.org/2001/XMLSchema" xmlns:xs="http://www.w3.org/2001/XMLSchema" xmlns:p="http://schemas.microsoft.com/office/2006/metadata/properties" xmlns:ns3="477D56E5-85B1-4AEA-A925-E94620010CDD" targetNamespace="http://schemas.microsoft.com/office/2006/metadata/properties" ma:root="true" ma:fieldsID="cf63d3ff435d8f86bb2412e569a92bcd" ns3:_="">
    <xsd:import namespace="477D56E5-85B1-4AEA-A925-E94620010CDD"/>
    <xsd:element name="properties">
      <xsd:complexType>
        <xsd:sequence>
          <xsd:element name="documentManagement">
            <xsd:complexType>
              <xsd:all>
                <xsd:element ref="ns3:EC_Collab_Reference" minOccurs="0"/>
                <xsd:element ref="ns3:EC_Collab_DocumentLanguag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D56E5-85B1-4AEA-A925-E94620010CD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maxLength value="255"/>
        </xsd:restriction>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F1F150372D6612479F317DE5D3C0DDE2" ma:contentTypeVersion="13" ma:contentTypeDescription="Create a new document." ma:contentTypeScope="" ma:versionID="e53ff0237998e0e0025be250e06c4546">
  <xsd:schema xmlns:xsd="http://www.w3.org/2001/XMLSchema" xmlns:xs="http://www.w3.org/2001/XMLSchema" xmlns:p="http://schemas.microsoft.com/office/2006/metadata/properties" xmlns:ns2="15267337-6149-4c7a-b565-8d2987ff8385" xmlns:ns3="2521853e-dd4b-4f92-971c-6f6d967de287" targetNamespace="http://schemas.microsoft.com/office/2006/metadata/properties" ma:root="true" ma:fieldsID="643e9ea07e2c71a7746c1d0414bb89b4" ns2:_="" ns3:_="">
    <xsd:import namespace="15267337-6149-4c7a-b565-8d2987ff8385"/>
    <xsd:import namespace="2521853e-dd4b-4f92-971c-6f6d967de2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67337-6149-4c7a-b565-8d2987ff838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521853e-dd4b-4f92-971c-6f6d967de2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1B31A3C9451F94A973524A7E9C981F8" ma:contentTypeVersion="11" ma:contentTypeDescription="Create a new document." ma:contentTypeScope="" ma:versionID="a64056d4a30a541feacc506b76ad7e58">
  <xsd:schema xmlns:xsd="http://www.w3.org/2001/XMLSchema" xmlns:xs="http://www.w3.org/2001/XMLSchema" xmlns:p="http://schemas.microsoft.com/office/2006/metadata/properties" xmlns:ns2="26b469df-a54e-4a45-98a9-1b15e165669a" xmlns:ns3="c61c6ce8-6495-4e68-a466-e4c514fa597d" targetNamespace="http://schemas.microsoft.com/office/2006/metadata/properties" ma:root="true" ma:fieldsID="cbdb11ede8e991f1649d48f10187c719" ns2:_="" ns3:_="">
    <xsd:import namespace="26b469df-a54e-4a45-98a9-1b15e165669a"/>
    <xsd:import namespace="c61c6ce8-6495-4e68-a466-e4c514fa5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469df-a54e-4a45-98a9-1b15e1656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1c6ce8-6495-4e68-a466-e4c514fa59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customXsn xmlns="http://schemas.microsoft.com/office/2006/metadata/customXsn">
  <xsnLocation/>
  <cached>True</cached>
  <openByDefault>True</openByDefault>
  <xsnScope/>
</customXsn>
</file>

<file path=customXml/item8.xml><?xml version="1.0" encoding="utf-8"?>
<ct:contentTypeSchema xmlns:ct="http://schemas.microsoft.com/office/2006/metadata/contentType" xmlns:ma="http://schemas.microsoft.com/office/2006/metadata/properties/metaAttributes" ct:_="" ma:_="" ma:contentTypeName="Document" ma:contentTypeID="0x01010091B31A3C9451F94A973524A7E9C981F8" ma:contentTypeVersion="9" ma:contentTypeDescription="Create a new document." ma:contentTypeScope="" ma:versionID="0f7d751a5eb1724cd0b9fba59368684d">
  <xsd:schema xmlns:xsd="http://www.w3.org/2001/XMLSchema" xmlns:xs="http://www.w3.org/2001/XMLSchema" xmlns:p="http://schemas.microsoft.com/office/2006/metadata/properties" xmlns:ns2="26b469df-a54e-4a45-98a9-1b15e165669a" targetNamespace="http://schemas.microsoft.com/office/2006/metadata/properties" ma:root="true" ma:fieldsID="a578faa52d2e6176a982a676f7313123" ns2:_="">
    <xsd:import namespace="26b469df-a54e-4a45-98a9-1b15e16566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469df-a54e-4a45-98a9-1b15e1656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49EC46-D284-4753-B6D7-C933ACDD066B}">
  <ds:schemaRefs>
    <ds:schemaRef ds:uri="http://schemas.microsoft.com/sharepoint/v3/contenttype/forms"/>
  </ds:schemaRefs>
</ds:datastoreItem>
</file>

<file path=customXml/itemProps10.xml><?xml version="1.0" encoding="utf-8"?>
<ds:datastoreItem xmlns:ds="http://schemas.openxmlformats.org/officeDocument/2006/customXml" ds:itemID="{1910B6A5-A6C6-4CB8-A803-46A6E056C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D56E5-85B1-4AEA-A925-E94620010C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0A4AE80C-9E19-4BA4-A6D4-1EF2D3BCB362}">
  <ds:schemaRefs>
    <ds:schemaRef ds:uri="http://schemas.microsoft.com/sharepoint/v3/contenttype/forms"/>
  </ds:schemaRefs>
</ds:datastoreItem>
</file>

<file path=customXml/itemProps12.xml><?xml version="1.0" encoding="utf-8"?>
<ds:datastoreItem xmlns:ds="http://schemas.openxmlformats.org/officeDocument/2006/customXml" ds:itemID="{00D712B7-70AA-400E-B8F0-836BC67033EA}">
  <ds:schemaRefs>
    <ds:schemaRef ds:uri="http://schemas.openxmlformats.org/officeDocument/2006/bibliography"/>
  </ds:schemaRefs>
</ds:datastoreItem>
</file>

<file path=customXml/itemProps2.xml><?xml version="1.0" encoding="utf-8"?>
<ds:datastoreItem xmlns:ds="http://schemas.openxmlformats.org/officeDocument/2006/customXml" ds:itemID="{611B7415-ADFB-4302-A110-DC9E52C665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67337-6149-4c7a-b565-8d2987ff8385"/>
    <ds:schemaRef ds:uri="2521853e-dd4b-4f92-971c-6f6d967de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3C6E77-E985-4D4F-8C98-BA43F22988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A6F7C92-C630-487D-9903-66E319177462}">
  <ds:schemaRefs>
    <ds:schemaRef ds:uri="http://schemas.microsoft.com/office/2006/metadata/properties"/>
    <ds:schemaRef ds:uri="http://schemas.microsoft.com/office/infopath/2007/PartnerControls"/>
    <ds:schemaRef ds:uri="477D56E5-85B1-4AEA-A925-E94620010CDD"/>
  </ds:schemaRefs>
</ds:datastoreItem>
</file>

<file path=customXml/itemProps5.xml><?xml version="1.0" encoding="utf-8"?>
<ds:datastoreItem xmlns:ds="http://schemas.openxmlformats.org/officeDocument/2006/customXml" ds:itemID="{ECFF451E-F896-4E0E-B82A-7C715BCE7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469df-a54e-4a45-98a9-1b15e165669a"/>
    <ds:schemaRef ds:uri="c61c6ce8-6495-4e68-a466-e4c514fa5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A1B427E-8C3F-42D8-AFDD-DBB9C5286C83}">
  <ds:schemaRefs>
    <ds:schemaRef ds:uri="http://schemas.microsoft.com/sharepoint/events"/>
  </ds:schemaRefs>
</ds:datastoreItem>
</file>

<file path=customXml/itemProps7.xml><?xml version="1.0" encoding="utf-8"?>
<ds:datastoreItem xmlns:ds="http://schemas.openxmlformats.org/officeDocument/2006/customXml" ds:itemID="{587F30AB-3444-4333-96EA-1236F3454C53}">
  <ds:schemaRefs>
    <ds:schemaRef ds:uri="http://schemas.microsoft.com/office/2006/metadata/customXsn"/>
  </ds:schemaRefs>
</ds:datastoreItem>
</file>

<file path=customXml/itemProps8.xml><?xml version="1.0" encoding="utf-8"?>
<ds:datastoreItem xmlns:ds="http://schemas.openxmlformats.org/officeDocument/2006/customXml" ds:itemID="{03139F84-FF35-4ED6-B03D-E7DF08424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469df-a54e-4a45-98a9-1b15e1656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D72D06CD-A72D-4111-BA42-5D17F66139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179</Pages>
  <Words>71371</Words>
  <Characters>406820</Characters>
  <Application>Microsoft Office Word</Application>
  <DocSecurity>0</DocSecurity>
  <Lines>3390</Lines>
  <Paragraphs>954</Paragraphs>
  <ScaleCrop>false</ScaleCrop>
  <HeadingPairs>
    <vt:vector size="8" baseType="variant">
      <vt:variant>
        <vt:lpstr>Title</vt:lpstr>
      </vt:variant>
      <vt:variant>
        <vt:i4>1</vt:i4>
      </vt:variant>
      <vt:variant>
        <vt:lpstr>Konu Başlığı</vt:lpstr>
      </vt:variant>
      <vt:variant>
        <vt:i4>1</vt:i4>
      </vt:variant>
      <vt:variant>
        <vt:lpstr>Titel</vt:lpstr>
      </vt:variant>
      <vt:variant>
        <vt:i4>1</vt:i4>
      </vt:variant>
      <vt:variant>
        <vt:lpstr>Título</vt:lpstr>
      </vt:variant>
      <vt:variant>
        <vt:i4>1</vt:i4>
      </vt:variant>
    </vt:vector>
  </HeadingPairs>
  <TitlesOfParts>
    <vt:vector size="4" baseType="lpstr">
      <vt:lpstr/>
      <vt:lpstr/>
      <vt:lpstr/>
      <vt:lpstr/>
    </vt:vector>
  </TitlesOfParts>
  <Manager/>
  <Company/>
  <LinksUpToDate>false</LinksUpToDate>
  <CharactersWithSpaces>477237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SAKELLARIS Kostis ( FCH )</dc:creator>
  <cp:keywords/>
  <dc:description/>
  <cp:lastModifiedBy>ATANASIU Mirela ( FCH )</cp:lastModifiedBy>
  <cp:revision>2</cp:revision>
  <cp:lastPrinted>2021-06-28T12:59:00Z</cp:lastPrinted>
  <dcterms:created xsi:type="dcterms:W3CDTF">2022-01-25T08:00:00Z</dcterms:created>
  <dcterms:modified xsi:type="dcterms:W3CDTF">2022-01-25T08:00:00Z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0x010100258AA79CEB83498886A3A0868112325000DD126A2483F12941BB872830F0F78BD1</vt:lpwstr>
  </property>
  <property fmtid="{D5CDD505-2E9C-101B-9397-08002B2CF9AE}" pid="3" name="_NewReviewCycle">
    <vt:lpwstr/>
  </property>
  <property fmtid="{D5CDD505-2E9C-101B-9397-08002B2CF9AE}" pid="4" name="ComplianceAssetId">
    <vt:lpwstr/>
  </property>
  <property fmtid="{D5CDD505-2E9C-101B-9397-08002B2CF9AE}" pid="5" name="_dlc_DocIdItemGuid">
    <vt:lpwstr>b4eadb73-6b6e-4c7c-ac71-f34adcc1bf1b</vt:lpwstr>
  </property>
  <property fmtid="{D5CDD505-2E9C-101B-9397-08002B2CF9AE}" pid="6" name="_ExtendedDescription">
    <vt:lpwstr/>
  </property>
  <property fmtid="{D5CDD505-2E9C-101B-9397-08002B2CF9AE}" pid="7" name="TriggerFlowInfo">
    <vt:lpwstr/>
  </property>
  <property fmtid="{D5CDD505-2E9C-101B-9397-08002B2CF9AE}" pid="8" name="EC_Collab_DocumentLanguage">
    <vt:lpwstr>EN</vt:lpwstr>
  </property>
</Properties>
</file>